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Dixon Heather Brianne</w:t>
              </w:r>
            </w:hyperlink>
          </w:p>
        </w:tc>
        <w:tc>
          <w:tcPr>
            <w:tcW w:w="1540" w:type="dxa"/>
            <w:vAlign w:val="bottom"/>
          </w:tcPr>
          <w:p>
            <w:pPr>
              <w:ind w:left="16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4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540" w:type="dxa"/>
            <w:vAlign w:val="bottom"/>
          </w:tcPr>
          <w:p>
            <w:pPr>
              <w:ind w:left="160"/>
              <w:spacing w:after="0" w:line="190" w:lineRule="exact"/>
              <w:rPr>
                <w:sz w:val="20"/>
                <w:szCs w:val="20"/>
                <w:color w:val="auto"/>
              </w:rPr>
            </w:pPr>
            <w:r>
              <w:rPr>
                <w:rFonts w:ascii="Arial" w:cs="Arial" w:eastAsia="Arial" w:hAnsi="Arial"/>
                <w:sz w:val="20"/>
                <w:szCs w:val="20"/>
                <w:color w:val="0000FF"/>
              </w:rPr>
              <w:t>07/10/2023</w:t>
            </w:r>
          </w:p>
        </w:tc>
        <w:tc>
          <w:tcPr>
            <w:tcW w:w="0" w:type="dxa"/>
            <w:vAlign w:val="bottom"/>
          </w:tcPr>
          <w:p>
            <w:pPr>
              <w:spacing w:after="0"/>
              <w:rPr>
                <w:sz w:val="1"/>
                <w:szCs w:val="1"/>
                <w:color w:val="auto"/>
              </w:rPr>
            </w:pPr>
          </w:p>
        </w:tc>
      </w:tr>
    </w:tbl>
    <w:p>
      <w:pPr>
        <w:spacing w:after="0" w:line="15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ACADIA HEALTHCARE</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COMPANY, INC.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6100 TOWER CIRCLE, SUITE 1000</w:t>
      </w:r>
    </w:p>
    <w:p>
      <w:pPr>
        <w:spacing w:after="0" w:line="32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6"/>
                <w:szCs w:val="16"/>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FRANKLIN TN</w:t>
            </w:r>
          </w:p>
        </w:tc>
        <w:tc>
          <w:tcPr>
            <w:tcW w:w="880" w:type="dxa"/>
            <w:vAlign w:val="bottom"/>
          </w:tcPr>
          <w:p>
            <w:pPr>
              <w:jc w:val="right"/>
              <w:spacing w:after="0"/>
              <w:rPr>
                <w:sz w:val="20"/>
                <w:szCs w:val="20"/>
                <w:color w:val="auto"/>
              </w:rPr>
            </w:pPr>
            <w:r>
              <w:rPr>
                <w:rFonts w:ascii="Arial" w:cs="Arial" w:eastAsia="Arial" w:hAnsi="Arial"/>
                <w:sz w:val="20"/>
                <w:szCs w:val="20"/>
                <w:color w:val="0000FF"/>
              </w:rPr>
              <w:t>37067</w:t>
            </w:r>
          </w:p>
        </w:tc>
      </w:tr>
    </w:tbl>
    <w:p>
      <w:pPr>
        <w:spacing w:after="0" w:line="3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Acadia Healthcare Company,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ACHC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5. 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0"/>
        </w:trPr>
        <w:tc>
          <w:tcPr>
            <w:tcW w:w="176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Arial" w:cs="Arial" w:eastAsia="Arial" w:hAnsi="Arial"/>
                <w:sz w:val="15"/>
                <w:szCs w:val="15"/>
                <w:color w:val="auto"/>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10% Owner</w:t>
            </w: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60" w:type="dxa"/>
            <w:vAlign w:val="bottom"/>
            <w:vMerge w:val="restart"/>
          </w:tcPr>
          <w:p>
            <w:pPr>
              <w:ind w:left="180"/>
              <w:spacing w:after="0"/>
              <w:rPr>
                <w:sz w:val="20"/>
                <w:szCs w:val="20"/>
                <w:color w:val="auto"/>
              </w:rPr>
            </w:pPr>
            <w:r>
              <w:rPr>
                <w:rFonts w:ascii="Arial" w:cs="Arial" w:eastAsia="Arial" w:hAnsi="Arial"/>
                <w:sz w:val="20"/>
                <w:szCs w:val="20"/>
                <w:color w:val="0000FF"/>
              </w:rPr>
              <w:t>X</w:t>
            </w:r>
          </w:p>
        </w:tc>
        <w:tc>
          <w:tcPr>
            <w:tcW w:w="1300" w:type="dxa"/>
            <w:vAlign w:val="bottom"/>
          </w:tcPr>
          <w:p>
            <w:pPr>
              <w:ind w:left="60"/>
              <w:spacing w:after="0"/>
              <w:rPr>
                <w:sz w:val="20"/>
                <w:szCs w:val="20"/>
                <w:color w:val="auto"/>
              </w:rPr>
            </w:pPr>
            <w:r>
              <w:rPr>
                <w:rFonts w:ascii="Arial" w:cs="Arial" w:eastAsia="Arial" w:hAnsi="Arial"/>
                <w:sz w:val="15"/>
                <w:szCs w:val="15"/>
                <w:color w:val="auto"/>
              </w:rPr>
              <w:t>Officer (give</w:t>
            </w:r>
          </w:p>
        </w:tc>
        <w:tc>
          <w:tcPr>
            <w:tcW w:w="1440" w:type="dxa"/>
            <w:vAlign w:val="bottom"/>
          </w:tcPr>
          <w:p>
            <w:pPr>
              <w:ind w:left="300"/>
              <w:spacing w:after="0"/>
              <w:rPr>
                <w:sz w:val="20"/>
                <w:szCs w:val="20"/>
                <w:color w:val="auto"/>
              </w:rPr>
            </w:pPr>
            <w:r>
              <w:rPr>
                <w:rFonts w:ascii="Arial" w:cs="Arial" w:eastAsia="Arial" w:hAnsi="Arial"/>
                <w:sz w:val="15"/>
                <w:szCs w:val="15"/>
                <w:color w:val="auto"/>
              </w:rPr>
              <w:t>Other (specify</w:t>
            </w:r>
          </w:p>
        </w:tc>
        <w:tc>
          <w:tcPr>
            <w:tcW w:w="4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60" w:type="dxa"/>
            <w:vAlign w:val="bottom"/>
            <w:vMerge w:val="continue"/>
          </w:tcPr>
          <w:p>
            <w:pPr>
              <w:spacing w:after="0"/>
              <w:rPr>
                <w:sz w:val="11"/>
                <w:szCs w:val="11"/>
                <w:color w:val="auto"/>
              </w:rPr>
            </w:pPr>
          </w:p>
        </w:tc>
        <w:tc>
          <w:tcPr>
            <w:tcW w:w="1300" w:type="dxa"/>
            <w:vAlign w:val="bottom"/>
            <w:vMerge w:val="restart"/>
          </w:tcPr>
          <w:p>
            <w:pPr>
              <w:ind w:left="60"/>
              <w:spacing w:after="0"/>
              <w:rPr>
                <w:sz w:val="20"/>
                <w:szCs w:val="20"/>
                <w:color w:val="auto"/>
              </w:rPr>
            </w:pPr>
            <w:r>
              <w:rPr>
                <w:rFonts w:ascii="Arial" w:cs="Arial" w:eastAsia="Arial" w:hAnsi="Arial"/>
                <w:sz w:val="15"/>
                <w:szCs w:val="15"/>
                <w:color w:val="auto"/>
              </w:rPr>
              <w:t>title below)</w:t>
            </w:r>
          </w:p>
        </w:tc>
        <w:tc>
          <w:tcPr>
            <w:tcW w:w="1440" w:type="dxa"/>
            <w:vAlign w:val="bottom"/>
            <w:vMerge w:val="restart"/>
          </w:tcPr>
          <w:p>
            <w:pPr>
              <w:ind w:left="300"/>
              <w:spacing w:after="0"/>
              <w:rPr>
                <w:sz w:val="20"/>
                <w:szCs w:val="20"/>
                <w:color w:val="auto"/>
              </w:rPr>
            </w:pPr>
            <w:r>
              <w:rPr>
                <w:rFonts w:ascii="Arial" w:cs="Arial" w:eastAsia="Arial" w:hAnsi="Arial"/>
                <w:sz w:val="15"/>
                <w:szCs w:val="15"/>
                <w:color w:val="auto"/>
              </w:rPr>
              <w:t>below)</w:t>
            </w:r>
          </w:p>
        </w:tc>
        <w:tc>
          <w:tcPr>
            <w:tcW w:w="4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460" w:type="dxa"/>
            <w:vAlign w:val="bottom"/>
          </w:tcPr>
          <w:p>
            <w:pPr>
              <w:spacing w:after="0"/>
              <w:rPr>
                <w:sz w:val="24"/>
                <w:szCs w:val="24"/>
                <w:color w:val="auto"/>
              </w:rPr>
            </w:pPr>
          </w:p>
        </w:tc>
        <w:tc>
          <w:tcPr>
            <w:tcW w:w="2740" w:type="dxa"/>
            <w:vAlign w:val="bottom"/>
            <w:gridSpan w:val="2"/>
          </w:tcPr>
          <w:p>
            <w:pPr>
              <w:ind w:left="200"/>
              <w:spacing w:after="0"/>
              <w:rPr>
                <w:sz w:val="20"/>
                <w:szCs w:val="20"/>
                <w:color w:val="auto"/>
              </w:rPr>
            </w:pPr>
            <w:r>
              <w:rPr>
                <w:rFonts w:ascii="Arial" w:cs="Arial" w:eastAsia="Arial" w:hAnsi="Arial"/>
                <w:sz w:val="20"/>
                <w:szCs w:val="20"/>
                <w:color w:val="0000FF"/>
              </w:rPr>
              <w:t>Chief Financial Officer</w:t>
            </w: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4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6. Individual or Joint/Group Filing</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ind w:left="220"/>
              <w:spacing w:after="0" w:line="195" w:lineRule="exact"/>
              <w:rPr>
                <w:sz w:val="20"/>
                <w:szCs w:val="20"/>
                <w:color w:val="auto"/>
              </w:rPr>
            </w:pPr>
            <w:r>
              <w:rPr>
                <w:rFonts w:ascii="Arial" w:cs="Arial" w:eastAsia="Arial" w:hAnsi="Arial"/>
                <w:sz w:val="20"/>
                <w:szCs w:val="20"/>
                <w:color w:val="0000FF"/>
              </w:rPr>
              <w:t>X</w:t>
            </w: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198"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6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9"/>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60"/>
        <w:spacing w:after="0"/>
        <w:rPr>
          <w:sz w:val="20"/>
          <w:szCs w:val="20"/>
          <w:color w:val="auto"/>
        </w:rPr>
      </w:pPr>
      <w:r>
        <w:rPr>
          <w:rFonts w:ascii="Arial" w:cs="Arial" w:eastAsia="Arial" w:hAnsi="Arial"/>
          <w:sz w:val="20"/>
          <w:szCs w:val="20"/>
          <w:color w:val="0000FF"/>
        </w:rPr>
        <w:t>/s/ Christopher L. Howard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4170045</wp:posOffset>
            </wp:positionH>
            <wp:positionV relativeFrom="paragraph">
              <wp:posOffset>-15240</wp:posOffset>
            </wp:positionV>
            <wp:extent cx="130048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00480" cy="9525"/>
                    </a:xfrm>
                    <a:prstGeom prst="rect">
                      <a:avLst/>
                    </a:prstGeom>
                    <a:noFill/>
                  </pic:spPr>
                </pic:pic>
              </a:graphicData>
            </a:graphic>
          </wp:anchor>
        </w:drawing>
      </w:r>
    </w:p>
    <w:p>
      <w:pPr>
        <w:ind w:left="6560"/>
        <w:spacing w:after="0"/>
        <w:tabs>
          <w:tab w:leader="none" w:pos="8740" w:val="left"/>
        </w:tabs>
        <w:rPr>
          <w:sz w:val="20"/>
          <w:szCs w:val="20"/>
          <w:color w:val="auto"/>
        </w:rPr>
      </w:pPr>
      <w:r>
        <w:rPr>
          <w:rFonts w:ascii="Arial" w:cs="Arial" w:eastAsia="Arial" w:hAnsi="Arial"/>
          <w:sz w:val="20"/>
          <w:szCs w:val="20"/>
          <w:color w:val="0000FF"/>
        </w:rPr>
        <w:t>as Attorney in Fact for</w:t>
      </w:r>
      <w:r>
        <w:rPr>
          <w:sz w:val="20"/>
          <w:szCs w:val="20"/>
          <w:color w:val="auto"/>
        </w:rPr>
        <w:tab/>
      </w:r>
      <w:r>
        <w:rPr>
          <w:rFonts w:ascii="Arial" w:cs="Arial" w:eastAsia="Arial" w:hAnsi="Arial"/>
          <w:sz w:val="17"/>
          <w:szCs w:val="17"/>
          <w:color w:val="0000FF"/>
        </w:rPr>
        <w:t>07/11/2023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4170045</wp:posOffset>
            </wp:positionH>
            <wp:positionV relativeFrom="paragraph">
              <wp:posOffset>-20320</wp:posOffset>
            </wp:positionV>
            <wp:extent cx="195262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262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Heather B. Dixon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4170045</wp:posOffset>
            </wp:positionH>
            <wp:positionV relativeFrom="paragraph">
              <wp:posOffset>-20320</wp:posOffset>
            </wp:positionV>
            <wp:extent cx="8775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877570" cy="9525"/>
                    </a:xfrm>
                    <a:prstGeom prst="rect">
                      <a:avLst/>
                    </a:prstGeom>
                    <a:noFill/>
                  </pic:spPr>
                </pic:pic>
              </a:graphicData>
            </a:graphic>
          </wp:anchor>
        </w:drawing>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2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5"/>
        </w:trPr>
        <w:tc>
          <w:tcPr>
            <w:tcW w:w="8460" w:type="dxa"/>
            <w:vAlign w:val="bottom"/>
            <w:vMerge w:val="restart"/>
          </w:tcPr>
          <w:p>
            <w:pPr>
              <w:ind w:left="652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84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10060"/>
        <w:spacing w:after="0"/>
        <w:rPr>
          <w:sz w:val="20"/>
          <w:szCs w:val="20"/>
          <w:color w:val="auto"/>
        </w:rPr>
      </w:pPr>
      <w:r>
        <w:rPr>
          <w:rFonts w:ascii="Arial" w:cs="Arial" w:eastAsia="Arial" w:hAnsi="Arial"/>
          <w:sz w:val="18"/>
          <w:szCs w:val="18"/>
          <w:b w:val="1"/>
          <w:bCs w:val="1"/>
          <w:color w:val="990000"/>
        </w:rPr>
        <w:t>Exhibit 24</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990000"/>
        </w:rPr>
        <w:t>POWER OF ATTORNEY</w:t>
      </w:r>
    </w:p>
    <w:p>
      <w:pPr>
        <w:spacing w:after="0" w:line="234" w:lineRule="exact"/>
        <w:rPr>
          <w:sz w:val="20"/>
          <w:szCs w:val="20"/>
          <w:color w:val="auto"/>
        </w:rPr>
      </w:pPr>
    </w:p>
    <w:p>
      <w:pPr>
        <w:spacing w:after="0" w:line="305" w:lineRule="auto"/>
        <w:rPr>
          <w:sz w:val="20"/>
          <w:szCs w:val="20"/>
          <w:color w:val="auto"/>
        </w:rPr>
      </w:pPr>
      <w:r>
        <w:rPr>
          <w:rFonts w:ascii="Arial" w:cs="Arial" w:eastAsia="Arial" w:hAnsi="Arial"/>
          <w:sz w:val="19"/>
          <w:szCs w:val="19"/>
          <w:color w:val="auto"/>
        </w:rPr>
        <w:t>Know all by these presents, that the undersigned hereby constitutes and appoints each of Brian P. Farley and Christopher L. Howard, or either of them signing singly, and with full power of substitution, the undersigned’s true and lawful attorney-in-fact to:</w:t>
      </w:r>
    </w:p>
    <w:p>
      <w:pPr>
        <w:spacing w:after="0" w:line="165" w:lineRule="exact"/>
        <w:rPr>
          <w:sz w:val="20"/>
          <w:szCs w:val="20"/>
          <w:color w:val="auto"/>
        </w:rPr>
      </w:pPr>
    </w:p>
    <w:p>
      <w:pPr>
        <w:jc w:val="both"/>
        <w:spacing w:after="0" w:line="277" w:lineRule="auto"/>
        <w:tabs>
          <w:tab w:leader="none" w:pos="771" w:val="left"/>
        </w:tabs>
        <w:numPr>
          <w:ilvl w:val="0"/>
          <w:numId w:val="2"/>
        </w:numPr>
        <w:rPr>
          <w:rFonts w:ascii="Arial" w:cs="Arial" w:eastAsia="Arial" w:hAnsi="Arial"/>
          <w:sz w:val="19"/>
          <w:szCs w:val="19"/>
          <w:color w:val="auto"/>
        </w:rPr>
      </w:pPr>
      <w:r>
        <w:rPr>
          <w:rFonts w:ascii="Arial" w:cs="Arial" w:eastAsia="Arial" w:hAnsi="Arial"/>
          <w:sz w:val="19"/>
          <w:szCs w:val="19"/>
          <w:color w:val="auto"/>
        </w:rPr>
        <w:t>to the extent necessary,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91" w:lineRule="exact"/>
        <w:rPr>
          <w:rFonts w:ascii="Arial" w:cs="Arial" w:eastAsia="Arial" w:hAnsi="Arial"/>
          <w:sz w:val="19"/>
          <w:szCs w:val="19"/>
          <w:color w:val="auto"/>
        </w:rPr>
      </w:pPr>
    </w:p>
    <w:p>
      <w:pPr>
        <w:jc w:val="both"/>
        <w:spacing w:after="0" w:line="264" w:lineRule="auto"/>
        <w:tabs>
          <w:tab w:leader="none" w:pos="723" w:val="left"/>
        </w:tabs>
        <w:numPr>
          <w:ilvl w:val="0"/>
          <w:numId w:val="2"/>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Acadia Healthcare Company, Inc. (the “Company”), Forms 3, 4, and 5 in accordance with Section 16(a) of the Securities Exchange Act of 1934 and the rules thereunder;</w:t>
      </w:r>
    </w:p>
    <w:p>
      <w:pPr>
        <w:spacing w:after="0" w:line="201" w:lineRule="exact"/>
        <w:rPr>
          <w:rFonts w:ascii="Arial" w:cs="Arial" w:eastAsia="Arial" w:hAnsi="Arial"/>
          <w:sz w:val="20"/>
          <w:szCs w:val="20"/>
          <w:color w:val="auto"/>
        </w:rPr>
      </w:pPr>
    </w:p>
    <w:p>
      <w:pPr>
        <w:jc w:val="both"/>
        <w:spacing w:after="0" w:line="264" w:lineRule="auto"/>
        <w:tabs>
          <w:tab w:leader="none" w:pos="769" w:val="left"/>
        </w:tabs>
        <w:numPr>
          <w:ilvl w:val="0"/>
          <w:numId w:val="2"/>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1" w:lineRule="exact"/>
        <w:rPr>
          <w:rFonts w:ascii="Arial" w:cs="Arial" w:eastAsia="Arial" w:hAnsi="Arial"/>
          <w:sz w:val="20"/>
          <w:szCs w:val="20"/>
          <w:color w:val="auto"/>
        </w:rPr>
      </w:pPr>
    </w:p>
    <w:p>
      <w:pPr>
        <w:jc w:val="both"/>
        <w:spacing w:after="0" w:line="277" w:lineRule="auto"/>
        <w:tabs>
          <w:tab w:leader="none" w:pos="733" w:val="left"/>
        </w:tabs>
        <w:numPr>
          <w:ilvl w:val="0"/>
          <w:numId w:val="2"/>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spacing w:after="0" w:line="243" w:lineRule="exact"/>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fact, in serving in such capacity at the request of the undersigned, are not assuming, nor is the Company assuming, any of the undersigned’s responsibilities to comply with Section 16 of the Securities Exchange Act of 1934.</w:t>
      </w:r>
    </w:p>
    <w:p>
      <w:pPr>
        <w:spacing w:after="0" w:line="226" w:lineRule="exact"/>
        <w:rPr>
          <w:sz w:val="20"/>
          <w:szCs w:val="20"/>
          <w:color w:val="auto"/>
        </w:rPr>
      </w:pPr>
    </w:p>
    <w:p>
      <w:pPr>
        <w:jc w:val="both"/>
        <w:spacing w:after="0" w:line="246" w:lineRule="exact"/>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MS PGothic" w:cs="MS PGothic" w:eastAsia="MS PGothic" w:hAnsi="MS PGothic"/>
          <w:sz w:val="20"/>
          <w:szCs w:val="20"/>
          <w:color w:val="auto"/>
        </w:rPr>
        <w:t>‑</w:t>
      </w:r>
      <w:r>
        <w:rPr>
          <w:rFonts w:ascii="Arial" w:cs="Arial" w:eastAsia="Arial" w:hAnsi="Arial"/>
          <w:sz w:val="20"/>
          <w:szCs w:val="20"/>
          <w:color w:val="auto"/>
        </w:rPr>
        <w:t>in</w:t>
      </w:r>
      <w:r>
        <w:rPr>
          <w:rFonts w:ascii="MS PGothic" w:cs="MS PGothic" w:eastAsia="MS PGothic" w:hAnsi="MS PGothic"/>
          <w:sz w:val="20"/>
          <w:szCs w:val="20"/>
          <w:color w:val="auto"/>
        </w:rPr>
        <w:t>‑</w:t>
      </w:r>
      <w:r>
        <w:rPr>
          <w:rFonts w:ascii="Arial" w:cs="Arial" w:eastAsia="Arial" w:hAnsi="Arial"/>
          <w:sz w:val="20"/>
          <w:szCs w:val="20"/>
          <w:color w:val="auto"/>
        </w:rPr>
        <w:t>fact.</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10th day of July, 2023.</w:t>
      </w:r>
    </w:p>
    <w:p>
      <w:pPr>
        <w:spacing w:after="0" w:line="262" w:lineRule="exact"/>
        <w:rPr>
          <w:sz w:val="20"/>
          <w:szCs w:val="20"/>
          <w:color w:val="auto"/>
        </w:rPr>
      </w:pPr>
    </w:p>
    <w:p>
      <w:pPr>
        <w:jc w:val="center"/>
        <w:ind w:left="920"/>
        <w:spacing w:after="0"/>
        <w:rPr>
          <w:sz w:val="20"/>
          <w:szCs w:val="20"/>
          <w:color w:val="auto"/>
        </w:rPr>
      </w:pPr>
      <w:r>
        <w:rPr>
          <w:rFonts w:ascii="Arial" w:cs="Arial" w:eastAsia="Arial" w:hAnsi="Arial"/>
          <w:sz w:val="20"/>
          <w:szCs w:val="20"/>
          <w:u w:val="single" w:color="auto"/>
          <w:color w:val="auto"/>
        </w:rPr>
        <w:t>/s/ Heather B. Dixon</w:t>
      </w:r>
    </w:p>
    <w:p>
      <w:pPr>
        <w:spacing w:after="0" w:line="26" w:lineRule="exact"/>
        <w:rPr>
          <w:sz w:val="20"/>
          <w:szCs w:val="20"/>
          <w:color w:val="auto"/>
        </w:rPr>
      </w:pPr>
    </w:p>
    <w:p>
      <w:pPr>
        <w:jc w:val="center"/>
        <w:ind w:left="920"/>
        <w:spacing w:after="0"/>
        <w:rPr>
          <w:sz w:val="20"/>
          <w:szCs w:val="20"/>
          <w:color w:val="auto"/>
        </w:rPr>
      </w:pPr>
      <w:r>
        <w:rPr>
          <w:rFonts w:ascii="Arial" w:cs="Arial" w:eastAsia="Arial" w:hAnsi="Arial"/>
          <w:sz w:val="20"/>
          <w:szCs w:val="20"/>
          <w:color w:val="auto"/>
        </w:rPr>
        <w:t>Heather B. Dixon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222250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720793" TargetMode="External"/><Relationship Id="rId11" Type="http://schemas.openxmlformats.org/officeDocument/2006/relationships/hyperlink" Target="http://www.sec.gov/cgi-bin/browse-edgar?action=getcompany&amp;CIK=00015206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2023-07-11T16:12:40Z</dcterms:created>
  <dcterms:modified xsi:type="dcterms:W3CDTF">2023-07-11T16:12:40Z</dcterms:modified>
</cp:coreProperties>
</file>