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WAUD REEVE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4020 ASPEN GROVE DRIVE, SUITE 900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FRANKLIN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Acadia Healthcare Company, Inc.</w:t>
              </w:r>
            </w:hyperlink>
            <w:r>
              <w:rPr/>
              <w:t xml:space="preserve"> [ </w:t>
            </w:r>
            <w:r>
              <w:rPr>
                <w:rFonts w:ascii="Times;serif" w:hAnsi="Times;serif"/>
                <w:color w:val="0000FF"/>
                <w:sz w:val="24"/>
                <w:shd w:fill="FFFFFF" w:val="clear"/>
              </w:rPr>
              <w:t>ACHC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616"/>
        <w:gridCol w:w="1163"/>
        <w:gridCol w:w="996"/>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6,331</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66,283</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9,576</w:t>
            </w:r>
            <w:r>
              <w:rPr>
                <w:rFonts w:ascii="Times;serif" w:hAnsi="Times;serif"/>
                <w:color w:val="008000"/>
                <w:position w:val="7"/>
                <w:sz w:val="16"/>
                <w:sz w:val="20"/>
                <w:shd w:fill="FFFFFF" w:val="clear"/>
              </w:rPr>
              <w:t>(2)</w:t>
            </w:r>
            <w:r>
              <w:rPr/>
              <w:t xml:space="preserve"> </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75,859</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653,015</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(3)(4)(5)</w:t>
            </w:r>
            <w:r>
              <w:rPr/>
              <w:t xml:space="preserve"> </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will vest over a 3-year period in equal yearly installments beginning May 6,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Mr. Waud's election to receive his annual cash retainer as a director for 2026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owned of record as follows: (i) 225,519 shares by the Halcyon Trust, (ii) 37,493 shares by Waud Capital Partners, L.L.C. ("WCP LLC"), (iii) 155,930 shares by the Reeve B. Waud Jr. 2012 Family Trust (the "2012 RBW Jr Family Trust"), (iv) 155,930 shares by the Cecily R.M. Waud 2012 Family Trust (the "2012 CRMW Family Trust"), (v) 43,643 shares by the Cornelius Byron Waud 2002 Trust (the "2002 CBW Family Trust"), and (vi) 34,500 shares by the Corinna Reeve Waud 2002 Trust ("2002 CRW Family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Mr. Waud may be deemed to beneficially own the shares of common stock described above by virtue of (A) his being the investment advisor of the Halcyon Trust of which Mr. Waud's children are beneficiaries, (B) his being the sole manager of WCP LLC, (C) his being the investment advisor of the 2012 RBW Jr Family Trust and the 2012 CRMW Family Trust of which Mr. Waud's grandchildren are beneficiaries, and (D) his being appointed, in June 2023, as the co-trustee of the 2002 CBW Family Trust and the 2002 CRW Family Trust of which Mr. Waud's parents are beneficiaries.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Mr. Waud expressly disclaims beneficial ownership of the reported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Reeve B. Waud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1620" TargetMode="External"/><Relationship Id="rId5" Type="http://schemas.openxmlformats.org/officeDocument/2006/relationships/hyperlink" Target="http://www.sec.gov/cgi-bin/browse-edgar?action=getcompany&amp;CIK=00015206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4295</Characters>
  <CharactersWithSpaces>5047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