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2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720" w:type="dxa"/>
            <w:vAlign w:val="bottom"/>
            <w:tcBorders>
              <w:bottom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720" w:type="dxa"/>
            <w:vAlign w:val="bottom"/>
            <w:tcBorders>
              <w:bottom w:val="single" w:sz="8" w:color="auto"/>
            </w:tcBorders>
            <w:gridSpan w:val="4"/>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0" w:type="dxa"/>
            <w:vAlign w:val="bottom"/>
            <w:gridSpan w:val="10"/>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Commission File Number: 001-35331</w:t>
            </w:r>
          </w:p>
        </w:tc>
        <w:tc>
          <w:tcPr>
            <w:tcW w:w="5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440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6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468"/>
        </w:trPr>
        <w:tc>
          <w:tcPr>
            <w:tcW w:w="11240" w:type="dxa"/>
            <w:vAlign w:val="bottom"/>
            <w:gridSpan w:val="14"/>
          </w:tcPr>
          <w:p>
            <w:pPr>
              <w:jc w:val="center"/>
              <w:spacing w:after="0"/>
              <w:rPr>
                <w:sz w:val="20"/>
                <w:szCs w:val="20"/>
                <w:color w:val="auto"/>
              </w:rPr>
            </w:pPr>
            <w:r>
              <w:rPr>
                <w:rFonts w:ascii="Times New Roman" w:cs="Times New Roman" w:eastAsia="Times New Roman" w:hAnsi="Times New Roman"/>
                <w:sz w:val="40"/>
                <w:szCs w:val="40"/>
                <w:b w:val="1"/>
                <w:bCs w:val="1"/>
                <w:color w:val="auto"/>
                <w:w w:val="97"/>
              </w:rPr>
              <w:t>ACADIA HEALTHCARE COMPANY, INC.</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3840" w:type="dxa"/>
            <w:vAlign w:val="bottom"/>
            <w:gridSpan w:val="11"/>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5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560" w:type="dxa"/>
            <w:vAlign w:val="bottom"/>
            <w:vMerge w:val="restart"/>
          </w:tcPr>
          <w:p>
            <w:pPr>
              <w:jc w:val="center"/>
              <w:ind w:left="263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40" w:type="dxa"/>
            <w:vAlign w:val="bottom"/>
            <w:gridSpan w:val="2"/>
            <w:vMerge w:val="restart"/>
          </w:tcPr>
          <w:p>
            <w:pPr>
              <w:jc w:val="center"/>
              <w:ind w:right="2390"/>
              <w:spacing w:after="0"/>
              <w:rPr>
                <w:sz w:val="20"/>
                <w:szCs w:val="20"/>
                <w:color w:val="auto"/>
              </w:rPr>
            </w:pPr>
            <w:r>
              <w:rPr>
                <w:rFonts w:ascii="Times New Roman" w:cs="Times New Roman" w:eastAsia="Times New Roman" w:hAnsi="Times New Roman"/>
                <w:sz w:val="14"/>
                <w:szCs w:val="14"/>
                <w:b w:val="1"/>
                <w:bCs w:val="1"/>
                <w:color w:val="auto"/>
              </w:rPr>
              <w:t>45-2492228</w:t>
            </w:r>
          </w:p>
        </w:tc>
        <w:tc>
          <w:tcPr>
            <w:tcW w:w="0" w:type="dxa"/>
            <w:vAlign w:val="bottom"/>
          </w:tcPr>
          <w:p>
            <w:pPr>
              <w:spacing w:after="0"/>
              <w:rPr>
                <w:sz w:val="1"/>
                <w:szCs w:val="1"/>
                <w:color w:val="auto"/>
              </w:rPr>
            </w:pPr>
          </w:p>
        </w:tc>
      </w:tr>
      <w:tr>
        <w:trPr>
          <w:trHeight w:val="176"/>
        </w:trPr>
        <w:tc>
          <w:tcPr>
            <w:tcW w:w="356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480" w:type="dxa"/>
            <w:vAlign w:val="bottom"/>
            <w:gridSpan w:val="6"/>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40" w:type="dxa"/>
            <w:vAlign w:val="bottom"/>
            <w:gridSpan w:val="2"/>
          </w:tcPr>
          <w:p>
            <w:pPr>
              <w:jc w:val="center"/>
              <w:ind w:right="239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648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gridSpan w:val="2"/>
          </w:tcPr>
          <w:p>
            <w:pPr>
              <w:jc w:val="center"/>
              <w:ind w:right="239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8"/>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6100 Tower Circle, Suite 1000</w:t>
            </w:r>
          </w:p>
        </w:tc>
        <w:tc>
          <w:tcPr>
            <w:tcW w:w="5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2"/>
          </w:tcPr>
          <w:p>
            <w:pPr>
              <w:jc w:val="center"/>
              <w:ind w:left="193"/>
              <w:spacing w:after="0" w:line="153" w:lineRule="exact"/>
              <w:rPr>
                <w:sz w:val="20"/>
                <w:szCs w:val="20"/>
                <w:color w:val="auto"/>
              </w:rPr>
            </w:pPr>
            <w:r>
              <w:rPr>
                <w:rFonts w:ascii="Times New Roman" w:cs="Times New Roman" w:eastAsia="Times New Roman" w:hAnsi="Times New Roman"/>
                <w:sz w:val="14"/>
                <w:szCs w:val="14"/>
                <w:b w:val="1"/>
                <w:bCs w:val="1"/>
                <w:color w:val="auto"/>
              </w:rPr>
              <w:t>Franklin, Tennessee 37067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60" w:type="dxa"/>
            <w:vAlign w:val="bottom"/>
          </w:tcPr>
          <w:p>
            <w:pPr>
              <w:spacing w:after="0"/>
              <w:rPr>
                <w:sz w:val="14"/>
                <w:szCs w:val="14"/>
                <w:color w:val="auto"/>
              </w:rPr>
            </w:pPr>
          </w:p>
        </w:tc>
        <w:tc>
          <w:tcPr>
            <w:tcW w:w="4400" w:type="dxa"/>
            <w:vAlign w:val="bottom"/>
            <w:gridSpan w:val="12"/>
          </w:tcPr>
          <w:p>
            <w:pPr>
              <w:jc w:val="center"/>
              <w:ind w:right="212"/>
              <w:spacing w:after="0"/>
              <w:rPr>
                <w:sz w:val="20"/>
                <w:szCs w:val="20"/>
                <w:color w:val="auto"/>
              </w:rPr>
            </w:pPr>
            <w:r>
              <w:rPr>
                <w:rFonts w:ascii="Times New Roman" w:cs="Times New Roman" w:eastAsia="Times New Roman" w:hAnsi="Times New Roman"/>
                <w:sz w:val="13"/>
                <w:szCs w:val="13"/>
                <w:b w:val="1"/>
                <w:bCs w:val="1"/>
                <w:color w:val="auto"/>
                <w:w w:val="96"/>
              </w:rPr>
              <w:t>(Address, including zip code, of registrant’s principal executive offices)</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920" w:type="dxa"/>
            <w:vAlign w:val="bottom"/>
            <w:gridSpan w:val="5"/>
          </w:tcPr>
          <w:p>
            <w:pPr>
              <w:jc w:val="center"/>
              <w:ind w:left="1151"/>
              <w:spacing w:after="0"/>
              <w:rPr>
                <w:sz w:val="20"/>
                <w:szCs w:val="20"/>
                <w:color w:val="auto"/>
              </w:rPr>
            </w:pPr>
            <w:r>
              <w:rPr>
                <w:rFonts w:ascii="Times New Roman" w:cs="Times New Roman" w:eastAsia="Times New Roman" w:hAnsi="Times New Roman"/>
                <w:sz w:val="14"/>
                <w:szCs w:val="14"/>
                <w:b w:val="1"/>
                <w:bCs w:val="1"/>
                <w:color w:val="auto"/>
              </w:rPr>
              <w:t>(615) 861-6000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60" w:type="dxa"/>
            <w:vAlign w:val="bottom"/>
          </w:tcPr>
          <w:p>
            <w:pPr>
              <w:spacing w:after="0"/>
              <w:rPr>
                <w:sz w:val="14"/>
                <w:szCs w:val="14"/>
                <w:color w:val="auto"/>
              </w:rPr>
            </w:pPr>
          </w:p>
        </w:tc>
        <w:tc>
          <w:tcPr>
            <w:tcW w:w="3840" w:type="dxa"/>
            <w:vAlign w:val="bottom"/>
            <w:gridSpan w:val="11"/>
          </w:tcPr>
          <w:p>
            <w:pPr>
              <w:jc w:val="center"/>
              <w:ind w:left="211"/>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5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560" w:type="dxa"/>
            <w:vAlign w:val="bottom"/>
          </w:tcPr>
          <w:p>
            <w:pPr>
              <w:spacing w:after="0"/>
              <w:rPr>
                <w:sz w:val="18"/>
                <w:szCs w:val="18"/>
                <w:color w:val="auto"/>
              </w:rPr>
            </w:pPr>
          </w:p>
        </w:tc>
        <w:tc>
          <w:tcPr>
            <w:tcW w:w="3840" w:type="dxa"/>
            <w:vAlign w:val="bottom"/>
            <w:gridSpan w:val="11"/>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5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60" w:type="dxa"/>
            <w:vAlign w:val="bottom"/>
            <w:tcBorders>
              <w:bottom w:val="single" w:sz="8" w:color="auto"/>
            </w:tcBorders>
          </w:tcPr>
          <w:p>
            <w:pPr>
              <w:jc w:val="center"/>
              <w:ind w:left="756"/>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Borders>
              <w:bottom w:val="single" w:sz="8" w:color="auto"/>
            </w:tcBorders>
            <w:gridSpan w:val="2"/>
          </w:tcPr>
          <w:p>
            <w:pPr>
              <w:jc w:val="center"/>
              <w:ind w:left="213"/>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3"/>
                <w:szCs w:val="13"/>
                <w:b w:val="1"/>
                <w:bCs w:val="1"/>
                <w:color w:val="auto"/>
                <w:w w:val="96"/>
              </w:rPr>
              <w:t>Name of exchange on which registered</w:t>
            </w:r>
          </w:p>
        </w:tc>
        <w:tc>
          <w:tcPr>
            <w:tcW w:w="0" w:type="dxa"/>
            <w:vAlign w:val="bottom"/>
          </w:tcPr>
          <w:p>
            <w:pPr>
              <w:spacing w:after="0"/>
              <w:rPr>
                <w:sz w:val="1"/>
                <w:szCs w:val="1"/>
                <w:color w:val="auto"/>
              </w:rPr>
            </w:pPr>
          </w:p>
        </w:tc>
      </w:tr>
      <w:tr>
        <w:trPr>
          <w:trHeight w:val="186"/>
        </w:trPr>
        <w:tc>
          <w:tcPr>
            <w:tcW w:w="3560" w:type="dxa"/>
            <w:vAlign w:val="bottom"/>
          </w:tcPr>
          <w:p>
            <w:pPr>
              <w:jc w:val="center"/>
              <w:ind w:left="756"/>
              <w:spacing w:after="0"/>
              <w:rPr>
                <w:sz w:val="20"/>
                <w:szCs w:val="20"/>
                <w:color w:val="auto"/>
              </w:rPr>
            </w:pPr>
            <w:r>
              <w:rPr>
                <w:rFonts w:ascii="Times New Roman" w:cs="Times New Roman" w:eastAsia="Times New Roman" w:hAnsi="Times New Roman"/>
                <w:sz w:val="14"/>
                <w:szCs w:val="14"/>
                <w:b w:val="1"/>
                <w:bCs w:val="1"/>
                <w:color w:val="auto"/>
              </w:rPr>
              <w:t>Common Stock, $.01 par value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2"/>
          </w:tcPr>
          <w:p>
            <w:pPr>
              <w:jc w:val="center"/>
              <w:ind w:left="213"/>
              <w:spacing w:after="0"/>
              <w:rPr>
                <w:sz w:val="20"/>
                <w:szCs w:val="20"/>
                <w:color w:val="auto"/>
              </w:rPr>
            </w:pPr>
            <w:r>
              <w:rPr>
                <w:rFonts w:ascii="Times New Roman" w:cs="Times New Roman" w:eastAsia="Times New Roman" w:hAnsi="Times New Roman"/>
                <w:sz w:val="13"/>
                <w:szCs w:val="13"/>
                <w:b w:val="1"/>
                <w:bCs w:val="1"/>
                <w:color w:val="auto"/>
                <w:w w:val="93"/>
              </w:rPr>
              <w:t>ACHC</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80" w:type="dxa"/>
            <w:vAlign w:val="bottom"/>
          </w:tcPr>
          <w:p>
            <w:pPr>
              <w:jc w:val="center"/>
              <w:ind w:right="101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91"/>
        </w:trPr>
        <w:tc>
          <w:tcPr>
            <w:tcW w:w="3560" w:type="dxa"/>
            <w:vAlign w:val="bottom"/>
          </w:tcPr>
          <w:p>
            <w:pPr>
              <w:spacing w:after="0"/>
              <w:rPr>
                <w:sz w:val="16"/>
                <w:szCs w:val="16"/>
                <w:color w:val="auto"/>
              </w:rPr>
            </w:pPr>
          </w:p>
        </w:tc>
        <w:tc>
          <w:tcPr>
            <w:tcW w:w="4400" w:type="dxa"/>
            <w:vAlign w:val="bottom"/>
            <w:gridSpan w:val="12"/>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500" w:type="dxa"/>
            <w:vAlign w:val="bottom"/>
            <w:gridSpan w:val="3"/>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vMerge w:val="restart"/>
          </w:tcPr>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p>
        </w:tc>
        <w:tc>
          <w:tcPr>
            <w:tcW w:w="3280" w:type="dxa"/>
            <w:vAlign w:val="bottom"/>
            <w:vMerge w:val="restart"/>
          </w:tcPr>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40"/>
        </w:trPr>
        <w:tc>
          <w:tcPr>
            <w:tcW w:w="7400" w:type="dxa"/>
            <w:vAlign w:val="bottom"/>
            <w:gridSpan w:val="12"/>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gridSpan w:val="12"/>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40"/>
              <w:spacing w:after="0" w:line="188" w:lineRule="exact"/>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p>
        </w:tc>
        <w:tc>
          <w:tcPr>
            <w:tcW w:w="3280" w:type="dxa"/>
            <w:vAlign w:val="bottom"/>
          </w:tcPr>
          <w:p>
            <w:pPr>
              <w:ind w:left="140"/>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120"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80"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160" w:firstLine="51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4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Unicode MS" w:cs="Arial Unicode MS" w:eastAsia="Arial Unicode MS" w:hAnsi="Arial Unicode MS"/>
          <w:sz w:val="14"/>
          <w:szCs w:val="14"/>
          <w:color w:val="auto"/>
        </w:rPr>
        <w:t>☒</w:t>
      </w:r>
    </w:p>
    <w:p>
      <w:pPr>
        <w:spacing w:after="0" w:line="22"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Unicode MS" w:cs="Arial Unicode MS" w:eastAsia="Arial Unicode MS" w:hAnsi="Arial Unicode MS"/>
          <w:sz w:val="14"/>
          <w:szCs w:val="14"/>
          <w:color w:val="auto"/>
        </w:rPr>
        <w:t>☐</w:t>
      </w:r>
    </w:p>
    <w:p>
      <w:pPr>
        <w:spacing w:after="0" w:line="22"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Unicode MS" w:cs="Arial Unicode MS" w:eastAsia="Arial Unicode MS" w:hAnsi="Arial Unicode MS"/>
          <w:sz w:val="14"/>
          <w:szCs w:val="14"/>
          <w:color w:val="auto"/>
        </w:rPr>
        <w:t>☐</w:t>
      </w:r>
    </w:p>
    <w:p>
      <w:pPr>
        <w:spacing w:after="0" w:line="227" w:lineRule="exact"/>
        <w:rPr>
          <w:sz w:val="24"/>
          <w:szCs w:val="24"/>
          <w:color w:val="auto"/>
        </w:rPr>
      </w:pPr>
    </w:p>
    <w:p>
      <w:pPr>
        <w:sectPr>
          <w:pgSz w:w="11900" w:h="16838" w:orient="portrait"/>
          <w:cols w:equalWidth="0" w:num="6">
            <w:col w:w="2280" w:space="720"/>
            <w:col w:w="120" w:space="300"/>
            <w:col w:w="1700" w:space="720"/>
            <w:col w:w="140" w:space="280"/>
            <w:col w:w="1580" w:space="720"/>
            <w:col w:w="2680"/>
          </w:cols>
          <w:pgMar w:left="320" w:top="229" w:right="339" w:bottom="1440" w:gutter="0" w:footer="0" w:header="0"/>
          <w:type w:val="continuous"/>
        </w:sectPr>
      </w:pPr>
    </w:p>
    <w:p>
      <w:pPr>
        <w:ind w:right="60"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20"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80" w:firstLine="508"/>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360" w:firstLine="508"/>
        <w:spacing w:after="0" w:line="182"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ind w:left="520"/>
        <w:spacing w:after="0" w:line="188" w:lineRule="exact"/>
        <w:tabs>
          <w:tab w:leader="none" w:pos="7180" w:val="left"/>
          <w:tab w:leader="none" w:pos="77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52" w:lineRule="exact"/>
        <w:rPr>
          <w:sz w:val="24"/>
          <w:szCs w:val="24"/>
          <w:color w:val="auto"/>
        </w:rPr>
      </w:pPr>
    </w:p>
    <w:p>
      <w:pPr>
        <w:ind w:right="180" w:firstLine="510"/>
        <w:spacing w:after="0" w:line="261" w:lineRule="auto"/>
        <w:rPr>
          <w:sz w:val="20"/>
          <w:szCs w:val="20"/>
          <w:color w:val="auto"/>
        </w:rPr>
      </w:pPr>
      <w:r>
        <w:rPr>
          <w:rFonts w:ascii="Times New Roman" w:cs="Times New Roman" w:eastAsia="Times New Roman" w:hAnsi="Times New Roman"/>
          <w:sz w:val="14"/>
          <w:szCs w:val="14"/>
          <w:color w:val="auto"/>
        </w:rPr>
        <w:t>As of June 30, 2022, the aggregate market value of the shares of common stock of the registrant held by non-affiliates was approximately $6.0 billion, based on the closing price of the registrant’s common stock reported on the NASDAQ Global Select Market of $67.63 per share.</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February 28, 2023, there were 91,314,616 shares of the registrant’s common stock outstanding.</w:t>
      </w:r>
    </w:p>
    <w:p>
      <w:pPr>
        <w:spacing w:after="0" w:line="20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Portions of the registrant’s definitive proxy statement for its 2023 annual meeting of stockholders to be held on May 18, 2023 are incorporated by reference into Part III of this Form 10-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60" w:type="dxa"/>
            <w:vAlign w:val="bottom"/>
          </w:tcPr>
          <w:p>
            <w:pPr>
              <w:spacing w:after="0"/>
              <w:rPr>
                <w:sz w:val="17"/>
                <w:szCs w:val="17"/>
                <w:color w:val="auto"/>
              </w:rPr>
            </w:pPr>
          </w:p>
        </w:tc>
      </w:tr>
      <w:tr>
        <w:trPr>
          <w:trHeight w:val="889"/>
        </w:trPr>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00" w:type="dxa"/>
            <w:vAlign w:val="bottom"/>
            <w:gridSpan w:val="1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ACADIA HEALTHCARE COMPANY, INC.</w:t>
            </w:r>
          </w:p>
        </w:tc>
        <w:tc>
          <w:tcPr>
            <w:tcW w:w="116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2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60" w:type="dxa"/>
            <w:vAlign w:val="bottom"/>
          </w:tcPr>
          <w:p>
            <w:pPr>
              <w:spacing w:after="0"/>
              <w:rPr>
                <w:sz w:val="18"/>
                <w:szCs w:val="18"/>
                <w:color w:val="auto"/>
              </w:rPr>
            </w:pPr>
          </w:p>
        </w:tc>
      </w:tr>
      <w:tr>
        <w:trPr>
          <w:trHeight w:val="238"/>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4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60" w:type="dxa"/>
            <w:vAlign w:val="bottom"/>
          </w:tcPr>
          <w:p>
            <w:pPr>
              <w:spacing w:after="0"/>
              <w:rPr>
                <w:sz w:val="20"/>
                <w:szCs w:val="20"/>
                <w:color w:val="auto"/>
              </w:rPr>
            </w:pPr>
          </w:p>
        </w:tc>
      </w:tr>
      <w:tr>
        <w:trPr>
          <w:trHeight w:val="405"/>
        </w:trPr>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9480" w:type="dxa"/>
            <w:vAlign w:val="bottom"/>
            <w:gridSpan w:val="28"/>
          </w:tcPr>
          <w:p>
            <w:pPr>
              <w:spacing w:after="0"/>
              <w:rPr>
                <w:sz w:val="24"/>
                <w:szCs w:val="24"/>
                <w:color w:val="auto"/>
              </w:rPr>
            </w:pPr>
          </w:p>
        </w:tc>
        <w:tc>
          <w:tcPr>
            <w:tcW w:w="1160" w:type="dxa"/>
            <w:vAlign w:val="bottom"/>
          </w:tcPr>
          <w:p>
            <w:pPr>
              <w:spacing w:after="0"/>
              <w:rPr>
                <w:sz w:val="24"/>
                <w:szCs w:val="24"/>
                <w:color w:val="auto"/>
              </w:rPr>
            </w:pPr>
          </w:p>
        </w:tc>
      </w:tr>
      <w:tr>
        <w:trPr>
          <w:trHeight w:val="209"/>
        </w:trPr>
        <w:tc>
          <w:tcPr>
            <w:tcW w:w="460" w:type="dxa"/>
            <w:vAlign w:val="bottom"/>
          </w:tcPr>
          <w:p>
            <w:pPr>
              <w:spacing w:after="0"/>
              <w:rPr>
                <w:sz w:val="18"/>
                <w:szCs w:val="18"/>
                <w:color w:val="auto"/>
              </w:rPr>
            </w:pPr>
          </w:p>
        </w:tc>
        <w:tc>
          <w:tcPr>
            <w:tcW w:w="96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Item 1. Business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16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8020" w:type="dxa"/>
            <w:vAlign w:val="bottom"/>
            <w:gridSpan w:val="19"/>
          </w:tcPr>
          <w:p>
            <w:pPr>
              <w:spacing w:after="0"/>
              <w:rPr>
                <w:sz w:val="18"/>
                <w:szCs w:val="18"/>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9"/>
        </w:trPr>
        <w:tc>
          <w:tcPr>
            <w:tcW w:w="460" w:type="dxa"/>
            <w:vAlign w:val="bottom"/>
          </w:tcPr>
          <w:p>
            <w:pPr>
              <w:spacing w:after="0"/>
              <w:rPr>
                <w:sz w:val="18"/>
                <w:szCs w:val="18"/>
                <w:color w:val="auto"/>
              </w:rPr>
            </w:pPr>
          </w:p>
        </w:tc>
        <w:tc>
          <w:tcPr>
            <w:tcW w:w="96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10"/>
        </w:trPr>
        <w:tc>
          <w:tcPr>
            <w:tcW w:w="460" w:type="dxa"/>
            <w:vAlign w:val="bottom"/>
          </w:tcPr>
          <w:p>
            <w:pPr>
              <w:spacing w:after="0"/>
              <w:rPr>
                <w:sz w:val="18"/>
                <w:szCs w:val="18"/>
                <w:color w:val="auto"/>
              </w:rPr>
            </w:pPr>
          </w:p>
        </w:tc>
        <w:tc>
          <w:tcPr>
            <w:tcW w:w="13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Properties</w:t>
            </w:r>
          </w:p>
        </w:tc>
        <w:tc>
          <w:tcPr>
            <w:tcW w:w="1420" w:type="dxa"/>
            <w:vAlign w:val="bottom"/>
            <w:tcBorders>
              <w:top w:val="single" w:sz="8" w:color="0000EE"/>
            </w:tcBorders>
            <w:gridSpan w:val="9"/>
          </w:tcPr>
          <w:p>
            <w:pPr>
              <w:spacing w:after="0"/>
              <w:rPr>
                <w:sz w:val="18"/>
                <w:szCs w:val="18"/>
                <w:color w:val="auto"/>
              </w:rPr>
            </w:pPr>
          </w:p>
        </w:tc>
        <w:tc>
          <w:tcPr>
            <w:tcW w:w="6900" w:type="dxa"/>
            <w:vAlign w:val="bottom"/>
            <w:gridSpan w:val="12"/>
          </w:tcPr>
          <w:p>
            <w:pPr>
              <w:spacing w:after="0"/>
              <w:rPr>
                <w:sz w:val="18"/>
                <w:szCs w:val="18"/>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9"/>
        </w:trPr>
        <w:tc>
          <w:tcPr>
            <w:tcW w:w="460" w:type="dxa"/>
            <w:vAlign w:val="bottom"/>
          </w:tcPr>
          <w:p>
            <w:pPr>
              <w:spacing w:after="0"/>
              <w:rPr>
                <w:sz w:val="18"/>
                <w:szCs w:val="18"/>
                <w:color w:val="auto"/>
              </w:rPr>
            </w:pPr>
          </w:p>
        </w:tc>
        <w:tc>
          <w:tcPr>
            <w:tcW w:w="19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Legal Proceedings</w:t>
            </w:r>
          </w:p>
        </w:tc>
        <w:tc>
          <w:tcPr>
            <w:tcW w:w="7720" w:type="dxa"/>
            <w:vAlign w:val="bottom"/>
            <w:gridSpan w:val="18"/>
          </w:tcPr>
          <w:p>
            <w:pPr>
              <w:spacing w:after="0"/>
              <w:rPr>
                <w:sz w:val="18"/>
                <w:szCs w:val="18"/>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9"/>
        </w:trPr>
        <w:tc>
          <w:tcPr>
            <w:tcW w:w="460" w:type="dxa"/>
            <w:vAlign w:val="bottom"/>
          </w:tcPr>
          <w:p>
            <w:pPr>
              <w:spacing w:after="0"/>
              <w:rPr>
                <w:sz w:val="18"/>
                <w:szCs w:val="18"/>
                <w:color w:val="auto"/>
              </w:rPr>
            </w:pPr>
          </w:p>
        </w:tc>
        <w:tc>
          <w:tcPr>
            <w:tcW w:w="23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7280" w:type="dxa"/>
            <w:vAlign w:val="bottom"/>
            <w:gridSpan w:val="15"/>
          </w:tcPr>
          <w:p>
            <w:pPr>
              <w:spacing w:after="0"/>
              <w:rPr>
                <w:sz w:val="18"/>
                <w:szCs w:val="18"/>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10"/>
        </w:trPr>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1160" w:type="dxa"/>
            <w:vAlign w:val="bottom"/>
          </w:tcPr>
          <w:p>
            <w:pPr>
              <w:spacing w:after="0"/>
              <w:rPr>
                <w:sz w:val="18"/>
                <w:szCs w:val="18"/>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86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5. Market for Registrant’s Common Equity, Related Stockholder Matters and Issuer Purchases of Equity Securities</w:t>
            </w:r>
          </w:p>
        </w:tc>
        <w:tc>
          <w:tcPr>
            <w:tcW w:w="9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460" w:type="dxa"/>
            <w:vAlign w:val="bottom"/>
          </w:tcPr>
          <w:p>
            <w:pPr>
              <w:spacing w:after="0"/>
              <w:rPr>
                <w:sz w:val="18"/>
                <w:szCs w:val="18"/>
                <w:color w:val="auto"/>
              </w:rPr>
            </w:pPr>
          </w:p>
        </w:tc>
        <w:tc>
          <w:tcPr>
            <w:tcW w:w="13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6. [Reserved]</w:t>
            </w:r>
          </w:p>
        </w:tc>
        <w:tc>
          <w:tcPr>
            <w:tcW w:w="8260" w:type="dxa"/>
            <w:vAlign w:val="bottom"/>
            <w:gridSpan w:val="20"/>
          </w:tcPr>
          <w:p>
            <w:pPr>
              <w:spacing w:after="0"/>
              <w:rPr>
                <w:sz w:val="18"/>
                <w:szCs w:val="18"/>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10"/>
        </w:trPr>
        <w:tc>
          <w:tcPr>
            <w:tcW w:w="460" w:type="dxa"/>
            <w:vAlign w:val="bottom"/>
          </w:tcPr>
          <w:p>
            <w:pPr>
              <w:spacing w:after="0"/>
              <w:rPr>
                <w:sz w:val="18"/>
                <w:szCs w:val="18"/>
                <w:color w:val="auto"/>
              </w:rPr>
            </w:pPr>
          </w:p>
        </w:tc>
        <w:tc>
          <w:tcPr>
            <w:tcW w:w="70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 Management’s Discussion and Analysis of Financial Condition and Results of Operations</w:t>
            </w:r>
          </w:p>
        </w:tc>
        <w:tc>
          <w:tcPr>
            <w:tcW w:w="2600" w:type="dxa"/>
            <w:vAlign w:val="bottom"/>
            <w:gridSpan w:val="4"/>
          </w:tcPr>
          <w:p>
            <w:pPr>
              <w:spacing w:after="0"/>
              <w:rPr>
                <w:sz w:val="18"/>
                <w:szCs w:val="18"/>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9"/>
        </w:trPr>
        <w:tc>
          <w:tcPr>
            <w:tcW w:w="460" w:type="dxa"/>
            <w:vAlign w:val="bottom"/>
          </w:tcPr>
          <w:p>
            <w:pPr>
              <w:spacing w:after="0"/>
              <w:rPr>
                <w:sz w:val="18"/>
                <w:szCs w:val="18"/>
                <w:color w:val="auto"/>
              </w:rPr>
            </w:pPr>
          </w:p>
        </w:tc>
        <w:tc>
          <w:tcPr>
            <w:tcW w:w="96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9"/>
        </w:trPr>
        <w:tc>
          <w:tcPr>
            <w:tcW w:w="460" w:type="dxa"/>
            <w:vAlign w:val="bottom"/>
          </w:tcPr>
          <w:p>
            <w:pPr>
              <w:spacing w:after="0"/>
              <w:rPr>
                <w:sz w:val="18"/>
                <w:szCs w:val="18"/>
                <w:color w:val="auto"/>
              </w:rPr>
            </w:pPr>
          </w:p>
        </w:tc>
        <w:tc>
          <w:tcPr>
            <w:tcW w:w="388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8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460" w:type="dxa"/>
            <w:vAlign w:val="bottom"/>
          </w:tcPr>
          <w:p>
            <w:pPr>
              <w:spacing w:after="0"/>
              <w:rPr>
                <w:sz w:val="18"/>
                <w:szCs w:val="18"/>
                <w:color w:val="auto"/>
              </w:rPr>
            </w:pPr>
          </w:p>
        </w:tc>
        <w:tc>
          <w:tcPr>
            <w:tcW w:w="70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 Changes in and Disagreements with Accountants on Accounting and Financial Disclosure</w:t>
            </w:r>
          </w:p>
        </w:tc>
        <w:tc>
          <w:tcPr>
            <w:tcW w:w="90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0"/>
        </w:trPr>
        <w:tc>
          <w:tcPr>
            <w:tcW w:w="460" w:type="dxa"/>
            <w:vAlign w:val="bottom"/>
          </w:tcPr>
          <w:p>
            <w:pPr>
              <w:spacing w:after="0"/>
              <w:rPr>
                <w:sz w:val="18"/>
                <w:szCs w:val="18"/>
                <w:color w:val="auto"/>
              </w:rPr>
            </w:pPr>
          </w:p>
        </w:tc>
        <w:tc>
          <w:tcPr>
            <w:tcW w:w="96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10"/>
        </w:trPr>
        <w:tc>
          <w:tcPr>
            <w:tcW w:w="460" w:type="dxa"/>
            <w:vAlign w:val="bottom"/>
          </w:tcPr>
          <w:p>
            <w:pPr>
              <w:spacing w:after="0"/>
              <w:rPr>
                <w:sz w:val="18"/>
                <w:szCs w:val="18"/>
                <w:color w:val="auto"/>
              </w:rPr>
            </w:pPr>
          </w:p>
        </w:tc>
        <w:tc>
          <w:tcPr>
            <w:tcW w:w="20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9B. Other Information</w:t>
            </w:r>
          </w:p>
        </w:tc>
        <w:tc>
          <w:tcPr>
            <w:tcW w:w="460" w:type="dxa"/>
            <w:vAlign w:val="bottom"/>
            <w:tcBorders>
              <w:top w:val="single" w:sz="8" w:color="0000EE"/>
            </w:tcBorders>
            <w:gridSpan w:val="4"/>
          </w:tcPr>
          <w:p>
            <w:pPr>
              <w:spacing w:after="0"/>
              <w:rPr>
                <w:sz w:val="18"/>
                <w:szCs w:val="18"/>
                <w:color w:val="auto"/>
              </w:rPr>
            </w:pPr>
          </w:p>
        </w:tc>
        <w:tc>
          <w:tcPr>
            <w:tcW w:w="7160" w:type="dxa"/>
            <w:vAlign w:val="bottom"/>
            <w:gridSpan w:val="13"/>
          </w:tcPr>
          <w:p>
            <w:pPr>
              <w:spacing w:after="0"/>
              <w:rPr>
                <w:sz w:val="18"/>
                <w:szCs w:val="18"/>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9"/>
        </w:trPr>
        <w:tc>
          <w:tcPr>
            <w:tcW w:w="460" w:type="dxa"/>
            <w:vAlign w:val="bottom"/>
          </w:tcPr>
          <w:p>
            <w:pPr>
              <w:spacing w:after="0"/>
              <w:rPr>
                <w:sz w:val="18"/>
                <w:szCs w:val="18"/>
                <w:color w:val="auto"/>
              </w:rPr>
            </w:pPr>
          </w:p>
        </w:tc>
        <w:tc>
          <w:tcPr>
            <w:tcW w:w="55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9C. Disclosure Regarding Foreign Jurisdictions that Prevent Inspections</w:t>
            </w:r>
          </w:p>
        </w:tc>
        <w:tc>
          <w:tcPr>
            <w:tcW w:w="4040" w:type="dxa"/>
            <w:vAlign w:val="bottom"/>
            <w:gridSpan w:val="6"/>
          </w:tcPr>
          <w:p>
            <w:pPr>
              <w:spacing w:after="0"/>
              <w:rPr>
                <w:sz w:val="18"/>
                <w:szCs w:val="18"/>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9"/>
        </w:trPr>
        <w:tc>
          <w:tcPr>
            <w:tcW w:w="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9340" w:type="dxa"/>
            <w:vAlign w:val="bottom"/>
            <w:gridSpan w:val="25"/>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460" w:type="dxa"/>
            <w:vAlign w:val="bottom"/>
          </w:tcPr>
          <w:p>
            <w:pPr>
              <w:spacing w:after="0"/>
              <w:rPr>
                <w:sz w:val="18"/>
                <w:szCs w:val="18"/>
                <w:color w:val="auto"/>
              </w:rPr>
            </w:pPr>
          </w:p>
        </w:tc>
        <w:tc>
          <w:tcPr>
            <w:tcW w:w="47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1360" w:type="dxa"/>
            <w:vAlign w:val="bottom"/>
            <w:gridSpan w:val="3"/>
          </w:tcPr>
          <w:p>
            <w:pPr>
              <w:spacing w:after="0"/>
              <w:rPr>
                <w:sz w:val="18"/>
                <w:szCs w:val="18"/>
                <w:color w:val="auto"/>
              </w:rPr>
            </w:pPr>
          </w:p>
        </w:tc>
        <w:tc>
          <w:tcPr>
            <w:tcW w:w="1840" w:type="dxa"/>
            <w:vAlign w:val="bottom"/>
            <w:gridSpan w:val="3"/>
          </w:tcPr>
          <w:p>
            <w:pPr>
              <w:spacing w:after="0"/>
              <w:rPr>
                <w:sz w:val="18"/>
                <w:szCs w:val="18"/>
                <w:color w:val="auto"/>
              </w:rPr>
            </w:pPr>
          </w:p>
        </w:tc>
        <w:tc>
          <w:tcPr>
            <w:tcW w:w="1680" w:type="dxa"/>
            <w:vAlign w:val="bottom"/>
            <w:gridSpan w:val="2"/>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9"/>
        </w:trPr>
        <w:tc>
          <w:tcPr>
            <w:tcW w:w="460" w:type="dxa"/>
            <w:vAlign w:val="bottom"/>
          </w:tcPr>
          <w:p>
            <w:pPr>
              <w:spacing w:after="0"/>
              <w:rPr>
                <w:sz w:val="18"/>
                <w:szCs w:val="18"/>
                <w:color w:val="auto"/>
              </w:rPr>
            </w:pPr>
          </w:p>
        </w:tc>
        <w:tc>
          <w:tcPr>
            <w:tcW w:w="24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11. Executive Compensation</w:t>
            </w:r>
          </w:p>
        </w:tc>
        <w:tc>
          <w:tcPr>
            <w:tcW w:w="106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5"/>
          </w:tcPr>
          <w:p>
            <w:pPr>
              <w:spacing w:after="0"/>
              <w:rPr>
                <w:sz w:val="18"/>
                <w:szCs w:val="18"/>
                <w:color w:val="auto"/>
              </w:rPr>
            </w:pPr>
          </w:p>
        </w:tc>
        <w:tc>
          <w:tcPr>
            <w:tcW w:w="1840" w:type="dxa"/>
            <w:vAlign w:val="bottom"/>
            <w:gridSpan w:val="3"/>
          </w:tcPr>
          <w:p>
            <w:pPr>
              <w:spacing w:after="0"/>
              <w:rPr>
                <w:sz w:val="18"/>
                <w:szCs w:val="18"/>
                <w:color w:val="auto"/>
              </w:rPr>
            </w:pPr>
          </w:p>
        </w:tc>
        <w:tc>
          <w:tcPr>
            <w:tcW w:w="1680" w:type="dxa"/>
            <w:vAlign w:val="bottom"/>
            <w:gridSpan w:val="2"/>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460" w:type="dxa"/>
            <w:vAlign w:val="bottom"/>
          </w:tcPr>
          <w:p>
            <w:pPr>
              <w:spacing w:after="0"/>
              <w:rPr>
                <w:sz w:val="18"/>
                <w:szCs w:val="18"/>
                <w:color w:val="auto"/>
              </w:rPr>
            </w:pPr>
          </w:p>
        </w:tc>
        <w:tc>
          <w:tcPr>
            <w:tcW w:w="79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 Matters</w:t>
            </w:r>
          </w:p>
        </w:tc>
        <w:tc>
          <w:tcPr>
            <w:tcW w:w="1680" w:type="dxa"/>
            <w:vAlign w:val="bottom"/>
            <w:gridSpan w:val="2"/>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0"/>
        </w:trPr>
        <w:tc>
          <w:tcPr>
            <w:tcW w:w="460" w:type="dxa"/>
            <w:vAlign w:val="bottom"/>
          </w:tcPr>
          <w:p>
            <w:pPr>
              <w:spacing w:after="0"/>
              <w:rPr>
                <w:sz w:val="18"/>
                <w:szCs w:val="18"/>
                <w:color w:val="auto"/>
              </w:rPr>
            </w:pPr>
          </w:p>
        </w:tc>
        <w:tc>
          <w:tcPr>
            <w:tcW w:w="96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10"/>
        </w:trPr>
        <w:tc>
          <w:tcPr>
            <w:tcW w:w="460" w:type="dxa"/>
            <w:vAlign w:val="bottom"/>
          </w:tcPr>
          <w:p>
            <w:pPr>
              <w:spacing w:after="0"/>
              <w:rPr>
                <w:sz w:val="18"/>
                <w:szCs w:val="18"/>
                <w:color w:val="auto"/>
              </w:rPr>
            </w:pPr>
          </w:p>
        </w:tc>
        <w:tc>
          <w:tcPr>
            <w:tcW w:w="610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3520" w:type="dxa"/>
            <w:vAlign w:val="bottom"/>
            <w:gridSpan w:val="5"/>
          </w:tcPr>
          <w:p>
            <w:pPr>
              <w:spacing w:after="0"/>
              <w:rPr>
                <w:sz w:val="18"/>
                <w:szCs w:val="18"/>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4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2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1160" w:type="dxa"/>
            <w:vAlign w:val="bottom"/>
          </w:tcPr>
          <w:p>
            <w:pPr>
              <w:spacing w:after="0"/>
              <w:rPr>
                <w:sz w:val="18"/>
                <w:szCs w:val="18"/>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582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96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10"/>
        </w:trPr>
        <w:tc>
          <w:tcPr>
            <w:tcW w:w="460" w:type="dxa"/>
            <w:vAlign w:val="bottom"/>
          </w:tcPr>
          <w:p>
            <w:pPr>
              <w:spacing w:after="0"/>
              <w:rPr>
                <w:sz w:val="18"/>
                <w:szCs w:val="18"/>
                <w:color w:val="auto"/>
              </w:rPr>
            </w:pPr>
          </w:p>
        </w:tc>
        <w:tc>
          <w:tcPr>
            <w:tcW w:w="38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Item 16. Form 10-K Summary</w:t>
            </w:r>
          </w:p>
        </w:tc>
        <w:tc>
          <w:tcPr>
            <w:tcW w:w="5820" w:type="dxa"/>
            <w:vAlign w:val="bottom"/>
            <w:gridSpan w:val="10"/>
          </w:tcPr>
          <w:p>
            <w:pPr>
              <w:spacing w:after="0"/>
              <w:rPr>
                <w:sz w:val="18"/>
                <w:szCs w:val="18"/>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10"/>
        </w:trPr>
        <w:tc>
          <w:tcPr>
            <w:tcW w:w="460" w:type="dxa"/>
            <w:vAlign w:val="bottom"/>
          </w:tcPr>
          <w:p>
            <w:pPr>
              <w:spacing w:after="0"/>
              <w:rPr>
                <w:sz w:val="18"/>
                <w:szCs w:val="18"/>
                <w:color w:val="auto"/>
              </w:rPr>
            </w:pPr>
          </w:p>
        </w:tc>
        <w:tc>
          <w:tcPr>
            <w:tcW w:w="220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420" w:type="dxa"/>
            <w:vAlign w:val="bottom"/>
            <w:gridSpan w:val="16"/>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053"/>
        </w:trPr>
        <w:tc>
          <w:tcPr>
            <w:tcW w:w="460" w:type="dxa"/>
            <w:vAlign w:val="bottom"/>
            <w:tcBorders>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Annual Report on Form 10-K to “Acadia,” “the Company,” “we,” “us” or “our” mean Acadia Healthcare Company, Inc. and its consolidated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10"/>
        <w:spacing w:after="0" w:line="274" w:lineRule="auto"/>
        <w:rPr>
          <w:sz w:val="20"/>
          <w:szCs w:val="20"/>
          <w:color w:val="auto"/>
        </w:rPr>
      </w:pPr>
      <w:r>
        <w:rPr>
          <w:rFonts w:ascii="Times New Roman" w:cs="Times New Roman" w:eastAsia="Times New Roman" w:hAnsi="Times New Roman"/>
          <w:sz w:val="17"/>
          <w:szCs w:val="17"/>
          <w:color w:val="auto"/>
        </w:rPr>
        <w:t>Our business strategy is to acquire and develop behavioral healthcare facilities and improve our operating results within our facilities and our other behavioral healthcare operations. We strive to improve the operating results of our facilities by providing high-quality services, expanding referral networks and marketing initiatives while meeting the increased demand for behavioral healthcare services through expansion of our current locations as well as developing new services within existing locations. At December 31, 2022, we operated 250 behavioral healthcare facilities with approximately 11,000 beds in 39 states and Puerto Rico. During the year ended December 31, 2022, we added 560 beds, consisting of 290 added to existing facilities and 270 added through the opening of one wholly-owned facility and two joint venture facilities, and we opened seven comprehensive treatment centers (“CTCs”).</w:t>
      </w:r>
    </w:p>
    <w:p>
      <w:pPr>
        <w:spacing w:after="0" w:line="173"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are the leading publicly traded pure-play provider of behavioral healthcare services in the United States (the “U.S.”). Management believes that we are positioned as a leading platform in a highly fragmented industry under the direction of an experienced management team that has significant industry expertise. Management expects to take advantage of several strategies that are more accessible as a result of our increased size and geographic scale, including continuing a national marketing strategy to attract new patients and referral sources, increasing our volume of out-of-state referrals, providing a broader range of services to new and existing patients and clients and selectively pursuing opportunities to expand our facility and bed count in the U.S. through acquisitions, wholly-owned de novo facilities, joint ventures and bed additions in existing facilities.</w:t>
      </w:r>
    </w:p>
    <w:p>
      <w:pPr>
        <w:spacing w:after="0" w:line="79"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On January 19, 2021, we completed the sale of our operations in the United Kingdom (the “U.K.”) to RemedcoUK Limited, a company organized under the laws of England and Wales and owned by funds managed or advised by Waterland Private Equity Fund VII (the “U.K. Sale”). The U.K. Sale allowed us to reduce our indebtedness and focus on our U.S. operations. We report, for all periods presented, results of operations and cash flows of the U.K. operations as discontinued operations in the accompanying financial statements. See “U.K. Sale” below for additional details about the U.K. Sale.</w:t>
      </w:r>
    </w:p>
    <w:p>
      <w:pPr>
        <w:spacing w:after="0" w:line="180"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Our common stock is listed for trading on The NASDAQ Global Select Market under the symbol “ACHC.” Our principal executive offices are located at 6100 Tower Circle, Suite 1000, Franklin, Tennessee 37067, and our telephone number is (615) 861-6000.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November 7, 2022, we acquired four CTCs located in Georgia from Brand New Start Treatment Centers (“Brand New Start”).</w:t>
      </w:r>
    </w:p>
    <w:p>
      <w:pPr>
        <w:spacing w:after="0" w:line="117" w:lineRule="exact"/>
        <w:rPr>
          <w:sz w:val="20"/>
          <w:szCs w:val="20"/>
          <w:color w:val="auto"/>
        </w:rPr>
      </w:pPr>
    </w:p>
    <w:p>
      <w:pPr>
        <w:ind w:right="100" w:firstLine="562"/>
        <w:spacing w:after="0" w:line="261" w:lineRule="auto"/>
        <w:rPr>
          <w:sz w:val="20"/>
          <w:szCs w:val="20"/>
          <w:color w:val="auto"/>
        </w:rPr>
      </w:pPr>
      <w:r>
        <w:rPr>
          <w:rFonts w:ascii="Times New Roman" w:cs="Times New Roman" w:eastAsia="Times New Roman" w:hAnsi="Times New Roman"/>
          <w:sz w:val="18"/>
          <w:szCs w:val="18"/>
          <w:color w:val="auto"/>
        </w:rPr>
        <w:t>On December 31, 2021, we acquired the equity of CenterPointe Behavioral Health System, LLC and certain related entities (“CenterPointe”) for cash consideration of approximately $140 million. The acquisition was funded through a combination of cash on hand and a $70.0 million draw on the Revolving Facility (as defined below). At the time of the acquisition, CenterPointe operated four acute inpatient hospitals with 306 beds and ten outpatient locations primarily in Missouri.</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Sale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19, 2021, we completed the U.K. Sale pursuant to a Share Purchase Agreement in which we sold all of the securities of AHC-</w:t>
      </w:r>
    </w:p>
    <w:p>
      <w:pPr>
        <w:spacing w:after="0" w:line="27" w:lineRule="exact"/>
        <w:rPr>
          <w:sz w:val="20"/>
          <w:szCs w:val="20"/>
          <w:color w:val="auto"/>
        </w:rPr>
      </w:pPr>
    </w:p>
    <w:p>
      <w:pPr>
        <w:jc w:val="both"/>
        <w:ind w:right="60" w:firstLine="8"/>
        <w:spacing w:after="0" w:line="252" w:lineRule="auto"/>
        <w:tabs>
          <w:tab w:leader="none" w:pos="3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Jersey Limited, a private limited liability company incorporated in Jersey and a subsidiary of the Company, which constituted the entirety of our U.K. operations. The U.K. Sale resulted in approximately $1,525 million of gross proceeds before deducting the settlement of existing foreign currency hedging liabilities of $85 million based on the current British Pounds (“GBP”) to U.S. Dollars (“USD”) exchange rate, cash retained by the buyer and transaction costs. We used the net proceeds of approximately $1,425 million (excluding cash retained by the buyer) along with cash from the balance sheet to reduce debt by $1,640 million during the first quarter of 2021. As a result of the U.K. Sale, we reported, for all periods presented, results of operations and cash flows of the U.K. operations as discontinued operations in the accompanying financial statements.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12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We entered into a credit agreement establishing a new senior credit facility (the “New Credit Facility”) on March 17, 2021. The New Credit Facility provides for a $600.0 million senior secured revolving credit facility (the “Revolving Facility”) and a $425.0 million senior secured term loan facility (the “Term Loan Facility” and, together with the Revolving Facility, the “Senior Facilities”), each maturing on March 17, 2026 unless extended in accordance with the terms of the New Credit Facility. The Revolving Facility further provides for (i) up to $20.0 million to be utilized for the issuance of letters of credit and (ii) the availability of a swingline facility under which we may borrow up to $20.0 million. See “Item 7. Management’s Discussion and Analysis of Financial Condition and Results of Operations —Liquidity and Capital Resources” for additional information about the New Credit Facility and the Prior Credit Facility (as defined below).</w:t>
      </w:r>
    </w:p>
    <w:p>
      <w:pPr>
        <w:spacing w:after="0" w:line="8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As a part of the closing of the New Credit Facility on March 17, 2021, we (i) refinanced and terminated our prior credit facilities under an amended and restated credit agreement, dated as of December 31, 2012 (the “Prior Credit Facility”) and (ii) financed the redemption of all of our outstanding 5.625% Senior Notes due 2023 (the “5.625% Senior Notes”).</w:t>
      </w:r>
    </w:p>
    <w:p>
      <w:pPr>
        <w:spacing w:after="0" w:line="68"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redemption of the 5.625% Senior Notes, we satisfied and discharged the indentures governing the 5.625% Senior Notes and recorded debt extinguishment costs of $3.3 million, including the write-off of deferred financing and premiums costs in the consolidated statement of operations.</w:t>
      </w:r>
    </w:p>
    <w:p>
      <w:pPr>
        <w:spacing w:after="0" w:line="68"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On March 1, 2021, we satisfied and discharged the indentures governing the 6.500% Senior Notes due 2024 (“6.500% Senior Notes”). In connection with the redemption of the 6.500% Senior Notes, we recorded debt extinguishment costs of $10.5 million, including $6.3 million cash paid for breakage costs and the write-off of deferred financing costs of $4.2 million in the consolidated statement of operations.</w:t>
      </w:r>
    </w:p>
    <w:p>
      <w:pPr>
        <w:spacing w:after="0" w:line="176" w:lineRule="exact"/>
        <w:rPr>
          <w:sz w:val="20"/>
          <w:szCs w:val="20"/>
          <w:color w:val="auto"/>
        </w:rPr>
      </w:pPr>
    </w:p>
    <w:p>
      <w:pPr>
        <w:jc w:val="both"/>
        <w:ind w:right="500" w:firstLine="468"/>
        <w:spacing w:after="0" w:line="266" w:lineRule="auto"/>
        <w:rPr>
          <w:sz w:val="20"/>
          <w:szCs w:val="20"/>
          <w:color w:val="auto"/>
        </w:rPr>
      </w:pPr>
      <w:r>
        <w:rPr>
          <w:rFonts w:ascii="Times New Roman" w:cs="Times New Roman" w:eastAsia="Times New Roman" w:hAnsi="Times New Roman"/>
          <w:sz w:val="18"/>
          <w:szCs w:val="18"/>
          <w:color w:val="auto"/>
        </w:rPr>
        <w:t>On January 5, 2021, we made a voluntary payment of $105.0 million on our Term Loan B facility Tranche B-4 of the Prior Credit Facility (the “Tranche B-4 Facility”). On January 19, 2021, we used a portion of the net proceeds from the U.K. Sale to repay $311.7 million of the Term Loan A facility of the Prior Credit Facility (the “TLA Facility”) and $767.9 million of our Tranche B-4 Facility.</w:t>
      </w:r>
    </w:p>
    <w:p>
      <w:pPr>
        <w:spacing w:after="0" w:line="68" w:lineRule="exact"/>
        <w:rPr>
          <w:sz w:val="20"/>
          <w:szCs w:val="20"/>
          <w:color w:val="auto"/>
        </w:rPr>
      </w:pPr>
    </w:p>
    <w:p>
      <w:pPr>
        <w:ind w:right="40" w:firstLine="510"/>
        <w:spacing w:after="0" w:line="259" w:lineRule="auto"/>
        <w:rPr>
          <w:sz w:val="20"/>
          <w:szCs w:val="20"/>
          <w:color w:val="auto"/>
        </w:rPr>
      </w:pPr>
      <w:r>
        <w:rPr>
          <w:rFonts w:ascii="Times New Roman" w:cs="Times New Roman" w:eastAsia="Times New Roman" w:hAnsi="Times New Roman"/>
          <w:sz w:val="18"/>
          <w:szCs w:val="18"/>
          <w:color w:val="auto"/>
        </w:rPr>
        <w:t>On October 14, 2020, we issued $475.0 million of 5.000% Senior Notes due 2029 (the “5.000% Senior Notes”). The 5.000% Senior Notes mature April 15, 2029 and bear interest at a rate of 5.000% per annum, payable semi-annually in arrears on April 15 and October 15, commencing on April 15, 2021. We used the net proceeds of the 5.000% Senior Notes to prepay approximately $453.3 million of the outstanding borrowings on our Term Loan B facility Tranche B-3 of the Prior Credit Facility (the “Tranche B-3 Facility”) and used the remaining net proceeds for general corporate purposes and to pay related fees and expenses in connection with the offering. In connection with the 5.000% Senior Notes, we recorded a debt extinguishment charge of $2.9 million, including the write-off of discount and deferred financing cost in the consolidated statements of operations.</w:t>
      </w:r>
    </w:p>
    <w:p>
      <w:pPr>
        <w:spacing w:after="0" w:line="185"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On June 24, 2020, we issued $450.0 million of 5.500% Senior Notes due 2028 (the “5.500% Senior Notes”). The 5.500% Senior Notes mature on July 1, 2028 and bear interest at a rate of 5.500% per annum, payable semi-annually in arrears on January 1 and July 1 of each year, commencing on January 1, 2021. We used the net proceeds of the 5.500% Senior Notes, together with cash on hand, to redeem in full the outstanding 6.125% Senior Notes due 2021 (the “6.125% Senior Notes”) and the 5.125% Senior Notes due 2022 (the “5.125% Senior Notes”) and to pay related fees and expenses in connection therewith.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believes the following strengths differentiate us from other providers of behavioral healthcare services:</w:t>
      </w:r>
    </w:p>
    <w:p>
      <w:pPr>
        <w:spacing w:after="0" w:line="221" w:lineRule="exact"/>
        <w:rPr>
          <w:sz w:val="20"/>
          <w:szCs w:val="20"/>
          <w:color w:val="auto"/>
        </w:rPr>
      </w:pPr>
    </w:p>
    <w:p>
      <w:pPr>
        <w:ind w:right="100"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Premier operational management team with track record of success</w:t>
      </w:r>
      <w:r>
        <w:rPr>
          <w:rFonts w:ascii="Times New Roman" w:cs="Times New Roman" w:eastAsia="Times New Roman" w:hAnsi="Times New Roman"/>
          <w:sz w:val="18"/>
          <w:szCs w:val="18"/>
          <w:color w:val="auto"/>
        </w:rPr>
        <w:t>. Our management team has approximately 300 combined years of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healthcare industry. The extensive national experience and operational expertise of our management team give us what management believes to be the premier leadership team in the behavioral healthcare industry. Our management team strives to use its years of experience operating behavioral healthcare facilities to generate strong cash flow and grow a profitable business.</w:t>
      </w:r>
    </w:p>
    <w:p>
      <w:pPr>
        <w:spacing w:after="0" w:line="176"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Favorable industry and legislative trends. </w:t>
      </w:r>
      <w:r>
        <w:rPr>
          <w:rFonts w:ascii="Times New Roman" w:cs="Times New Roman" w:eastAsia="Times New Roman" w:hAnsi="Times New Roman"/>
          <w:sz w:val="18"/>
          <w:szCs w:val="18"/>
          <w:color w:val="auto"/>
        </w:rPr>
        <w:t>According to a 2021 survey by the Substance Abuse and Mental Health Services Administration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Department of Health and Human Services (“SAMHSA”), 57.8 million adults in the U.S. aged 18 years or older suffered from a mental illness in the prior year and 14.1 million suffered from a serious mental illness. In addition, 29.7 million U.S. adults with mental illness received no mental health services in the past year. Further, approximately 43.7 million people aged 12 or older in 2021 needed substance use treatment in the past year. According to a study by The Journal of American Medical Association Pediatrics, an estimated 7.7 million U.S. children has a treatable mental health disorder. Management believes the market for behavioral services will continue to grow due to increased awareness of mental health and substance abuse conditions and treatment options.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While the growing awareness of mental health and substance abuse conditions is expected to accelerate demand for services, recent healthcare reform in the U.S. is expected to increase access to industry services as more people obtain insurance coverage. A key aspect of reform legislation is the extension of mental health parity protections established into law by the Paul Wellstone and Pete Domenici Mental Health Parity and Addiction Equity Act of 2008 (the “MHPAEA”). The MHPAEA requires employers who provide behavioral health and addiction benefits to provide such coverage to the same extent as other medical conditions. On December 13, 2016, then President Obama signed the 21st Century Cures Act. The 21st Century Cures Act appropriates substantial resources for the treatment of behavioral health and substance abuse disorders and contains measures intended to strengthen the MHPAEA. On October 21, 2018, the Substance Use-Disorder Prevention that Promotes Opioid Recovery and Treatment for Patients and Communities Act (the “SUPPORT Act”) was signed into law. The SUPPORT Act expands Medicare coverage to include Opioid Treatment Programs for services provided on or after January 2, 2020. It also includes Individuals in Medicaid Deserve Care that is Appropriate and Responsible in its Execution Act, which suspends the current prohibition on using federal Medicaid funds to pay for substance use disorder treatment at inpatient treatment facilities with more than 16 beds and limits beneficiaries to no more than 30 days of inpatient treatment per 12 month period.</w:t>
      </w:r>
    </w:p>
    <w:p>
      <w:pPr>
        <w:spacing w:after="0" w:line="188" w:lineRule="exact"/>
        <w:rPr>
          <w:sz w:val="20"/>
          <w:szCs w:val="20"/>
          <w:color w:val="auto"/>
        </w:rPr>
      </w:pPr>
    </w:p>
    <w:p>
      <w:pPr>
        <w:ind w:right="180" w:firstLine="51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National footprint and scale with regional density and presence across multiple service lines</w:t>
      </w:r>
      <w:r>
        <w:rPr>
          <w:rFonts w:ascii="Times New Roman" w:cs="Times New Roman" w:eastAsia="Times New Roman" w:hAnsi="Times New Roman"/>
          <w:sz w:val="18"/>
          <w:szCs w:val="18"/>
          <w:color w:val="auto"/>
        </w:rPr>
        <w:t>. We are a leading behavioral healthcare platform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industry that is undergoing consolidation in an effort to reduce costs and expand programs to better serve the growing need for inpatient behavioral healthcare services. Management expects to take advantage of several strategies that are more accessible as a result of our increased size and geographic scale, including continuing a national marketing strategy to attract new patients and referral sources, increasing our volume of out-of-state referrals, providing a broader range of services to new and existing patients and clients and selectively pursuing opportunities to expand our facility and bed count.</w:t>
      </w:r>
    </w:p>
    <w:p>
      <w:pPr>
        <w:spacing w:after="0" w:line="17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Diversified revenue and payor bases</w:t>
      </w:r>
      <w:r>
        <w:rPr>
          <w:rFonts w:ascii="Times New Roman" w:cs="Times New Roman" w:eastAsia="Times New Roman" w:hAnsi="Times New Roman"/>
          <w:sz w:val="18"/>
          <w:szCs w:val="18"/>
          <w:color w:val="auto"/>
        </w:rPr>
        <w:t>. At December 31, 2022, we operated 250 facilities in 39 states and Puerto Rico. Our payor, patient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 diversity mitigates the potential risk associated with any single facility. For the year ended December 31, 2022, we received 51% of our revenue from continuing operations from Medicaid, 30% from commercial payors, 15% from Medicare and 4% from other payors. As we receive Medicaid payments from 46 states, the District of Columbia and Puerto Rico, management does not believe that we are significantly affected by changes in reimbursement policies in any one state or territory. No facility accounted for more than 4% of revenue for the year ended December 31, 2022, and no state or U.S. territory accounted for more than 14% of revenue for the year ended December 31, 2022. We believe that our increased geographic diversity will mitigate the impact of any financial or budgetary pressure that may arise in a particular state or market where we operate.</w:t>
      </w:r>
    </w:p>
    <w:p>
      <w:pPr>
        <w:spacing w:after="0" w:line="183" w:lineRule="exact"/>
        <w:rPr>
          <w:sz w:val="20"/>
          <w:szCs w:val="20"/>
          <w:color w:val="auto"/>
        </w:rPr>
      </w:pPr>
    </w:p>
    <w:p>
      <w:pPr>
        <w:ind w:right="40" w:firstLine="51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financial position to execute our strategy. </w:t>
      </w:r>
      <w:r>
        <w:rPr>
          <w:rFonts w:ascii="Times New Roman" w:cs="Times New Roman" w:eastAsia="Times New Roman" w:hAnsi="Times New Roman"/>
          <w:sz w:val="18"/>
          <w:szCs w:val="18"/>
          <w:color w:val="auto"/>
        </w:rPr>
        <w:t>Management believes we continue to be in a strong position for investments in our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expansion into new and existing markets and enhancement of our capabilities and infrastructure. We generate strong free cash flow by profitably operating our business and by actively managing our working capital. Moreover, as the behavioral healthcare business does not typically require the procurement and replacement of expensive medical equipment, our maintenance capital expenditure requirements are generally less than that of other facility-based healthcare providers. For the year ended December 31, 2022, our maintenance capital expenditures amounted to approximately 2% of our revenue.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jc w:val="both"/>
        <w:ind w:right="40" w:firstLine="510"/>
        <w:spacing w:after="0" w:line="261" w:lineRule="auto"/>
        <w:rPr>
          <w:sz w:val="20"/>
          <w:szCs w:val="20"/>
          <w:color w:val="auto"/>
        </w:rPr>
      </w:pPr>
      <w:r>
        <w:rPr>
          <w:rFonts w:ascii="Times New Roman" w:cs="Times New Roman" w:eastAsia="Times New Roman" w:hAnsi="Times New Roman"/>
          <w:sz w:val="18"/>
          <w:szCs w:val="18"/>
          <w:color w:val="auto"/>
        </w:rPr>
        <w:t>Our strategy is to become the indispensable behavioral health provider for the high-acuity and complex needs patient population. We are committed to providing the communities we serve with high-quality, cost-effective behavioral healthcare services, while growing our business, increasing profitability and creating long-term value for our stockholders. This strategy includes five growth pathways: expansions of existing facilities, joint venture partnerships, de novo facilities, acquisitions and expansion across our continuum of care. Our core strategic priorities include:</w:t>
      </w:r>
    </w:p>
    <w:p>
      <w:pPr>
        <w:spacing w:after="0" w:line="176" w:lineRule="exact"/>
        <w:rPr>
          <w:sz w:val="20"/>
          <w:szCs w:val="20"/>
          <w:color w:val="auto"/>
        </w:rPr>
      </w:pPr>
    </w:p>
    <w:p>
      <w:pPr>
        <w:ind w:right="440" w:firstLine="51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Drive organic growth of existing facilities. </w:t>
      </w:r>
      <w:r>
        <w:rPr>
          <w:rFonts w:ascii="Times New Roman" w:cs="Times New Roman" w:eastAsia="Times New Roman" w:hAnsi="Times New Roman"/>
          <w:sz w:val="18"/>
          <w:szCs w:val="18"/>
          <w:color w:val="auto"/>
        </w:rPr>
        <w:t>We seek to increase revenue at our facilities by providing a broader range of services to new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patients and clients. In addition, management intends to increase bed counts in our existing facilities. We added 290 beds to existing facilities during the year ended December 31, 2022, and expect to add approximately 300 beds to existing facilities for the year ending December 31, 2023. Furthermore, management believes that opportunities exist to leverage out-of-state referrals to increase volume and minimize payor concentration, especially with respect to our youth and adolescent focused services and our substance abuse services.</w:t>
      </w:r>
    </w:p>
    <w:p>
      <w:pPr>
        <w:spacing w:after="0" w:line="183" w:lineRule="exact"/>
        <w:rPr>
          <w:sz w:val="20"/>
          <w:szCs w:val="20"/>
          <w:color w:val="auto"/>
        </w:rPr>
      </w:pPr>
    </w:p>
    <w:p>
      <w:pPr>
        <w:ind w:right="240" w:firstLine="510"/>
        <w:spacing w:after="0" w:line="289" w:lineRule="auto"/>
        <w:rPr>
          <w:sz w:val="20"/>
          <w:szCs w:val="20"/>
          <w:color w:val="auto"/>
        </w:rPr>
      </w:pPr>
      <w:r>
        <w:rPr>
          <w:rFonts w:ascii="Times New Roman" w:cs="Times New Roman" w:eastAsia="Times New Roman" w:hAnsi="Times New Roman"/>
          <w:sz w:val="17"/>
          <w:szCs w:val="17"/>
          <w:color w:val="auto"/>
        </w:rPr>
        <w:t>Management believes we can improve efficiencies and increase operating margins by utilizing our management’s expertise and experience within existing programs and their expertise in improving performance at underperforming facilities. Management believes the efficiencies can be realized by investing in growth in strong markets, addressing capital-constrained facilities that have underperformed and improving management systems.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p>
      <w:pPr>
        <w:ind w:right="40" w:firstLine="51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Fuel facility growth through accelerated joint venture partnerships and de novo builds and pursuing programmatic mergers and acquisitions. </w:t>
      </w:r>
      <w:r>
        <w:rPr>
          <w:rFonts w:ascii="Times New Roman" w:cs="Times New Roman" w:eastAsia="Times New Roman" w:hAnsi="Times New Roman"/>
          <w:sz w:val="18"/>
          <w:szCs w:val="18"/>
          <w:color w:val="auto"/>
        </w:rPr>
        <w:t>We have positioned the Company as a leading provider of mental health services in the U.S. The behavioral healthcare industry in the U.S. is highly fragmented, and we selectively seek opportunities to expand and diversify our base of operations by acquiring additional facilities and entering into partnerships with healthcare providers to acquire and develop additional facilities. We have a number of potential joint ventures and acquisitions in various stages of development and consideration in the U.S.</w:t>
      </w:r>
    </w:p>
    <w:p>
      <w:pPr>
        <w:spacing w:after="0" w:line="75" w:lineRule="exact"/>
        <w:rPr>
          <w:sz w:val="20"/>
          <w:szCs w:val="20"/>
          <w:color w:val="auto"/>
        </w:rPr>
      </w:pPr>
    </w:p>
    <w:p>
      <w:pPr>
        <w:jc w:val="both"/>
        <w:ind w:right="260" w:firstLine="51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added 270 beds through the opening of one wholly-owned facility and two joint venture facilities, and we opened seven CTCs. For the year ending December 31, 2023, we expect to open two wholly-owned facilities, two joint venture facilities and at least six CTCs.</w:t>
      </w:r>
    </w:p>
    <w:p>
      <w:pPr>
        <w:spacing w:after="0" w:line="68"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Management believes our focus on behavioral healthcare and history of completing acquisitions provides us with a strategic advantage in sourcing, evaluating and closing acquisitions. We leverage our management team’s expertise to identify and integrate acquisitions based on a disciplined acquisition strategy that focuses on quality of service, return on investment and strategic benefits. We also have a comprehensive post-acquisition strategic plan to facilitate the integration of acquired facilities that includes improving facility operations, retaining and recruiting psychiatrists and other healthcare professionals and expanding the breadth of services offered by the facilities.</w:t>
      </w:r>
    </w:p>
    <w:p>
      <w:pPr>
        <w:spacing w:after="0" w:line="287" w:lineRule="exact"/>
        <w:rPr>
          <w:sz w:val="20"/>
          <w:szCs w:val="20"/>
          <w:color w:val="auto"/>
        </w:rPr>
      </w:pPr>
    </w:p>
    <w:p>
      <w:pPr>
        <w:ind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Accelerate expansion across the care continuum, particularly for patients with opioid use and other substance use disorders. </w:t>
      </w:r>
      <w:r>
        <w:rPr>
          <w:rFonts w:ascii="Times New Roman" w:cs="Times New Roman" w:eastAsia="Times New Roman" w:hAnsi="Times New Roman"/>
          <w:sz w:val="18"/>
          <w:szCs w:val="18"/>
          <w:color w:val="auto"/>
        </w:rPr>
        <w:t>Our growth strategy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a patient-centric approach covering the full continuum of care, with deep expertise in treating high needs patients. We focus on the most complex patients and are also working to reach underserved patient populations by expanding our breadth of services and increasing access points within new and existing metropolitan statistical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2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During March 2020, the global pandemic of the novel coronavirus known as COVID-19 (“COVID-19”) began to affect our facilities, employees, patients, communities, business operations and financial performance, as well as the broader U.S. and U.K. economies and financial markets. At many of our facilities, employees and/or patients have tested positive for COVID-19. We are committed to protecting the health of our communities and have been responding to the evolving COVID-19 situation while taking steps to provide quality care and protect the health and safety of our patients and employees. Over the last three years, all of our facilities have closely followed infectious disease protocols, as well as recommendations by the Centers for Disease Control and Prevention (“CDC”) and local health officials.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Operations</w:t>
      </w:r>
    </w:p>
    <w:p>
      <w:pPr>
        <w:spacing w:after="0" w:line="121"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Our facilities and services can generally be classified into the following categories: acute inpatient psychiatric facilities; specialty treatment facilities; CTCs; and residential treatment centers. Outpatient programs associated with our facilities are included within each respective service line. The table below presents the percentage of our total U.S. revenue attributed to each category for the year ended December 31, 2022:</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Facility/Service</w:t>
            </w:r>
          </w:p>
        </w:tc>
        <w:tc>
          <w:tcPr>
            <w:tcW w:w="3160" w:type="dxa"/>
            <w:vAlign w:val="bottom"/>
            <w:gridSpan w:val="2"/>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Revenue for the</w:t>
            </w:r>
          </w:p>
        </w:tc>
        <w:tc>
          <w:tcPr>
            <w:tcW w:w="0" w:type="dxa"/>
            <w:vAlign w:val="bottom"/>
          </w:tcPr>
          <w:p>
            <w:pPr>
              <w:spacing w:after="0"/>
              <w:rPr>
                <w:sz w:val="1"/>
                <w:szCs w:val="1"/>
                <w:color w:val="auto"/>
              </w:rPr>
            </w:pPr>
          </w:p>
        </w:tc>
      </w:tr>
      <w:tr>
        <w:trPr>
          <w:trHeight w:val="160"/>
        </w:trPr>
        <w:tc>
          <w:tcPr>
            <w:tcW w:w="5820" w:type="dxa"/>
            <w:vAlign w:val="bottom"/>
            <w:gridSpan w:val="2"/>
            <w:vMerge w:val="continue"/>
          </w:tcPr>
          <w:p>
            <w:pPr>
              <w:spacing w:after="0"/>
              <w:rPr>
                <w:sz w:val="13"/>
                <w:szCs w:val="13"/>
                <w:color w:val="auto"/>
              </w:rPr>
            </w:pPr>
          </w:p>
        </w:tc>
        <w:tc>
          <w:tcPr>
            <w:tcW w:w="3160" w:type="dxa"/>
            <w:vAlign w:val="bottom"/>
            <w:gridSpan w:val="2"/>
          </w:tcPr>
          <w:p>
            <w:pPr>
              <w:jc w:val="right"/>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20"/>
        </w:trPr>
        <w:tc>
          <w:tcPr>
            <w:tcW w:w="940" w:type="dxa"/>
            <w:vAlign w:val="bottom"/>
            <w:tcBorders>
              <w:bottom w:val="single" w:sz="8" w:color="CFF0FC"/>
            </w:tcBorders>
            <w:shd w:val="clear" w:color="auto" w:fill="000000"/>
          </w:tcPr>
          <w:p>
            <w:pPr>
              <w:spacing w:after="0" w:line="20" w:lineRule="exact"/>
              <w:rPr>
                <w:sz w:val="1"/>
                <w:szCs w:val="1"/>
                <w:color w:val="auto"/>
              </w:rPr>
            </w:pPr>
          </w:p>
        </w:tc>
        <w:tc>
          <w:tcPr>
            <w:tcW w:w="4880" w:type="dxa"/>
            <w:vAlign w:val="bottom"/>
            <w:tcBorders>
              <w:bottom w:val="single" w:sz="8" w:color="CFF0FC"/>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Acute inpatient psychiatric facilities</w:t>
            </w:r>
          </w:p>
        </w:tc>
        <w:tc>
          <w:tcPr>
            <w:tcW w:w="3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treatment facilities</w:t>
            </w:r>
          </w:p>
        </w:tc>
        <w:tc>
          <w:tcPr>
            <w:tcW w:w="3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treatment centers</w:t>
            </w:r>
          </w:p>
        </w:tc>
        <w:tc>
          <w:tcPr>
            <w:tcW w:w="3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treatment centers</w:t>
            </w:r>
          </w:p>
        </w:tc>
        <w:tc>
          <w:tcPr>
            <w:tcW w:w="3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We receive payments from the following sources for services rendered in our facilities: (i) state governments under their respective Medicaid and other programs; (ii) commercial insurers; (iii) the federal government under the Medicare program administered by CMS; and (iv) individual patients and clients. For the year ended December 31, 2022, we received 51% of our revenue from Medicaid, 30% from commercial payors, 15% from Medicare and 4% from other payors.</w:t>
      </w:r>
    </w:p>
    <w:p>
      <w:pPr>
        <w:spacing w:after="0" w:line="72"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At December 31, 2022, our facilities included 250 behavioral healthcare facilities with approximately 11,000 beds in 39 states and Puerto Rico. Of our facilities, excluding CTCs, approximately 53% are acute inpatient psychiatric facilities, approximately 37% are specialty treatment facilities and approximately 10% are residential treatment centers at December 31, 2022. Of the 250 behavioral healthcare facilities, 151 are CTCs. Of the CTCs, 16 are owned properties and 135 are leased properties. Of the facilities that are not CTCs, 91% of our beds are at owned properties and 9% are at leased properties. For the years ended December 31, 2022 and 2021, our continuing operations generated revenue of $2,610.4 million and $2,314.4 million,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Acute Inpatient Psychiatric Facilities</w:t>
      </w:r>
    </w:p>
    <w:p>
      <w:pPr>
        <w:spacing w:after="0" w:line="121" w:lineRule="exact"/>
        <w:rPr>
          <w:sz w:val="20"/>
          <w:szCs w:val="20"/>
          <w:color w:val="auto"/>
        </w:rPr>
      </w:pPr>
    </w:p>
    <w:p>
      <w:pPr>
        <w:ind w:right="180" w:firstLine="510"/>
        <w:spacing w:after="0" w:line="255" w:lineRule="auto"/>
        <w:rPr>
          <w:sz w:val="20"/>
          <w:szCs w:val="20"/>
          <w:color w:val="auto"/>
        </w:rPr>
      </w:pPr>
      <w:r>
        <w:rPr>
          <w:rFonts w:ascii="Times New Roman" w:cs="Times New Roman" w:eastAsia="Times New Roman" w:hAnsi="Times New Roman"/>
          <w:sz w:val="18"/>
          <w:szCs w:val="18"/>
          <w:color w:val="auto"/>
        </w:rPr>
        <w:t>Acute inpatient psychiatric facilities provide a high level of care in order to stabilize patients that are either a threat to themselves or to others. The acute setting provides 24-hour observation, daily intervention and monitoring by psychiatrists. Generally, due to shorter lengths of stay, the related higher patient turnover, and the special security and health precautions required, acute inpatient psychiatric facilities have lower average occupancy than residential treatment centers. Our facilities that offer acute care services provide evaluation and crisis stabilization of patients with severe psychiatric diagnoses through a medical delivery model that incorporates structured and intensive medical and behavioral therapies with 24-hour monitoring by a psychiatrist, psychiatric trained nurses, therapists and other direct care staff. Lengths of stay for crisis stabilization and acute care range from three to five days and from five to twelve days, respectively.</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Specialty Treatment Facilities</w:t>
      </w:r>
    </w:p>
    <w:p>
      <w:pPr>
        <w:spacing w:after="0" w:line="12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Our specialty treatment facilities include residential recovery facilities and eating disorder facilities. We provide a comprehensive continuum of care for adults with addictive disorders and co-occurring mental disorders. Our detoxification, inpatient, partial hospitalization and outpatient treatment programs are cost-effective and give patients access to the least restrictive level of care. All programs offer individualized treatment in a supportive and nurturing environment.</w:t>
      </w:r>
    </w:p>
    <w:p>
      <w:pPr>
        <w:spacing w:after="0" w:line="180"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majority of our specialty treatment services are provided to patients who abuse addictive substances such as alcohol, illicit drugs or opiates, including prescription drugs. Some of our facilities also treat other addictions and behavioral disorders such as chronic pain, sexual compulsivity, compulsive gambling, mood disorders, emotional trauma and abuse. The goal of our treatment facilities is to provide the appropriate level of treatment to an individual no matter where they are in the lifecycle of their disease in order to restore the individual to a healthier, more productive life, free from dependence on illicit substances and destructive behaviors. Our treatment facilities provide a number of different treatment services such as assessment, detoxification, medication-assisted treatment, counseling, education, lectures and group therapy. We assess and evaluate the medical, psychological and emotional needs of the patient and address these needs in the treatment process. Following this assessment, an individualized treatment program is designed to provide a foundation for a lifelong recovery process. Many modalities are used in our treatment programs to support the individual, including the twelve step philosophy, cognitive/behavioral therapies, supportive therapies and continuing care.</w:t>
      </w:r>
    </w:p>
    <w:p>
      <w:pPr>
        <w:spacing w:after="0" w:line="186" w:lineRule="exact"/>
        <w:rPr>
          <w:sz w:val="20"/>
          <w:szCs w:val="20"/>
          <w:color w:val="auto"/>
        </w:rPr>
      </w:pPr>
    </w:p>
    <w:p>
      <w:pPr>
        <w:ind w:right="38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Residential Recovery Facilities. </w:t>
      </w:r>
      <w:r>
        <w:rPr>
          <w:rFonts w:ascii="Times New Roman" w:cs="Times New Roman" w:eastAsia="Times New Roman" w:hAnsi="Times New Roman"/>
          <w:sz w:val="18"/>
          <w:szCs w:val="18"/>
          <w:color w:val="auto"/>
        </w:rPr>
        <w:t>Our inpatient facilities house and care for patients over an extended period and typically treat patients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broadly defined regional market. We provide three basic levels of residential treatment depending on the severity of the patient’s addiction and/or behavioral disorder. Patients with the most severe dependencies are typically placed into inpatient treatment, in which the patient resides at a treatment facility. If a patient’s condition is less severe, he or she will be offered day treatment, which allows the patient to return home in the evening. The least intensive service is where the patient visits the facility for just a few hours a week to attend counseling/group sessions.</w:t>
      </w:r>
    </w:p>
    <w:p>
      <w:pPr>
        <w:spacing w:after="0" w:line="185" w:lineRule="exact"/>
        <w:rPr>
          <w:sz w:val="20"/>
          <w:szCs w:val="20"/>
          <w:color w:val="auto"/>
        </w:rPr>
      </w:pPr>
    </w:p>
    <w:p>
      <w:pPr>
        <w:ind w:right="140" w:firstLine="510"/>
        <w:spacing w:after="0" w:line="277" w:lineRule="auto"/>
        <w:rPr>
          <w:sz w:val="20"/>
          <w:szCs w:val="20"/>
          <w:color w:val="auto"/>
        </w:rPr>
      </w:pPr>
      <w:r>
        <w:rPr>
          <w:rFonts w:ascii="Times New Roman" w:cs="Times New Roman" w:eastAsia="Times New Roman" w:hAnsi="Times New Roman"/>
          <w:sz w:val="17"/>
          <w:szCs w:val="17"/>
          <w:color w:val="auto"/>
        </w:rPr>
        <w:t>Following primary treatment, our extended care programs typically offer residential care, which allows patients to develop healthy and appropriate living skills while remaining in a safe and nurturing setting. Patients are supported in their recovery by a semi-structured living environment that allows them to begin the process of employment or to pursue educational goals and to take personal responsibility for their recovery. The structure of this treatment phase is monitored by a primary therapist who works with each patient to integrate recovery skills and build a foundation of sobriety with a strong support system. Length of stay will vary depending on the patient’s needs with a minimum stay of 30 days and could be multiple months if needed.</w:t>
      </w:r>
    </w:p>
    <w:p>
      <w:pPr>
        <w:spacing w:after="0" w:line="168"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Our outpatient clinics serve patients that do not require inpatient treatment or are transitioning from a residential treatment program; have employment, family or school commitments; and have stabilized in their substance addiction recovery practices and are seeking ongoing continuing care.</w:t>
      </w:r>
    </w:p>
    <w:p>
      <w:pPr>
        <w:spacing w:after="0" w:line="160" w:lineRule="exact"/>
        <w:rPr>
          <w:sz w:val="20"/>
          <w:szCs w:val="20"/>
          <w:color w:val="auto"/>
        </w:rPr>
      </w:pPr>
    </w:p>
    <w:p>
      <w:pPr>
        <w:ind w:right="4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Eating Disorder Facilities. </w:t>
      </w:r>
      <w:r>
        <w:rPr>
          <w:rFonts w:ascii="Times New Roman" w:cs="Times New Roman" w:eastAsia="Times New Roman" w:hAnsi="Times New Roman"/>
          <w:sz w:val="18"/>
          <w:szCs w:val="18"/>
          <w:color w:val="auto"/>
        </w:rPr>
        <w:t>Our eating disorder facilities provide treatment services for eating disorders and weight management, each of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effectively treated through a combination of medical, psychological and social treatment programs.</w:t>
      </w:r>
    </w:p>
    <w:p>
      <w:pPr>
        <w:spacing w:after="0" w:line="160" w:lineRule="exact"/>
        <w:rPr>
          <w:sz w:val="20"/>
          <w:szCs w:val="20"/>
          <w:color w:val="auto"/>
        </w:rPr>
      </w:pPr>
    </w:p>
    <w:p>
      <w:pPr>
        <w:ind w:right="760" w:firstLine="510"/>
        <w:spacing w:after="0" w:line="312" w:lineRule="auto"/>
        <w:rPr>
          <w:sz w:val="20"/>
          <w:szCs w:val="20"/>
          <w:color w:val="auto"/>
        </w:rPr>
      </w:pPr>
      <w:r>
        <w:rPr>
          <w:rFonts w:ascii="Times New Roman" w:cs="Times New Roman" w:eastAsia="Times New Roman" w:hAnsi="Times New Roman"/>
          <w:sz w:val="17"/>
          <w:szCs w:val="17"/>
          <w:color w:val="auto"/>
        </w:rPr>
        <w:t>Our behavioral therapies are delivered in an array of treatment models that may include individual and group therapy, intensive outpatient, outpatient, partial hospitalization/day treatment, road to recovery and other programs that can be either abstinent or medication-assisted based.</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Treatment Centers</w:t>
      </w:r>
    </w:p>
    <w:p>
      <w:pPr>
        <w:spacing w:after="0" w:line="229"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Our CTCs specialize in providing medication-assisted treatment in an outpatient setting. Medication-assisted treatment combines behavioral therapy and medication to treat substance use disorders. CTCs utilize medication-assisted treatment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individuals addicted to opiates such as opioid analgesics (prescription pain medications). Medication is used to normalize brain chemistry to block the euphoric effects of alcohol and opioids allowing our professional staff to provide behavioral therapy. Patients begin their treatment attending the clinic almost daily. Then, through successfully progressing in treatment, patients attend less frequently depending on individual treatment plans. The length of treatment differs from patient to patient, but typically lasts longer than one year.</w:t>
      </w:r>
    </w:p>
    <w:p>
      <w:pPr>
        <w:spacing w:after="0" w:line="180"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Each of our CTCs provide a range of comprehensive substance abuse treatment support services that include medical, counseling, vocational, educational, and other treatment services.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Residential Treatment Centers</w:t>
      </w:r>
    </w:p>
    <w:p>
      <w:pPr>
        <w:spacing w:after="0" w:line="12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Residential treatment centers treat patients with behavioral disorders in a non-hospital setting, including outdoor programs. The facilities balance therapy activities with social, academic and other activities. Because the setting is less intensive, demands on staffing, security and oversight are generally lower than inpatient psychiatric facilities. In contrast to acute care psychiatric facilities, occupancy in residential treatment centers can be managed more easily given a longer length of stay. Over time, however, residential treatment centers have continued to serve increasingly severe patients who would have been treated in acute care facilities in earlier years.</w:t>
      </w:r>
    </w:p>
    <w:p>
      <w:pPr>
        <w:spacing w:after="0" w:line="183"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We provide residential treatment care through a medical model residential treatment facility, which offers intensive, medically-driven interventions and individualized treatment regimens designed to deal with moderate to high level patient acuity. Children and adolescents admitted to these facilities typically have had multiple prior failed treatment plans, severe physical, sexual and emotional abuse, termination of parental custody, substance abuse, marked deficiencies in social, interpersonal and academic skills and a wide range of psychiatric disorders. Treatment typically is provided by an interdisciplinary team coordinating psychopharmacological, individual, group and family therapy, along with specialized accredited educational programs in both secure and unlocked environments. Lengths of stay range from three months to several years.</w:t>
      </w:r>
    </w:p>
    <w:p>
      <w:pPr>
        <w:spacing w:after="0" w:line="18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Certain of our residential treatment centers provide group home, therapeutic group home and therapeutic foster care programs. Our group home programs provide family-style living for youths in a single house or apartment within residential communities where supervision and support are provided by 24-hour staff. The goal of a group home program is to teach family living and social skills through individual and group counseling sessions within a real life environment. The residents are encouraged to take responsibility for the home and their health as well as actively take part in community functions. Most attend an accredited and licensed on-premises school or a local public school. We also operate therapeutic group homes that provide comprehensive treatment services for seriously, emotionally disturbed adolescents. The ultimate goal is to reunite or place these children with their families or prepare them, when appropriate, for permanent placement with a relative or an adoptive family. We also manage therapeutic foster care programs, which are considered the least restrictive form of therapeutic placement for children and adolescents with emotional disorders. Children and adolescents in our therapeutic foster care programs often are part of the child welfare or juvenile justice system. Care is delivered in private homes with experienced foster parents who are trained to work with children and adolescents with special needs.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Operations</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Prior to the U.K. Sale, we were the leading independent provider of mental health services in the U.K. operating 345 inpatient behavioral health facilities with approximately 8,200 beds at December 31, 2020. Our U.K. facilities were located in England, Wales, Scotland and Northern Ireland. For the years ended December 31, 2021 and 2020, our U.K. operations generated revenue of $62.5 million and $1,119.8 million, respectively, primarily through the operation and management of inpatient behavioral health facilities.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 information about our U.K. operations and the U.K.’s behavioral healthcare industry can be found in our prior filings with the SEC.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As of December 31, 2022, we received payments from the following sources for services rendered in our facilities: (i) state governments under their respective Medicaid and other programs; (ii) commercial insurers; (iii) the federal government under the Medicare program administered by CMS; and</w:t>
      </w:r>
    </w:p>
    <w:p>
      <w:pPr>
        <w:ind w:right="60" w:firstLine="8"/>
        <w:spacing w:after="0" w:line="253"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patients and clients. We determine the transaction price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on historical collection experience. See “Item 7. Management’s Discussion and Analysis of Financial Condition and Results of Operations — Critical Accounting Policies — Revenue and Accounts Receivable”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additional disclosure. Other information related to our revenue, income and other operating information is provided in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healthcare industry is subject to numerous laws, regulations and rules including, among others, those related to government healthcare program participation requirements, various licensure and accreditation standards, reimbursement for patient services, health information privacy and security rules, and government healthcare program fraud and abuse provisions. Providers that are found to have violated any of these laws and regulations may be excluded from participating in government healthcare programs, subjected to loss or limitation of licenses to operate, subjected to significant fines or penalties and/or required to repay amounts received from the government for previously billed patient services.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Licensing, Certification and Accreditation</w:t>
      </w:r>
    </w:p>
    <w:p>
      <w:pPr>
        <w:spacing w:after="0" w:line="121"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All of our facilities must comply with various federal, state and local licensing and certification regulations and undergo periodic inspection by licensing agencies to certify compliance with such regulations. The initial and continued licensure of our facilities and certification to participate in government healthcare programs depends upon many factors including various state licensure regulations relating to quality of care, environment of care, equipment, services, staff training, personnel and the existence of adequate policies, procedures and controls. Federal, state and local agencies survey our facilities on a regular basis to determine whether the facilities are in compliance with regulatory operating and health standards and conditions for participating in government healthcare programs.</w:t>
      </w:r>
    </w:p>
    <w:p>
      <w:pPr>
        <w:spacing w:after="0" w:line="18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Most of our inpatient and residential facilities maintain accreditation from private entities, such as The Joint Commission or the Commission on Accreditation of Rehabilitation Facilities (“CARF”). The Joint Commission and CARF are private organizations that have accreditation programs for a broad spectrum of healthcare facilities. The Joint Commission accredits a broad variety of healthcare organizations, including hospitals and behavioral health organizations. CARF accredits behavioral health organizations providing mental health and alcohol and drug use and addiction services, as well as opiate treatment programs, and many other types of healthcare programs. These accreditation programs are intended generally to improve the quality, safety, outcomes and value of healthcare services provided by accredited facilities. Certain federal and state licensing agencies as well as many government and private healthcare payment programs require that providers be accredited as a condition of licensure, certification or participation. Accreditation is typically granted for a specified period, ranging from one to three years, and renewals of accreditation generally require completion of a renewal application and an on-site renewal survey.</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Certificates of Need</w:t>
      </w:r>
    </w:p>
    <w:p>
      <w:pPr>
        <w:spacing w:after="0" w:line="12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Many of the states in which we operate facilities have enacted certificate of need (“CON”) laws that regulate the construction or expansion of certain healthcare facilities, certain capital expenditures or changes in services or bed capacity. Failure to obtain CON approval of certain activities can result in: our inability to complete an acquisition, expansion or replacement; the imposition of civil penalties; the inability to receive Medicare or Medicaid reimbursement; or the revocation of a facility’s license, any of which could harm our business.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Audits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healthcare facilities are also subject to federal, state and commercial payor audits to validate the accuracy of claims submitted to government healthcare programs and commercial payors. If these audits identify overpayments, we could be required to make substantial repayments, subject to various appeal rights. Our facilities are routinely subjected to claims audits in the ordinary course of business. While no such audit has identified any material overpayment liability, should a potential material overpayment liability arise from a future audit, such overpayment liability may ultimately exceed established reserves, and any excess could potentially be substantial. Further, Medicare and Medicaid regulations, as well as commercial payor contracts, also provide for withholding or suspending payments in certain circumstances, which could adversely affect our cash flow.</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Anti-Kickback Statute, the Stark Law and the Eliminating Kickbacks in Recovery Act</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Anti-Kickback Statute prohibits healthcare providers and others from directly or indirectly soliciting, receiving, offering or paying any remuneration, in cash or in kind, as an inducement or reward for using, referring, ordering, recommending or arranging for referrals or orders of services or other items paid for by a government healthcare program. The Anti-Kickback Statute may be found to have been violated if at least one purpose of the remuneration is to induce or reward referrals. A provider is not required to have actual knowledge or specific intent to commit a violation of the Anti-Kickback Statute to be found guilty of violating the law.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Office of Inspector General of the Department of Health and Human Services (the “OIG”) has issued safe harbor regulations that protect certain types of common arrangements from prosecution or sanction under the Anti-Kickback Statute. The fact that conduct or a business arrangement does not fall within a safe harbor does not automatically render the conduct or business arrangement illegal under the Anti-Kickback Statute. However, conduct and business arrangements falling outside the safe harbors may lead to increased scrutiny by government enforcement authorities. In December of 2020, the OIG finalized revisions to the Anti-Kickback Statute safe harbors and created new safe harbors for value-based care that became effective January 19,</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2021. The new regulations are intended to improve patient care and foster innovative care models by easing regulatory burdens to coordinated and value-based care.</w:t>
      </w:r>
    </w:p>
    <w:p>
      <w:pPr>
        <w:spacing w:after="0" w:line="73"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Although management believes that our arrangements with physicians and other referral sources comply with current law and available interpretative guidance, as a practical matter it is not always possible to structure our arrangements so as to fall squarely within an available safe harbor. Where that is the case, we cannot guarantee that applicable regulatory authorities will determine these financial arrangements do not violate the Anti-Kickback Statute or other applicable laws, including state anti-kickback laws.</w:t>
      </w:r>
    </w:p>
    <w:p>
      <w:pPr>
        <w:spacing w:after="0" w:line="180" w:lineRule="exact"/>
        <w:rPr>
          <w:sz w:val="20"/>
          <w:szCs w:val="20"/>
          <w:color w:val="auto"/>
        </w:rPr>
      </w:pPr>
    </w:p>
    <w:p>
      <w:pPr>
        <w:ind w:right="20" w:firstLine="510"/>
        <w:spacing w:after="0" w:line="271" w:lineRule="auto"/>
        <w:rPr>
          <w:sz w:val="20"/>
          <w:szCs w:val="20"/>
          <w:color w:val="auto"/>
        </w:rPr>
      </w:pPr>
      <w:r>
        <w:rPr>
          <w:rFonts w:ascii="Times New Roman" w:cs="Times New Roman" w:eastAsia="Times New Roman" w:hAnsi="Times New Roman"/>
          <w:sz w:val="17"/>
          <w:szCs w:val="17"/>
          <w:color w:val="auto"/>
        </w:rPr>
        <w:t>In addition to the Anti-Kickback Statute, the federal Physician Self-Referral Law, also known as the Stark Law, prohibits physicians from referring Medicare patients to healthcare entities with which they or any of their immediate family members have a financial relationship for the furnishing of any “designated health services” unless certain exceptions apply. A violation of the Stark Law may result in a denial of payment; required refunds to the Medicare program; imposition of statutory civil monetary penalties of up to $15,000 for each prohibited claim and up to $100,000 for circumvention schemes; exclusion from government healthcare programs; and liability under the False Claims Act. There are ownership and compensation arrangement exceptions for many customary financial arrangements between physicians and facilities, including the employment exception, personal services exception, lease exception and certain recruitment exceptions. As part of CMS’s “regulatory sprint to coordinated care”, CMS finalized revisions to the exceptions and created new exceptions for value-based care that became effective on January 19, 2021. As with the changes made to the Anti-Kickback Statute, the new Stark exceptions are intended to improve patient care and foster innovative care models by easing regulatory burdens to coordinated and value-based care.</w:t>
      </w:r>
    </w:p>
    <w:p>
      <w:pPr>
        <w:spacing w:after="0" w:line="173" w:lineRule="exact"/>
        <w:rPr>
          <w:sz w:val="20"/>
          <w:szCs w:val="20"/>
          <w:color w:val="auto"/>
        </w:rPr>
      </w:pPr>
    </w:p>
    <w:p>
      <w:pPr>
        <w:ind w:right="400" w:firstLine="510"/>
        <w:spacing w:after="0" w:line="266" w:lineRule="auto"/>
        <w:rPr>
          <w:sz w:val="20"/>
          <w:szCs w:val="20"/>
          <w:color w:val="auto"/>
        </w:rPr>
      </w:pPr>
      <w:r>
        <w:rPr>
          <w:rFonts w:ascii="Times New Roman" w:cs="Times New Roman" w:eastAsia="Times New Roman" w:hAnsi="Times New Roman"/>
          <w:sz w:val="18"/>
          <w:szCs w:val="18"/>
          <w:color w:val="auto"/>
        </w:rPr>
        <w:t>Management believes that our financial arrangements with physicians are structured to comply with the regulatory exceptions to the Stark Law. However, the Stark Law is a strict liability statute, meaning that no intent is required to violate the law, and even a technical violation may lead to significant penalties.</w:t>
      </w:r>
    </w:p>
    <w:p>
      <w:pPr>
        <w:spacing w:after="0" w:line="176"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These laws and regulations are extremely complex and, in many cases, we do not have the benefit of regulatory or judicial interpretation. It is possible that different interpretations or enforcement of these laws and regulations could subject our current or past practices to allegations of impropriety or illegality or could require us to make changes in our arrangements relating to facilities, equipment, personnel, services, capital expenditure programs and operating expenses. A determination that we have violated one or more of these laws, or the public announcement that we are being investigated for possible violations of one or more of these laws, could have a material adverse effect on our business, financial condition or results of operations. In addition, we cannot predict whether other federal or state legislation or regulations will be adopted, what form such legislation or regulations may take or what their impact on us may be.</w:t>
      </w:r>
    </w:p>
    <w:p>
      <w:pPr>
        <w:spacing w:after="0" w:line="189"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The SUPPORT Act contains a number of provisions aimed at identifying at-risk individuals, increasing access to opioid abuse treatment, reducing overprescribing and promoting data sharing with the primary goal of reducing the use and abuse of opioids. Additionally, the SUPPORT Act attempts to address the problem of “patient brokering” in the context of addiction treatment facilities and sober living homes.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section of the SUPPORT Act, the Eliminating Kickbacks in Recovery Act (the “EKRA”), makes it a federal crime to knowingly and willfully:</w:t>
      </w:r>
    </w:p>
    <w:p>
      <w:pPr>
        <w:spacing w:after="0" w:line="27" w:lineRule="exact"/>
        <w:rPr>
          <w:sz w:val="20"/>
          <w:szCs w:val="20"/>
          <w:color w:val="auto"/>
        </w:rPr>
      </w:pPr>
    </w:p>
    <w:p>
      <w:pPr>
        <w:ind w:right="20" w:firstLine="8"/>
        <w:spacing w:after="0" w:line="25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receive any remuneration in return for referring a patient to a recovery home, clinical treatment facility or laboratory; or (2) pay or offer any remuneration to induce such a referral or in exchange for an individual using the services of a recovery home, clinical treatment facility, or laboratory. Each conviction under the EKRA is punishable by up to $200,000 in monetary damages, imprisonment for up to ten (10) years, or both. Unlike the Anti-Kickback Statutes, the EKRA is not limited to services reimbursable under a government healthcare program. The EKRA also contains exceptions similar to the Anti-Kickback Statute safe harbors, but those exceptions are more narrow than the Anti-Kickback Statute safe harbors such that practices that would be permissible under the Anti-Kickback Statute may violate the EKRA.</w:t>
      </w:r>
    </w:p>
    <w:p>
      <w:pPr>
        <w:spacing w:after="0" w:line="190" w:lineRule="exact"/>
        <w:rPr>
          <w:sz w:val="20"/>
          <w:szCs w:val="20"/>
          <w:color w:val="auto"/>
        </w:rPr>
      </w:pPr>
    </w:p>
    <w:p>
      <w:pPr>
        <w:jc w:val="both"/>
        <w:ind w:right="240" w:firstLine="510"/>
        <w:spacing w:after="0" w:line="289" w:lineRule="auto"/>
        <w:rPr>
          <w:sz w:val="20"/>
          <w:szCs w:val="20"/>
          <w:color w:val="auto"/>
        </w:rPr>
      </w:pPr>
      <w:r>
        <w:rPr>
          <w:rFonts w:ascii="Times New Roman" w:cs="Times New Roman" w:eastAsia="Times New Roman" w:hAnsi="Times New Roman"/>
          <w:sz w:val="17"/>
          <w:szCs w:val="17"/>
          <w:color w:val="auto"/>
        </w:rPr>
        <w:t>If we are deemed to have failed to comply with the Anti-Kickback Statute, the Stark Law, the EKRA or other applicable laws and regulations, we could be subjected to liabilities, including criminal penalties, civil penalties and exclusion of one or more facilities from participation in the government healthcare programs. The imposition of such penalties could have a material adverse effect on our business, financial condition or results of operations.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Federal False Claims Act and Other Fraud and Abuse Provisions</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The federal False Claims Act provides the government a tool to pursue healthcare providers for submitting false claims or requests for payment for healthcare items or services. Under the False Claims Act, the government may fine any person or entity that, among other things, knowingly submits, or causes the submission of, false or fraudulent claims for payment to the federal government or knowingly and improperly avoids or decreases an obligation to pay money to the federal government. The federal government has widely used the False Claims Act to prosecute Medicare and other federal healthcare program fraud such as coding errors, billing for services not provided, submitting false cost reports and providing care that is not medically necessary or that is substandard in quality. Claims for services or items rendered in violation of the Anti-Kickback Statute or the Stark Law can provide a basis for liability under the False Claims Act as well. The False Claims Act is also implicated by the knowing failure to report and return an overpayment within 60 days of identifying the overpayment or by the date a corresponding cost report is due, whichever is later.</w:t>
      </w:r>
    </w:p>
    <w:p>
      <w:pPr>
        <w:spacing w:after="0" w:line="84"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Violations of the False Claims Act are punishable by significant penalties totaling $13,508 to $27,018 for each fraudulent claim plus three times the amount of damages sustained by the government. In addition, under the qui tam, or whistleblower, provisions of the False Claims Act, private parties may bring actions under the False Claims Act on behalf of the federal government. These private parties, known as relators, are entitled to share in any amounts recovered by the government, and, as a result, whistleblower lawsuits have increased significantly in recent years. Many states have similar false claims statutes that impose liability for the types of acts prohibited by the False Claims Act or that otherwise prohibit the submission of false or fraudulent claims to the state government or Medicaid program.</w:t>
      </w:r>
    </w:p>
    <w:p>
      <w:pPr>
        <w:spacing w:after="0" w:line="7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addition to the False Claims Act, the federal government may use several criminal laws, such as the federal mail fraud, wire fraud or healthcare fraud statutes, to prosecute the submission of false or fraudulent claims for payment to the federal government. Most states have also adopted generally applicable insurance fraud statutes and regulations that prohibit healthcare providers from submitting inaccurate, incorrect or misleading claims to private insurance companies. Management believes our healthcare facilities have implemented appropriate safeguards and procedures to complete claim forms and requests for payment in an accurate manner and to operate in compliance with applicable laws. However, the possibility of billing or other errors can never be completely eliminated, and we cannot guarantee that the government or a qui tam plaintiff, upon audit or review, would not take the position that billing, the quality of patient care or other deficiencies or errors, should they occur, are violations of the False Claims Act.</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HIPAA Administrative Simplification and Privacy and Security Requirements</w:t>
      </w:r>
    </w:p>
    <w:p>
      <w:pPr>
        <w:spacing w:after="0" w:line="121" w:lineRule="exact"/>
        <w:rPr>
          <w:sz w:val="20"/>
          <w:szCs w:val="20"/>
          <w:color w:val="auto"/>
        </w:rPr>
      </w:pPr>
    </w:p>
    <w:p>
      <w:pPr>
        <w:ind w:right="240" w:firstLine="510"/>
        <w:spacing w:after="0" w:line="256" w:lineRule="auto"/>
        <w:rPr>
          <w:sz w:val="20"/>
          <w:szCs w:val="20"/>
          <w:color w:val="auto"/>
        </w:rPr>
      </w:pPr>
      <w:r>
        <w:rPr>
          <w:rFonts w:ascii="Times New Roman" w:cs="Times New Roman" w:eastAsia="Times New Roman" w:hAnsi="Times New Roman"/>
          <w:sz w:val="18"/>
          <w:szCs w:val="18"/>
          <w:color w:val="auto"/>
        </w:rPr>
        <w:t>The administrative simplification provisions of the Health Insurance Portability and Accountability Act (“HIPAA”), as amended by the Health Information Technology for Economic and Clinical Health Act (“HITECH”), require the use of uniform electronic data transmission standards for healthcare claims and payment transactions submitted or received electronically. These provisions are intended to encourage electronic commerce in the healthcare industry. HIPAA also established federal rules protecting the privacy and security of individually identifiable protected health information (“PHI”). The privacy and security regulations control the use and disclosure of PHI and the rights of patients to be informed about and control how such PHI is used and disclosed. Violations of HIPAA can result in both criminal and civil fines and penalties.</w:t>
      </w:r>
    </w:p>
    <w:p>
      <w:pPr>
        <w:spacing w:after="0" w:line="187"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HIPAA security regulations require healthcare providers to implement administrative, physical and technical safeguards to protect the confidentiality, integrity and availability of PHI. HITECH has strengthened certain HIPAA rules regarding the use and disclosure of PHI, extended certain HIPAA provisions to business associates and created security breach notification requirements including notifications to the individuals affected by the breach, the Department of Health and Human Services, and in certain cases, the media. HITECH has also increased maximum penalties for violations of HIPAA privacy rules. Management believes that we have been in material compliance with the HIPAA regulations and have developed our policies and procedures to ensure ongoing compliance, although we cannot guarantee that our facilities will not be subject to security incidents or breaches which could have a material adverse effect on our business, financial condition or results of operations.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Emergency Medical Treatment &amp; Labor Act</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Emergency Medical Treatment &amp; Labor Act (“EMTALA”) is intended to ensure public access to emergency services regardless of ability to pay. Section 1867 of the Social Security Act imposes specific obligations on Medicare-participating hospitals that offer emergency services to provide a medical screening examination when a request is made for examination or treatment for an emergency medical condition regardless of an individual’s ability to pay. Hospitals are then required to provide stabilizing treatment for patients with emergency medical conditions. If a hospital is unable to stabilize a patient within its capability, or if the patient requests, an appropriate transfer must be implemented. EMTALA imposes additional obligations on hospitals with specialized capabilities, such as ours, to accept the transfer of patients in need of such specialized capabilities if those patients present in the emergency room of a hospital that does not possess the specialized capabilities.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Mental Health Parity Legislation</w:t>
      </w:r>
    </w:p>
    <w:p>
      <w:pPr>
        <w:spacing w:after="0" w:line="12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 MHPAEA was signed into law in October 2008 and requires health insurance plans that offer mental health and addiction coverage to provide that coverage on par with financial and treatment coverage offered for other illnesses. The MHPAEA has some limitations because health plans that do not already cover mental health treatments are not required to do so, and health plans are not required to provide coverage for every mental health condition published in the Diagnostic and Statistical Manual of Mental Disorders by the American Psychiatric Association. The MHPAEA also contains a cost exemption which operates to exempt a group health plan from the MHPAEA’s requirements if compliance with the MHPAEA becomes too costly.</w:t>
      </w:r>
    </w:p>
    <w:p>
      <w:pPr>
        <w:spacing w:after="0" w:line="183"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On December 13, 2016, then President Obama signed the 21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Century Cures Act. The 21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Century Cures Act appropriated substantial resources for the treatment of behavioral health and substance abuse disorders and contained measures intended to strengthen the MHPAEA.</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CARES Act and Other Regulatory Developments</w:t>
      </w:r>
    </w:p>
    <w:p>
      <w:pPr>
        <w:spacing w:after="0" w:line="22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signed into law. The CARES Act is intended to provide over $2 trillion in stimulus benefits for the U.S. economy. Among other things, the CARES Act includes additional support for small businesses, expands unemployment benefits, makes forgivable loans available to small businesses, provides for certain federal income tax changes, and provides $500 billion for loans, loan guarantees, and other investments for or in U.S.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 CARES Act contains a number of provisions that are intended to assist healthcare providers as they combat the effects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pandemic. Those provisions include, among others:</w:t>
      </w:r>
    </w:p>
    <w:p>
      <w:pPr>
        <w:spacing w:after="0" w:line="99" w:lineRule="exact"/>
        <w:rPr>
          <w:sz w:val="20"/>
          <w:szCs w:val="20"/>
          <w:color w:val="auto"/>
        </w:rPr>
      </w:pPr>
    </w:p>
    <w:p>
      <w:pPr>
        <w:ind w:left="940" w:right="200" w:hanging="365"/>
        <w:spacing w:after="0" w:line="266"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appropriation to the Public Health and Social Services Emergency Fund (“PHSSE Fund”), also known as the Provider Relief Fund, to reimburse, through grants or other mechanisms, eligible healthcare providers and other approved entities for COVID-19-related expenses or lost revenue;</w:t>
      </w:r>
    </w:p>
    <w:p>
      <w:pPr>
        <w:spacing w:after="0" w:line="67" w:lineRule="exact"/>
        <w:rPr>
          <w:rFonts w:ascii="Times New Roman" w:cs="Times New Roman" w:eastAsia="Times New Roman" w:hAnsi="Times New Roman"/>
          <w:sz w:val="18"/>
          <w:szCs w:val="18"/>
          <w:color w:val="auto"/>
        </w:rPr>
      </w:pPr>
    </w:p>
    <w:p>
      <w:pPr>
        <w:ind w:left="940" w:hanging="365"/>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CMS’ Accelerated and Advance Payment Program;</w:t>
      </w:r>
    </w:p>
    <w:p>
      <w:pPr>
        <w:spacing w:after="0" w:line="117" w:lineRule="exact"/>
        <w:rPr>
          <w:rFonts w:ascii="Times New Roman" w:cs="Times New Roman" w:eastAsia="Times New Roman" w:hAnsi="Times New Roman"/>
          <w:sz w:val="18"/>
          <w:szCs w:val="18"/>
          <w:color w:val="auto"/>
        </w:rPr>
      </w:pPr>
    </w:p>
    <w:p>
      <w:pPr>
        <w:ind w:left="940" w:hanging="365"/>
        <w:spacing w:after="0" w:line="282"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temporary suspension of Medicare sequestration from May 1, 2020 to March 31, 2022, which was reduced to 1% on April 1, 2022 and was eliminated effective July 1, 2022; and</w:t>
      </w:r>
    </w:p>
    <w:p>
      <w:pPr>
        <w:spacing w:after="0" w:line="53" w:lineRule="exact"/>
        <w:rPr>
          <w:rFonts w:ascii="Times New Roman" w:cs="Times New Roman" w:eastAsia="Times New Roman" w:hAnsi="Times New Roman"/>
          <w:sz w:val="18"/>
          <w:szCs w:val="18"/>
          <w:color w:val="auto"/>
        </w:rPr>
      </w:pPr>
    </w:p>
    <w:p>
      <w:pPr>
        <w:ind w:left="940" w:hanging="365"/>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waivers or temporary suspension of certain regulatory requirements.</w:t>
      </w:r>
    </w:p>
    <w:p>
      <w:pPr>
        <w:spacing w:after="0" w:line="22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U.S. government initially announced it would offer $100 billion of relief to eligible healthcare providers through the PHSSE Fund. On April 24, 2020, then President Trump signed into law the Paycheck Protection Program and Health Care Enhancement Act (the “PPP Act”). Among other things, the</w:t>
      </w:r>
    </w:p>
    <w:p>
      <w:pPr>
        <w:ind w:right="20" w:firstLine="8"/>
        <w:spacing w:after="0" w:line="253"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allocates $75 billion to eligible healthcare providers to help offset COVID-19 related losses and expenses. The $75 billion allocated under the PPP Act is in addition to the $100 billion allocated to healthcare providers for the same purposes in the CARES Act and has been disbursed to providers under terms and conditions similar to the CARES Act funds. In 2020, we received approximately $34.9 million of the funds distributed from the PHSSE Fund. During the fourth quarter of 2020, we recorded approximately $32.8 million of income from provider relief fund related to PHSSE Fund funds received in 2020.</w:t>
      </w:r>
    </w:p>
    <w:p>
      <w:pPr>
        <w:spacing w:after="0" w:line="187" w:lineRule="exact"/>
        <w:rPr>
          <w:sz w:val="20"/>
          <w:szCs w:val="20"/>
          <w:color w:val="auto"/>
        </w:rPr>
      </w:pPr>
    </w:p>
    <w:p>
      <w:pPr>
        <w:ind w:right="160" w:firstLine="180"/>
        <w:spacing w:after="0" w:line="256" w:lineRule="auto"/>
        <w:rPr>
          <w:sz w:val="20"/>
          <w:szCs w:val="20"/>
          <w:color w:val="auto"/>
        </w:rPr>
      </w:pPr>
      <w:r>
        <w:rPr>
          <w:rFonts w:ascii="Times New Roman" w:cs="Times New Roman" w:eastAsia="Times New Roman" w:hAnsi="Times New Roman"/>
          <w:sz w:val="18"/>
          <w:szCs w:val="18"/>
          <w:color w:val="auto"/>
        </w:rPr>
        <w:t>In 2021, we received $24.2 million of additional funds from the PHSSE Fund. During the fourth quarter of 2021, we recorded $17.9 million of income from provider relief fund related to PHSSE Fund funds received. During the year ended December 31, 2022, we received $7.7 million of additional funds from the PHSSE Fund and $14.2 million from the American Rescue Plan (“ARP”) Rural Payments for Hospitals. During the year ended December 31, 2022, we recorded $21.5 million of income from provider relief fund related to PHSSE Fund and ARP funds received. The remaining ARP funds of $9.0 million are included in other accrued liabilities on the consolidated balance sheet as of December 31, 2022. We continue to evaluate our compliance with the terms and conditions to, and the financial impact of, these additional funds received, including potential repayment of the remaining balance.</w:t>
      </w:r>
    </w:p>
    <w:p>
      <w:pPr>
        <w:spacing w:after="0" w:line="18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Healthcare providers were required to sign an attestation confirming receipt of the Provider Relief Fund funds and agree to the terms and conditions of payment. Under the terms and conditions for receipt of the payment, we were allowed to use the funds to cover lost revenues and healthcare costs related to COVID-19, and we were required to properly and fully document the use of these funds to the U.S. Department of Health and Human Services (“HHS”). The reporting of the funds is subject to future audit for compliance with the terms and conditions. We recognized Provider Relief Fund funds to the extent we had qualifying COVID-19 expenses or lost revenues as permitted under the terms and conditions. The grant income associated with the COVID-19 expenses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lost revenues incurred during the years ended December 31, 2022, 2021 and 2020 is reflected as income from provider relief fund in our consolidated statement of operations.</w:t>
      </w:r>
    </w:p>
    <w:p>
      <w:pPr>
        <w:spacing w:after="0" w:line="162"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During 2020, we applied for and received approximately $45.2 million of payments from the CMS Accelerated and Advance Payment Program. Of the $45.2 million of advance payments received in 2020, we repaid approximately $25.1 million of advance payments during 2021 and made additional repayments of approximately $20.1 million during the year ended December 31, 2022 to eliminate the liability.</w:t>
      </w:r>
    </w:p>
    <w:p>
      <w:pPr>
        <w:spacing w:after="0" w:line="176" w:lineRule="exact"/>
        <w:rPr>
          <w:sz w:val="20"/>
          <w:szCs w:val="20"/>
          <w:color w:val="auto"/>
        </w:rPr>
      </w:pPr>
    </w:p>
    <w:p>
      <w:pPr>
        <w:ind w:right="560" w:firstLine="510"/>
        <w:spacing w:after="0" w:line="312" w:lineRule="auto"/>
        <w:rPr>
          <w:sz w:val="20"/>
          <w:szCs w:val="20"/>
          <w:color w:val="auto"/>
        </w:rPr>
      </w:pPr>
      <w:r>
        <w:rPr>
          <w:rFonts w:ascii="Times New Roman" w:cs="Times New Roman" w:eastAsia="Times New Roman" w:hAnsi="Times New Roman"/>
          <w:sz w:val="17"/>
          <w:szCs w:val="17"/>
          <w:color w:val="auto"/>
        </w:rPr>
        <w:t>Under the CARES Act, we received a 2% increase in our facilities’ Medicare reimbursement rate as a result of the temporary suspension of Medicare sequestration from May 1, 2020 to March 31, 2022, which was reduced to 1% on April 1, 2022 and was eliminated effective July 1, 2022.</w:t>
      </w:r>
    </w:p>
    <w:p>
      <w:pPr>
        <w:spacing w:after="0" w:line="14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CARES Act also provides for certain federal income and other tax changes. We received a cash benefit of approximately $39.3 million for 2020 relating to the delay of payment of the employer portion of Social Security payroll taxes. We repaid half of the $39.3 million of payroll tax deferrals during the third quarter of 2021 and repaid the remaining portion in the third quarter of 2022 to eliminate the liability.</w:t>
      </w:r>
    </w:p>
    <w:p>
      <w:pPr>
        <w:spacing w:after="0" w:line="176"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addition to the financial and other relief that has been provided by the federal government through the CARES Act and other legislation passed by Congress, CMS and many state governments have also issued waivers and temporary suspensions of healthcare facility licensure, certification, and reimbursement requirements in order to provide hospitals, physicians, and other healthcare providers with increased flexibility to meet the challenges presented by the COVID-19 pandemic. For example, CMS and many state governments have temporarily eased regulatory requirements and burdens for delivering and being reimbursed for healthcare services provided remotely through telemedicine. CMS has also temporarily waived many provisions of the Stark law, including many of the provisions affecting our relationships with physicians. Many states have also suspended the enforcement of certain regulatory requirements to ensure that healthcare providers have sufficient capacity to treat COVID-19 patients. These regulatory changes are temporary, with most slated to expire at the end of the COVID-19 public health emergency, expected in May 2023.</w:t>
      </w:r>
    </w:p>
    <w:p>
      <w:pPr>
        <w:spacing w:after="0" w:line="192" w:lineRule="exact"/>
        <w:rPr>
          <w:sz w:val="20"/>
          <w:szCs w:val="20"/>
          <w:color w:val="auto"/>
        </w:rPr>
      </w:pPr>
    </w:p>
    <w:p>
      <w:pPr>
        <w:ind w:right="180" w:firstLine="578"/>
        <w:spacing w:after="0" w:line="282" w:lineRule="auto"/>
        <w:rPr>
          <w:sz w:val="20"/>
          <w:szCs w:val="20"/>
          <w:color w:val="auto"/>
        </w:rPr>
      </w:pPr>
      <w:r>
        <w:rPr>
          <w:rFonts w:ascii="Times New Roman" w:cs="Times New Roman" w:eastAsia="Times New Roman" w:hAnsi="Times New Roman"/>
          <w:sz w:val="18"/>
          <w:szCs w:val="18"/>
          <w:color w:val="auto"/>
        </w:rPr>
        <w:t>We are continuing to evaluate the terms and conditions and financial impact of funds received under the CARES Act and other government relief programs.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Corporate Integrity Agreement</w:t>
      </w:r>
    </w:p>
    <w:p>
      <w:pPr>
        <w:spacing w:after="0" w:line="22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During the second quarter of 2019, we entered into a corporate integrity agreement (the “CIA”) with the OIG imposing certain compliance obligations on us and our subsidiary, CRC Health. For further discussion of the background of this matter and the CIA, see “Item 1A. Risk Factors— We could be subject to monetary penalties and other sanctions, including exclusion from federal healthcare programs, if we fail to comply with the terms of the CIA”.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Insurance</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healthcare industry in general continues to experience an increase in the frequency and severity of litigation and claims. As is typical in the healthcare industry, we are subject to claims that our services have resulted in injury to our patients or clients or other adverse effects. In addition, resident, visitor and employee injuries also subject us to the risk of litigation. While management believes that quality care is provided to patients and clients in our facilities and that we substantially comply with all applicable regulatory requirements, an adverse settlement determination in a legal proceeding or government investigation could have a material adverse effect on our business, financial condition or results of operations.</w:t>
      </w:r>
    </w:p>
    <w:p>
      <w:pPr>
        <w:spacing w:after="0" w:line="183"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Our statutory workers’ compensation program is fully insured with a $0.5 million deductible per accident. A portion of our professional liability risks are insured through a wholly-owned insurance subsidiary providing coverage for up to $10.0 million per claim through August 31, 2022 and $5.0 million and $10.0 million for certain other claims thereafter. We have obtained reinsurance coverage from a third party to cover claims in excess of those limits. The reinsurance policy has a coverage limit of $75.0 million or $70.0 million for certain other claims in the aggregate. Our reinsurance receivables are recognized consistent with the related liabilities and include known claims and any incurred but not reported claims that are covered by current insurance policies in 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We are subject to various federal, state and local environmental laws that: (i) regulate certain activities and operations that may have environmental or health and safety effects, such as the handling, storage, transportation, treatment and disposal of medical waste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products generated at our facilities, the identification and warning of the presence of asbestos-containing materials in buildings, as well as the removal of such materials, the presence of other hazardous substances in the indoor environment and protection of the environment and natural resources in connection with the development or construction of our facilities; (ii) impose liability for costs of cleaning up, and damages to natural resources from, past spills, waste disposals on and off-site, or other releases of hazardous materials or regulated substances; and (iii) regulate workplace safety. Some of our facilities generate infectious or other hazardous medical waste due to the illness or physical condition of our patients. The management of infectious medical waste is subject to regulation under various federal, state and local environmental laws, which establish management requirements for such waste. These requirements include record-keeping, notice and reporting obligations. Each of our facilities has an agreement with a waste management company for the disposal of medical waste. The use of such companies, however, does not completely protect us from violations of medical waste laws or from related third-party claims for clean-up costs.</w:t>
      </w:r>
    </w:p>
    <w:p>
      <w:pPr>
        <w:spacing w:after="0" w:line="188"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From time to time, our operations have resulted in, or may result in, non-compliance with, or liability pursuant to, environmental or health and safety laws or regulations. Management believes that our operations are generally in compliance with environmental and health and safety regulatory requirements, including legal requirements relating to climate change, or that any non-compliance will not result in a material liability or cost to achieve compliance. Historically, the costs of achieving and maintaining compliance with environmental laws and regulations at our facilities have not been material. However, we cannot assure you that future costs and expenses required for us to comply with any new or changes in existing environmental and health and safety laws and regulations or new or discovered environmental conditions will not have a material adverse effect on our business, financial condition or results of operations. In addition, we could be affected by climate change to the extent that climate change results in severe weather conditions or other disruptions impacting the communities in which our facilities are located. For more information regarding climate change and its possible adverse impact on us, see “Item 1A. Risk Factors — Operational Risks — Our business and operations are subject to risks related to natural disasters and climate change”.</w:t>
      </w:r>
    </w:p>
    <w:p>
      <w:pPr>
        <w:spacing w:after="0" w:line="194"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have not been notified of and management is otherwise currently not aware of any contamination at our currently or formerly operated facilities that could result in material liability or cost to us under environmental laws or regulations for the investigation and remediation of such contamination, and we currently are not undertaking any remediation or investigation activities in connection with any such contamination conditions. There may, however, be environmental conditions currently unknown to us relating to our prior, existing or future sites or operations or those of predecessor companies whose liabilities we may have assumed or acquired which could have a material adverse effect on our business.</w:t>
      </w:r>
    </w:p>
    <w:p>
      <w:pPr>
        <w:spacing w:after="0" w:line="183"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New laws, regulations or policies or changes in existing laws, regulations or policies or their enforcement, future spills or accidents or the discovery of currently unknown conditions or non-compliances may give rise to investigation and remediation liabilities, compliance costs, fines and penalties, or liability and claims for alleged personal injury or property damage due to substances or materials used in our operations, any of which may have a material adverse effect on our business, financial condition or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healthcare industry is highly competitive. Our principal competitors include other behavioral healthcare service companies, including Universal Health Services, Inc. (NYSE: UHS) and other hospitals and general healthcare facilities that provide mental health services. An important part of our business strategy is to continue making targeted acquisitions of other behavioral health facilities. However, reduced capacity, the passage of mental health parity legislation and increased demand for mental health services are likely to attract other potential buyers, including diversified healthcare companies, other pure-play behavioral healthcare companies and private equity firms.</w:t>
      </w:r>
    </w:p>
    <w:p>
      <w:pPr>
        <w:spacing w:after="0" w:line="75"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addition to the competition we face for acquisitions, we must also compete for patients. Patients are referred to our behavioral healthcare facilities through a number of different sources, including healthcare practitioners, public programs, other treatment facilities, managed care organizations, unions, emergency departments, judicial officials, social workers, police departments and word of mouth from previously treated patients and their families, among others. These referral sources may instead refer patients to hospitals that are able to provide a full suite of medical services or to other behavioral healthcare centers.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At December 31, 2022, we had approximately 23,000 employees, of which 17,000 were employed full-time. At December 31, 2022, labor unions represented approximately 350 of our employees at two of our facilities through four collective bargaining agreements. Organizing activities by labor unions and certain potential changes in federal labor laws and regulations could increase the likelihood of employee unionization in the future.</w:t>
      </w:r>
    </w:p>
    <w:p>
      <w:pPr>
        <w:spacing w:after="0" w:line="68"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Typically, our inpatient facilities are staffed by a chief executive officer, medical director, director of nursing, chief financial officer, clinical director and director of performance improvement. Psychiatrists and other physicians working in our facilities are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right="480"/>
        <w:spacing w:after="0" w:line="375" w:lineRule="auto"/>
        <w:rPr>
          <w:sz w:val="20"/>
          <w:szCs w:val="20"/>
          <w:color w:val="auto"/>
        </w:rPr>
      </w:pPr>
      <w:r>
        <w:rPr>
          <w:rFonts w:ascii="Times New Roman" w:cs="Times New Roman" w:eastAsia="Times New Roman" w:hAnsi="Times New Roman"/>
          <w:sz w:val="18"/>
          <w:szCs w:val="18"/>
          <w:color w:val="auto"/>
        </w:rPr>
        <w:t xml:space="preserve">licensed medical professionals who are generally not employed by us and work in our facilities as independent contractors or medical staff members. </w:t>
      </w:r>
      <w:r>
        <w:rPr>
          <w:rFonts w:ascii="Times New Roman" w:cs="Times New Roman" w:eastAsia="Times New Roman" w:hAnsi="Times New Roman"/>
          <w:sz w:val="18"/>
          <w:szCs w:val="18"/>
          <w:b w:val="1"/>
          <w:bCs w:val="1"/>
          <w:color w:val="auto"/>
        </w:rPr>
        <w:t>Diversity and Inclusion</w:t>
      </w:r>
    </w:p>
    <w:p>
      <w:pPr>
        <w:spacing w:after="0" w:line="1" w:lineRule="exact"/>
        <w:rPr>
          <w:sz w:val="20"/>
          <w:szCs w:val="20"/>
          <w:color w:val="auto"/>
        </w:rPr>
      </w:pPr>
    </w:p>
    <w:p>
      <w:pPr>
        <w:ind w:right="160" w:firstLine="468"/>
        <w:spacing w:after="0" w:line="266" w:lineRule="auto"/>
        <w:rPr>
          <w:sz w:val="20"/>
          <w:szCs w:val="20"/>
          <w:color w:val="auto"/>
        </w:rPr>
      </w:pPr>
      <w:r>
        <w:rPr>
          <w:rFonts w:ascii="Times New Roman" w:cs="Times New Roman" w:eastAsia="Times New Roman" w:hAnsi="Times New Roman"/>
          <w:sz w:val="18"/>
          <w:szCs w:val="18"/>
          <w:color w:val="auto"/>
        </w:rPr>
        <w:t>We are committed to maintaining a welcoming and inclusive environment that treats everyone with dignity and respect. Approximately 74% of our employees are women and approximately 48% are people of color. We have policies that strictly prohibit any discrimination on the basis of race, color, national origin, age, religion, disability, gender, marital status, veteran status or any other basis prohibited by federal, state or local law.</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have also established a Diversity and Inclusion Council, a multidisciplinary group, to oversee and advance diversity and inclusion initiatives.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Acquisition, Development and Retention</w:t>
      </w:r>
    </w:p>
    <w:p>
      <w:pPr>
        <w:spacing w:after="0" w:line="121" w:lineRule="exact"/>
        <w:rPr>
          <w:sz w:val="20"/>
          <w:szCs w:val="20"/>
          <w:color w:val="auto"/>
        </w:rPr>
      </w:pPr>
    </w:p>
    <w:p>
      <w:pPr>
        <w:ind w:firstLine="468"/>
        <w:spacing w:after="0" w:line="258" w:lineRule="auto"/>
        <w:rPr>
          <w:sz w:val="20"/>
          <w:szCs w:val="20"/>
          <w:color w:val="auto"/>
        </w:rPr>
      </w:pPr>
      <w:r>
        <w:rPr>
          <w:rFonts w:ascii="Times New Roman" w:cs="Times New Roman" w:eastAsia="Times New Roman" w:hAnsi="Times New Roman"/>
          <w:sz w:val="18"/>
          <w:szCs w:val="18"/>
          <w:color w:val="auto"/>
        </w:rPr>
        <w:t>Our success is dependent on our ability to attract, develop and retain talented, dedicated employees. We are committed to being an employer of choice and offer a compelling total rewards program. In addition to base salaries, we offer our employees a full spectrum of benefits, including medical, dental, vision and disability plans, health savings and flexible spending accounts, a 401(k) retirement savings plan that includes a matching contribution, paid time off and employee assistance programs. We also conduct comprehensive employee satisfaction surveys to assess and ensure that we are responsive to the desires and concerns of our employees.</w:t>
      </w:r>
    </w:p>
    <w:p>
      <w:pPr>
        <w:spacing w:after="0" w:line="75" w:lineRule="exact"/>
        <w:rPr>
          <w:sz w:val="20"/>
          <w:szCs w:val="20"/>
          <w:color w:val="auto"/>
        </w:rPr>
      </w:pPr>
    </w:p>
    <w:p>
      <w:pPr>
        <w:ind w:right="140" w:firstLine="468"/>
        <w:spacing w:after="0" w:line="255" w:lineRule="auto"/>
        <w:rPr>
          <w:sz w:val="20"/>
          <w:szCs w:val="20"/>
          <w:color w:val="auto"/>
        </w:rPr>
      </w:pPr>
      <w:r>
        <w:rPr>
          <w:rFonts w:ascii="Times New Roman" w:cs="Times New Roman" w:eastAsia="Times New Roman" w:hAnsi="Times New Roman"/>
          <w:sz w:val="18"/>
          <w:szCs w:val="18"/>
          <w:color w:val="auto"/>
        </w:rPr>
        <w:t>Like most healthcare providers, our facilities have experienced rising labor costs and turnover, and we have resorted to using more expensive contract labor at certain of our facilities. In some markets, the availability and retention of qualified medical personnel have become significant operating issues to healthcare providers, including at certain of our facilities. Shortages of nurses, qualified addiction counselors and other medical and care support personnel could result in a number of adverse impacts to our business, including capacity and growth constraints, reduced patient satisfaction, reduced employee satisfaction, impact on services offered, and increased costs, among others. For more information regarding risks of rising labor costs and its possible adverse impact on us, see “Item 1A. Risk Factors — Human Capital Risks — Our facilities face competition for staffing, labor shortages and higher turnover rates that may increase our labor costs and reduce our profitability”.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Safety</w:t>
      </w:r>
    </w:p>
    <w:p>
      <w:pPr>
        <w:spacing w:after="0" w:line="121" w:lineRule="exact"/>
        <w:rPr>
          <w:sz w:val="20"/>
          <w:szCs w:val="20"/>
          <w:color w:val="auto"/>
        </w:rPr>
      </w:pPr>
    </w:p>
    <w:p>
      <w:pPr>
        <w:ind w:right="40" w:firstLine="468"/>
        <w:spacing w:after="0" w:line="256" w:lineRule="auto"/>
        <w:rPr>
          <w:sz w:val="20"/>
          <w:szCs w:val="20"/>
          <w:color w:val="auto"/>
        </w:rPr>
      </w:pPr>
      <w:r>
        <w:rPr>
          <w:rFonts w:ascii="Times New Roman" w:cs="Times New Roman" w:eastAsia="Times New Roman" w:hAnsi="Times New Roman"/>
          <w:sz w:val="18"/>
          <w:szCs w:val="18"/>
          <w:color w:val="auto"/>
        </w:rPr>
        <w:t>We are committed to providing care to our patients in a safe, therapeutic environment. In furtherance of this commitment, we provide our employees with access to a variety of workplace safety training programs and continually evaluate our policies promoting patient safety and employee wellbeing. In response to the COVID-19 pandemic, we implemented numerous changes to our policies and procedures to ensure the health of our patients, employees, contractors and communities, including instituting social distancing practices and protective measures throughout our facilities, which included restricting or suspending visitor access, screening patients and staff who enter our facilities based on criteria established by the CDC and local health officials, and testing and isolating patients when warranted.</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Seasonality of Demand for Services</w:t>
      </w:r>
    </w:p>
    <w:p>
      <w:pPr>
        <w:spacing w:after="0" w:line="12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Our residential recovery and other inpatient facilities typically experience lower patient volumes and revenue during the holidays, and our child and adolescent facilities typically experience lower patient volumes and revenue during the summer months, holidays and other periods when school is out of session.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Our Internet website address is www.acadiahealthcare.com. We make available our annual reports on Form 10-K, quarterly reports on Form 10-Q, current reports on Form 8-K and all amendments to those reports free of charge on our website on the Investors webpage under the caption “SEC Filings” as soon as reasonably practicable after such material is electronically filed with, or furnished to, the SEC. The SEC maintains an internet site at http://www.sec.gov that contains reports, proxy and information statements, and other information we file. Our website and the information contained therein or linked thereto are not intended to be incorporated into this Annual Report on Form 10-K.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43" w:lineRule="exact"/>
        <w:rPr>
          <w:sz w:val="20"/>
          <w:szCs w:val="20"/>
          <w:color w:val="auto"/>
        </w:rPr>
      </w:pPr>
    </w:p>
    <w:p>
      <w:pPr>
        <w:ind w:right="300" w:firstLine="568"/>
        <w:spacing w:after="0" w:line="266"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financial risks, operational risks, human capital risks, legal proceedings and regulatory risks and certain general risks, which could have a material adverse effect on our business, financial condition, results of operations and cash flows. Risks that we deem material are described under “Risk Factors” below and include, but are not limited to, the following:</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21" w:lineRule="exact"/>
        <w:rPr>
          <w:sz w:val="20"/>
          <w:szCs w:val="20"/>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and results of operations are significantly affected by payments received from the government and third-party payors.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could adversely affect our financial health and prevent us from fulfilling our obligations under our financing arrangements.</w:t>
      </w:r>
    </w:p>
    <w:p>
      <w:pPr>
        <w:spacing w:after="0" w:line="117" w:lineRule="exact"/>
        <w:rPr>
          <w:rFonts w:ascii="Times New Roman" w:cs="Times New Roman" w:eastAsia="Times New Roman" w:hAnsi="Times New Roman"/>
          <w:sz w:val="18"/>
          <w:szCs w:val="18"/>
          <w:color w:val="auto"/>
        </w:rPr>
      </w:pPr>
    </w:p>
    <w:p>
      <w:pPr>
        <w:ind w:left="1120" w:right="34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debt will require a significant amount of cash. Our ability to generate sufficient cash to service our debt depends on many factors beyond our control.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restrictive covenants, which may restrict our business and financing activities.</w:t>
      </w:r>
    </w:p>
    <w:p>
      <w:pPr>
        <w:spacing w:after="0" w:line="117"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our current debt level, we may incur significant additional amounts of debt, which could further exacerbate the risks associated with our debt.</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default on our obligations to pay our debt, we may not be able to make payments on our financing arrangements.</w:t>
      </w:r>
    </w:p>
    <w:p>
      <w:pPr>
        <w:spacing w:after="0" w:line="117" w:lineRule="exact"/>
        <w:rPr>
          <w:rFonts w:ascii="Times New Roman" w:cs="Times New Roman" w:eastAsia="Times New Roman" w:hAnsi="Times New Roman"/>
          <w:sz w:val="18"/>
          <w:szCs w:val="18"/>
          <w:color w:val="auto"/>
        </w:rPr>
      </w:pPr>
    </w:p>
    <w:p>
      <w:pPr>
        <w:ind w:left="1120" w:right="42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volatility in the global capital and credit markets as well as significant developments in macroeconomic and political conditions that are out of our control.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inflation and rising interest rates may adversely impact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trend on value-based purchasing may negatively impact our revenue.</w:t>
      </w:r>
    </w:p>
    <w:p>
      <w:pPr>
        <w:spacing w:after="0" w:line="117" w:lineRule="exact"/>
        <w:rPr>
          <w:rFonts w:ascii="Times New Roman" w:cs="Times New Roman" w:eastAsia="Times New Roman" w:hAnsi="Times New Roman"/>
          <w:sz w:val="18"/>
          <w:szCs w:val="18"/>
          <w:color w:val="auto"/>
        </w:rPr>
      </w:pPr>
    </w:p>
    <w:p>
      <w:pPr>
        <w:ind w:left="1120" w:right="60" w:hanging="370"/>
        <w:spacing w:after="0" w:line="312" w:lineRule="auto"/>
        <w:tabs>
          <w:tab w:leader="none" w:pos="11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COVID-19 global pandemic continues to impact our operations, business and financial condition, and our liquidity could be negatively impacted, particularly if the U.S. economy remains unstable for a significant amount of time or if patient volumes decline at our facilities.</w:t>
      </w:r>
    </w:p>
    <w:p>
      <w:pPr>
        <w:spacing w:after="0" w:line="31" w:lineRule="exact"/>
        <w:rPr>
          <w:rFonts w:ascii="Times New Roman" w:cs="Times New Roman" w:eastAsia="Times New Roman" w:hAnsi="Times New Roman"/>
          <w:sz w:val="17"/>
          <w:szCs w:val="17"/>
          <w:color w:val="auto"/>
        </w:rPr>
      </w:pPr>
    </w:p>
    <w:p>
      <w:pPr>
        <w:ind w:left="1120" w:right="26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uninsured or underinsured patients or the deterioration in the collectability of patient accounts receivables could harm our results of operation.</w:t>
      </w:r>
    </w:p>
    <w:p>
      <w:pPr>
        <w:spacing w:after="0" w:line="1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21" w:lineRule="exact"/>
        <w:rPr>
          <w:sz w:val="20"/>
          <w:szCs w:val="20"/>
          <w:color w:val="auto"/>
        </w:rPr>
      </w:pPr>
    </w:p>
    <w:p>
      <w:pPr>
        <w:jc w:val="both"/>
        <w:ind w:left="1120" w:right="180" w:hanging="370"/>
        <w:spacing w:after="0" w:line="312" w:lineRule="auto"/>
        <w:tabs>
          <w:tab w:leader="none" w:pos="11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incident involving one or more of our patients or the failure by one or more of our facilities to provide appropriate care could result in increased regulatory burdens, governmental investigations, negative publicity and adversely affect the trading price of our common stock.</w:t>
      </w:r>
    </w:p>
    <w:p>
      <w:pPr>
        <w:spacing w:after="0" w:line="31" w:lineRule="exact"/>
        <w:rPr>
          <w:rFonts w:ascii="Times New Roman" w:cs="Times New Roman" w:eastAsia="Times New Roman" w:hAnsi="Times New Roman"/>
          <w:sz w:val="17"/>
          <w:szCs w:val="17"/>
          <w:color w:val="auto"/>
        </w:rPr>
      </w:pPr>
    </w:p>
    <w:p>
      <w:pPr>
        <w:ind w:left="1120" w:hanging="370"/>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growth and acquisition strategies expose us to a variety of operational and financial risks.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may use significant resources, may be unsuccessful and could expose us to unforeseen liabilities.</w:t>
      </w:r>
    </w:p>
    <w:p>
      <w:pPr>
        <w:spacing w:after="0" w:line="117" w:lineRule="exact"/>
        <w:rPr>
          <w:rFonts w:ascii="Times New Roman" w:cs="Times New Roman" w:eastAsia="Times New Roman" w:hAnsi="Times New Roman"/>
          <w:sz w:val="18"/>
          <w:szCs w:val="18"/>
          <w:color w:val="auto"/>
        </w:rPr>
      </w:pPr>
    </w:p>
    <w:p>
      <w:pPr>
        <w:ind w:left="1120" w:right="420" w:hanging="370"/>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care for a large number of vulnerable individuals with complex needs and any care quality deficiencies could adversely impact our brand, reputation and ability to market our services effectively.</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disrupted if our information systems fail or if our databases are destroyed or damaged.</w:t>
      </w:r>
    </w:p>
    <w:p>
      <w:pPr>
        <w:spacing w:after="0" w:line="117" w:lineRule="exact"/>
        <w:rPr>
          <w:rFonts w:ascii="Times New Roman" w:cs="Times New Roman" w:eastAsia="Times New Roman" w:hAnsi="Times New Roman"/>
          <w:sz w:val="18"/>
          <w:szCs w:val="18"/>
          <w:color w:val="auto"/>
        </w:rPr>
      </w:pPr>
    </w:p>
    <w:p>
      <w:pPr>
        <w:jc w:val="both"/>
        <w:ind w:left="1120" w:right="380" w:hanging="370"/>
        <w:spacing w:after="0" w:line="266"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to our information technology systems or a cyber security incident could have a material adverse impact on the Company, including substantial sanctions, fines, and damages and civil and criminal penalties under federal and state privacy laws, in addition to reputational harm and increased costs.</w:t>
      </w:r>
    </w:p>
    <w:p>
      <w:pPr>
        <w:spacing w:after="0" w:line="67" w:lineRule="exact"/>
        <w:rPr>
          <w:rFonts w:ascii="Times New Roman" w:cs="Times New Roman" w:eastAsia="Times New Roman" w:hAnsi="Times New Roman"/>
          <w:sz w:val="18"/>
          <w:szCs w:val="18"/>
          <w:color w:val="auto"/>
        </w:rPr>
      </w:pPr>
    </w:p>
    <w:p>
      <w:pPr>
        <w:ind w:left="1120" w:right="280" w:hanging="370"/>
        <w:spacing w:after="0" w:line="266"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facilities in 39 states and Puerto Rico, we have substantial operations in Pennsylvania, California, Arizona and Tennessee, which makes us especially sensitive to regulatory, economic, environmental and competitive conditions and changes in those locations.</w:t>
      </w:r>
    </w:p>
    <w:p>
      <w:pPr>
        <w:spacing w:after="0" w:line="6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are subject to risks related to natural disasters and climate change.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6" w:lineRule="exact"/>
        <w:rPr>
          <w:sz w:val="20"/>
          <w:szCs w:val="20"/>
          <w:color w:val="auto"/>
        </w:rPr>
      </w:pPr>
    </w:p>
    <w:p>
      <w:pPr>
        <w:ind w:left="1120" w:right="740" w:hanging="370"/>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cultivate new or maintain established relationships with referral sources, our business, financial condition or results of operations could be adversely affected.</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competition may lead to declines in patient volumes.</w:t>
      </w:r>
    </w:p>
    <w:p>
      <w:pPr>
        <w:spacing w:after="0" w:line="2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Human Capital Risks</w:t>
      </w:r>
    </w:p>
    <w:p>
      <w:pPr>
        <w:spacing w:after="0" w:line="121" w:lineRule="exact"/>
        <w:rPr>
          <w:sz w:val="20"/>
          <w:szCs w:val="20"/>
          <w:color w:val="auto"/>
        </w:rPr>
      </w:pPr>
    </w:p>
    <w:p>
      <w:pPr>
        <w:ind w:left="1120" w:right="540" w:hanging="370"/>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 face competition for staffing, labor shortages and higher turnover rates that may increase our labor costs and reduce our profitability.</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depends on our ability to recruit and retain quality psychiatrists and other physicians.</w:t>
      </w:r>
    </w:p>
    <w:p>
      <w:pPr>
        <w:spacing w:after="0" w:line="2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Legal Proceedings and Regulatory Risks</w:t>
      </w:r>
    </w:p>
    <w:p>
      <w:pPr>
        <w:spacing w:after="0" w:line="121" w:lineRule="exact"/>
        <w:rPr>
          <w:sz w:val="20"/>
          <w:szCs w:val="20"/>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in the future could become the subject of additional governmental investigations, regulatory actions and whistleblower lawsuits.</w:t>
      </w:r>
    </w:p>
    <w:p>
      <w:pPr>
        <w:spacing w:after="0" w:line="117" w:lineRule="exact"/>
        <w:rPr>
          <w:rFonts w:ascii="Times New Roman" w:cs="Times New Roman" w:eastAsia="Times New Roman" w:hAnsi="Times New Roman"/>
          <w:sz w:val="18"/>
          <w:szCs w:val="18"/>
          <w:color w:val="auto"/>
        </w:rPr>
      </w:pPr>
    </w:p>
    <w:p>
      <w:pPr>
        <w:ind w:left="1120" w:right="180" w:hanging="370"/>
        <w:spacing w:after="0" w:line="282"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monetary penalties and other sanctions, including exclusion from federal healthcare programs, if we fail to comply with the terms of the CIA.</w:t>
      </w:r>
    </w:p>
    <w:p>
      <w:pPr>
        <w:spacing w:after="0" w:line="53" w:lineRule="exact"/>
        <w:rPr>
          <w:rFonts w:ascii="Times New Roman" w:cs="Times New Roman" w:eastAsia="Times New Roman" w:hAnsi="Times New Roman"/>
          <w:sz w:val="18"/>
          <w:szCs w:val="18"/>
          <w:color w:val="auto"/>
        </w:rPr>
      </w:pPr>
    </w:p>
    <w:p>
      <w:pPr>
        <w:ind w:left="1120" w:right="260" w:hanging="370"/>
        <w:spacing w:after="0" w:line="282"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in the future may become involved in legal proceedings based on negligence or breach of a contractual or statutory duty from service users or their family members or from employees or former employees.</w:t>
      </w:r>
    </w:p>
    <w:p>
      <w:pPr>
        <w:spacing w:after="0" w:line="53"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extensive laws and government regulations, we could suffer penalties or be required to make significant changes to our operations.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risks associated with, or arising out of, environmental, health and safety laws and regulations.</w:t>
      </w:r>
    </w:p>
    <w:p>
      <w:pPr>
        <w:spacing w:after="0" w:line="2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120" w:right="540" w:hanging="370"/>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quarter to quarter earnings and other factors, including factors outside our control, may result in significant decreases in the price of our common stock.</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common stock by our existing stockholders may cause our stock price to fall.</w:t>
      </w:r>
    </w:p>
    <w:p>
      <w:pPr>
        <w:spacing w:after="0" w:line="117" w:lineRule="exact"/>
        <w:rPr>
          <w:rFonts w:ascii="Times New Roman" w:cs="Times New Roman" w:eastAsia="Times New Roman" w:hAnsi="Times New Roman"/>
          <w:sz w:val="18"/>
          <w:szCs w:val="18"/>
          <w:color w:val="auto"/>
        </w:rPr>
      </w:pPr>
    </w:p>
    <w:p>
      <w:pPr>
        <w:ind w:left="1120" w:right="240" w:hanging="370"/>
        <w:spacing w:after="0" w:line="312" w:lineRule="auto"/>
        <w:tabs>
          <w:tab w:leader="none" w:pos="1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securities or industry analysts do not publish research or reports about our business, if they were to change their recommendations regarding our stock adversely or if our operating results do not meet their expectations, our stock price and trading volume could decline.</w:t>
      </w:r>
    </w:p>
    <w:p>
      <w:pPr>
        <w:spacing w:after="0" w:line="31" w:lineRule="exact"/>
        <w:rPr>
          <w:rFonts w:ascii="Times New Roman" w:cs="Times New Roman" w:eastAsia="Times New Roman" w:hAnsi="Times New Roman"/>
          <w:sz w:val="17"/>
          <w:szCs w:val="17"/>
          <w:color w:val="auto"/>
        </w:rPr>
      </w:pPr>
    </w:p>
    <w:p>
      <w:pPr>
        <w:ind w:left="1120" w:hanging="370"/>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substantial costs as a result of being a public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80" w:firstLine="510"/>
        <w:spacing w:after="0" w:line="281" w:lineRule="auto"/>
        <w:rPr>
          <w:sz w:val="20"/>
          <w:szCs w:val="20"/>
          <w:color w:val="auto"/>
        </w:rPr>
      </w:pPr>
      <w:r>
        <w:rPr>
          <w:rFonts w:ascii="Times New Roman" w:cs="Times New Roman" w:eastAsia="Times New Roman" w:hAnsi="Times New Roman"/>
          <w:sz w:val="17"/>
          <w:szCs w:val="17"/>
          <w:color w:val="auto"/>
        </w:rPr>
        <w:t>Any of the following risks could materially and adversely affect our business, financial condition or results of operations. These risks should be carefully considered before making an investment decision regarding us. The risks and uncertainties described below are not the only ones we face and there may be additional risks that we are not presently aware of or that we currently consider not likely to have a significant impact. If any of the following risks actually occur, our business, financial condition and operating results could suffer, and the trading price of our common stock could decline.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results of operations are significantly affected by payments received from the government and third-party payors.</w:t>
      </w:r>
    </w:p>
    <w:p>
      <w:pPr>
        <w:spacing w:after="0" w:line="121" w:lineRule="exact"/>
        <w:rPr>
          <w:sz w:val="20"/>
          <w:szCs w:val="20"/>
          <w:color w:val="auto"/>
        </w:rPr>
      </w:pPr>
    </w:p>
    <w:p>
      <w:pPr>
        <w:ind w:right="800" w:firstLine="510"/>
        <w:spacing w:after="0" w:line="282" w:lineRule="auto"/>
        <w:rPr>
          <w:sz w:val="20"/>
          <w:szCs w:val="20"/>
          <w:color w:val="auto"/>
        </w:rPr>
      </w:pPr>
      <w:r>
        <w:rPr>
          <w:rFonts w:ascii="Times New Roman" w:cs="Times New Roman" w:eastAsia="Times New Roman" w:hAnsi="Times New Roman"/>
          <w:sz w:val="18"/>
          <w:szCs w:val="18"/>
          <w:color w:val="auto"/>
        </w:rPr>
        <w:t>A significant portion of our revenue is derived from government healthcare programs. For the year ended December 31, 2022, we derived approximately 66% of our continuing operations revenue from the Medicare and Medicaid programs.</w:t>
      </w:r>
    </w:p>
    <w:p>
      <w:pPr>
        <w:spacing w:after="0" w:line="162"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Government payors in the U.S., such as Medicaid, generally reimburse us on a fee-for-service basis based on predetermined reimbursement rate schedules. As a result, we are limited in the amount we can record as revenue for our services from these government programs, and if we have a cost increase, we typically will not be able to recover this increase. In addition, the federal government and many state governments, are operating under significant budgetary pressures, and they may seek to reduce payments under their Medicaid programs for services such as those we provide. Government payors also tend to pay on a slower schedule. In addition to limiting the amounts they will pay for the services we provide their members, government payors may, among other things, impose prior authorization and concurrent utilization review programs that may further limit the services for which they will pay and shift patients to lower levels of care and reimbursement. Therefore, if governmental entities reduce the amounts they will pay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our services, if they elect not to continue paying for such services altogether, or if there is a significant contraction of the number of individuals covered by state Medicaid programs, our business, financial condition or results of operations could be adversely affected. In addition, if governmental entities slow their payment cycles further, our cash flow from operations could be negatively affected.</w:t>
      </w:r>
    </w:p>
    <w:p>
      <w:pPr>
        <w:spacing w:after="0" w:line="176"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Commercial payors such as managed care organizations, private health insurance programs and labor unions generally reimburse us for the services rendered to insured patients based upon contractually determined rates. These commercial payors are under significant pressure to control healthcare costs. In addition to limiting the amounts they will pay for the services we provide their members, commercial payors may, among other things, impose prior authorization and concurrent utilization review programs that may further limit the services for which they will pay and shift patients to lower levels of care and reimbursement. These actions may reduce the amount of revenue we derive from commercial payors.</w:t>
      </w:r>
    </w:p>
    <w:p>
      <w:pPr>
        <w:spacing w:after="0" w:line="183"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Changes in these government programs in recent years have resulted in limitations on reimbursement and, in some cases, reduced levels of reimbursement for healthcare services. Payments from federal and state government healthcare programs are subject to statutory and regulatory changes, administrative rulings, interpretations and determinations, requirements for utilization review, and federal and state funding restrictions, all of which could materially increase or decrease program payments, as well as affect the cost of providing service to patients and the timing of payments to facilities. We are unable to predict the effect of recent and future policy changes on our operations. In addition, since most states operate with balanced budgets and since the Medicaid program is often a state’s largest program, some states can be expected to enact or consider enacting legislation formulated to reduce their Medicaid expenditures. If the rates paid or the scope of services covered by government payors are reduced, there could be a material adverse effect on our business, financial condition and results of operations.</w:t>
      </w:r>
    </w:p>
    <w:p>
      <w:pPr>
        <w:spacing w:after="0" w:line="192"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In addition to changes in government reimbursement programs, our ability to negotiate favorable contracts with private payors, including managed care providers, significantly affects the financial condition and operating results of our facilities. Further, we may not be able to negotiate or sustain rate increases we have experienced in recent years, and may not be able to achieve consistent rate increases from year to year. Management expects third-party payors to aggressively manage reimbursement levels and cost controls. Reductions in reimbursement amounts received from third-party payors could have a material adverse effect on our business, financial condition and results of operations.</w:t>
      </w:r>
    </w:p>
    <w:p>
      <w:pPr>
        <w:spacing w:after="0" w:line="183"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Our healthcare facilities are also subject to federal, state and commercial payor audits to validate the accuracy of claims submitted to government healthcare programs and commercial payors. If these audits identify overpayments, we could be required to make substantial repayments, subject to various appeal rights. Our facilities are routinely subjected to claims audits in the ordinary course of business. While no such audit has identified any material overpayment liability, should a potential material overpayment liability arise from a future audit, such overpayment liability may ultimately exceed established reserves, and any excess could potentially be substantial. Further, Medicare and Medicaid regulations, as well as commercial payor contracts, also provide for withholding or suspending payments in certain circumstances, which could adversely affect our cash flow.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could adversely affect our financial health and prevent us from fulfilling our obligations under our financing arrangements.</w:t>
      </w:r>
    </w:p>
    <w:p>
      <w:pPr>
        <w:spacing w:after="0" w:line="229" w:lineRule="exact"/>
        <w:rPr>
          <w:sz w:val="20"/>
          <w:szCs w:val="20"/>
          <w:color w:val="auto"/>
        </w:rPr>
      </w:pPr>
    </w:p>
    <w:p>
      <w:pPr>
        <w:jc w:val="both"/>
        <w:ind w:right="40" w:firstLine="510"/>
        <w:spacing w:after="0" w:line="289" w:lineRule="auto"/>
        <w:rPr>
          <w:sz w:val="20"/>
          <w:szCs w:val="20"/>
          <w:color w:val="auto"/>
        </w:rPr>
      </w:pPr>
      <w:r>
        <w:rPr>
          <w:rFonts w:ascii="Times New Roman" w:cs="Times New Roman" w:eastAsia="Times New Roman" w:hAnsi="Times New Roman"/>
          <w:sz w:val="17"/>
          <w:szCs w:val="17"/>
          <w:color w:val="auto"/>
        </w:rPr>
        <w:t>At December 31, 2022, we had approximately $1.4 billion of total debt (net of debt issuance costs, discounts and premiums of $12.6 million), which included approximately $473.4 million of debt under the New Credit Facility, $450.0 million of debt under the 5.500% Senior Notes and $475.0 million of debt under the 5.000% Senior Notes. See “Item 1. Business—Financing Transactions” for additional details regarding our outstanding indebtedness.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debt could have important consequences to our business. For example, it could:</w:t>
      </w:r>
    </w:p>
    <w:p>
      <w:pPr>
        <w:spacing w:after="0" w:line="117" w:lineRule="exact"/>
        <w:rPr>
          <w:sz w:val="20"/>
          <w:szCs w:val="20"/>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other financial obligations;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making strategic acquisitions or cause us to make non-strategic divestitures;</w:t>
      </w:r>
    </w:p>
    <w:p>
      <w:pPr>
        <w:spacing w:after="0" w:line="117"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debt (including scheduled repayments on our outstanding term loan borrowings under the New Credit Facility), thereby reducing the availability of our cash flow to fund working capital, capital expenditures and other general corporate purposes;</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fluctuations because the interest on the New Credit Facility is imposed at variable rates;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to our lenders, resulting in possible defaults on and acceleration of such debt;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6" w:lineRule="exact"/>
        <w:rPr>
          <w:sz w:val="20"/>
          <w:szCs w:val="20"/>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 redeem stock or make other distributions.</w:t>
      </w:r>
    </w:p>
    <w:p>
      <w:pPr>
        <w:spacing w:after="0" w:line="225" w:lineRule="exact"/>
        <w:rPr>
          <w:sz w:val="20"/>
          <w:szCs w:val="20"/>
          <w:color w:val="auto"/>
        </w:rPr>
      </w:pPr>
    </w:p>
    <w:p>
      <w:pPr>
        <w:jc w:val="both"/>
        <w:ind w:right="320" w:firstLine="510"/>
        <w:spacing w:after="0" w:line="266" w:lineRule="auto"/>
        <w:rPr>
          <w:sz w:val="20"/>
          <w:szCs w:val="20"/>
          <w:color w:val="auto"/>
        </w:rPr>
      </w:pPr>
      <w:r>
        <w:rPr>
          <w:rFonts w:ascii="Times New Roman" w:cs="Times New Roman" w:eastAsia="Times New Roman" w:hAnsi="Times New Roman"/>
          <w:sz w:val="18"/>
          <w:szCs w:val="18"/>
          <w:color w:val="auto"/>
        </w:rPr>
        <w:t>In addition, the terms of our financing arrangements contain restrictive covenants that limit our ability to engage in activities that may be in our long-term best interests. Our failure to comply with those covenants could result in an event of default which, if not cured or waived, could result in the acceleration of all of our debts, including the New Credit Facility and the Senior Notes.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will require a significant amount of cash. Our ability to generate sufficient cash to service our debt depends on many factors beyond our control.</w:t>
      </w:r>
    </w:p>
    <w:p>
      <w:pPr>
        <w:spacing w:after="0" w:line="51"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our debt, to fund planned capital expenditures and to maintain sufficient working capital will depend on our ability to generate cash in the future. This, to a certain extent, is subject to general economic, financial, competitive, legislative, regulatory and other factors that are beyond our control.</w:t>
      </w:r>
    </w:p>
    <w:p>
      <w:pPr>
        <w:spacing w:after="0" w:line="17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the New Credit Facility or from other sources in an amount sufficient to enable us to service our debt or to fund our other liquidity needs. If our cash flow and capital resources are insufficient to allow us to make scheduled payments on our debt, we may need to reduce or delay capital expenditures, sell assets, seek additional capital or restructure or refinance all or a portion of our debt on or before the maturity thereof, any of which could have a material adverse effect on our business, financial condition or results of operations. We cannot assure you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restrictive covenants, which may restrict our business and financing activities.</w:t>
      </w:r>
    </w:p>
    <w:p>
      <w:pPr>
        <w:spacing w:after="0" w:line="121"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Our financing arrangements impose, and the terms of any future debt may impose, operating and other restrictions on us. Such restrictions affect, and in many respects limit or prohibit, among other things, our and our subsidiaries’ ability to:</w:t>
      </w:r>
    </w:p>
    <w:p>
      <w:pPr>
        <w:spacing w:after="0" w:line="54" w:lineRule="exact"/>
        <w:rPr>
          <w:sz w:val="20"/>
          <w:szCs w:val="20"/>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 and issue certain preferred stock;</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common stock or redeem, repurchase or retire our equity interests or subordinated debt;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our assets;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payments or investments;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 on assets;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ability of our subsidiaries to pay dividends or make other payments to 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our affiliates;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companies.</w:t>
      </w:r>
    </w:p>
    <w:p>
      <w:pPr>
        <w:spacing w:after="0" w:line="225" w:lineRule="exact"/>
        <w:rPr>
          <w:sz w:val="20"/>
          <w:szCs w:val="20"/>
          <w:color w:val="auto"/>
        </w:rPr>
      </w:pPr>
    </w:p>
    <w:p>
      <w:pPr>
        <w:jc w:val="both"/>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New Credit Facility also requires us to meet certain financial ratios, including a fixed charge coverage ratio and a consolidated leverage ratio. See “Item 7. Management’s Discussion and Analysis of Financial Condition and Results of Operations—Liquidity and Capital Resources —New Credit Facility”.</w:t>
      </w:r>
    </w:p>
    <w:p>
      <w:pPr>
        <w:spacing w:after="0" w:line="176" w:lineRule="exact"/>
        <w:rPr>
          <w:sz w:val="20"/>
          <w:szCs w:val="20"/>
          <w:color w:val="auto"/>
        </w:rPr>
      </w:pPr>
    </w:p>
    <w:p>
      <w:pPr>
        <w:ind w:right="420" w:firstLine="510"/>
        <w:spacing w:after="0" w:line="261" w:lineRule="auto"/>
        <w:rPr>
          <w:sz w:val="20"/>
          <w:szCs w:val="20"/>
          <w:color w:val="auto"/>
        </w:rPr>
      </w:pPr>
      <w:r>
        <w:rPr>
          <w:rFonts w:ascii="Times New Roman" w:cs="Times New Roman" w:eastAsia="Times New Roman" w:hAnsi="Times New Roman"/>
          <w:sz w:val="18"/>
          <w:szCs w:val="18"/>
          <w:color w:val="auto"/>
        </w:rPr>
        <w:t>The restrictions may prevent us from taking actions that management believes would be in the best interests of our business, and may make it difficult for us to successfully execute our business strategy or effectively compete with companies that are not similarly restricted. We also may incur future debt obligations that might subject us to additional restrictive covenants that could affect our financial and operational flexibility. Our ability to comply with these covenants in future periods will largely depend on the pricing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products and services, our success at implementing cost reduction initiatives and our ability to successfully implement our overall business strategy. We cannot assure you that we will be granted waivers or amendments to our financing arrangements if for any reason we are unable to comply with our financial covenants. The breach of any of these covenants and restrictions could result in a default under the indentures governing the Senior Notes or under the New Credit Facility, which could result in an acceleration of our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our current debt level, we may incur significant additional amounts of debt, which could further exacerbate the risks associated with our debt.</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may incur substantial additional debt, including additional notes and other debt, in the future. Although the indentures governing our outstanding Senior Notes and the New Credit Facility contain restrictions on the incurrence of additional debt, these restrictions are subject to a number of significant qualifications and exceptions, and under certain circumstances, the amount of debt that could be incurred in compliance with these restrictions could be substantial. If new debt is added to our existing debt levels, the related risks that we now face would intensify and we may not be able to meet all our debt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debt, we may not be able to make payments on our financing arrangements.</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Any default under the agreements governing our debt, including a default under the New Credit Facility or the indentures governing our Senior Notes, and the remedies sought by the holders of such debt, could adversely affect our ability to pay the principal, premium, if any, and interest on the Senior Notes and substantially decrease the market value of the Senior Notes. If we are unable to generate sufficient cash flows and are otherwise unable to obtain funds necessary to meet required payments of principal, premium, if any, and interest on our debt, or if we otherwise fail to comply with the various covenants, including financial and operating covenants, in the instruments governing our debt (including the New Credit Facility and the indentures governing the Senior Notes), we would be in default under the terms of the agreements governing such debt. In the event of such default, the holders of such debt could elect to declare all the funds borrowed thereunder to be due and payable, the lenders under the New Credit Facility could elect to terminate their commitments or cease making further loans and institute foreclosure proceedings against our assets, or we could be forced to apply all available cash flows to repay such debt, and, in any such case, we could ultimately be forced into bankruptcy or liquidation. Because the indentures governing the Senior Notes and the agreement governing the New Credit Facility have customary cross-default provisions, if the debt under the Senior Notes or the New Credit Facility is accelerated, we may be unable to repay or refinance the amounts due.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record additional charges to future earnings if our goodwill, intangible assets and property and equipment become impaired.</w:t>
      </w:r>
    </w:p>
    <w:p>
      <w:pPr>
        <w:spacing w:after="0" w:line="121" w:lineRule="exact"/>
        <w:rPr>
          <w:sz w:val="20"/>
          <w:szCs w:val="20"/>
          <w:color w:val="auto"/>
        </w:rPr>
      </w:pPr>
    </w:p>
    <w:p>
      <w:pPr>
        <w:ind w:right="20" w:firstLine="464"/>
        <w:spacing w:after="0" w:line="254" w:lineRule="auto"/>
        <w:rPr>
          <w:sz w:val="20"/>
          <w:szCs w:val="20"/>
          <w:color w:val="auto"/>
        </w:rPr>
      </w:pPr>
      <w:r>
        <w:rPr>
          <w:rFonts w:ascii="Times New Roman" w:cs="Times New Roman" w:eastAsia="Times New Roman" w:hAnsi="Times New Roman"/>
          <w:sz w:val="18"/>
          <w:szCs w:val="18"/>
          <w:color w:val="auto"/>
        </w:rPr>
        <w:t>We are required under U.S. generally accepted accounting principles (“GAAP”) to review annually, or more frequently if events indicate the carrying value of a reporting unit may not be recoverable, our goodwill and indefinite-lived intangible assets for impairment. Although there were no impairment charges recorded for the 2022 annual impairment review, we may be required to record charges to earnings during any period in which an impairment of our goodwill, intangible assets and property and equipment is determined which could adversely affect our results of operations. Our evaluation of goodwill and the need for any further impairment in subsequent periods is sensitive to revisions to our current projections. See “Item 7. Management’s Discussion and Analysis of Financial Condition and Results of Operations— Critical Accounting Policies — Property and Equipment and other Long-Lived Assets” and “Item 7. Management’s Discussion and Analysis of Financial Condition and Results of Operations— Critical Accounting Policies — Goodwill and Indefinite-Lived Intangible Assets”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costs are subject to increases in the wages and salaries of our staff.</w:t>
      </w:r>
    </w:p>
    <w:p>
      <w:pPr>
        <w:spacing w:after="0" w:line="12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The most significant operating expense for our facilities is wage costs, which represent the staff costs incurred in providing our services and running our facilities, and which are primarily driven by the number of employees and pay rates. The number of employees employed by us is primarily linked to the number of facilities we operate and the number of individuals cared for by us. While we can reduce the number of employees should occupancy rates decrease at our facilities, there is a limit on the extent to which this can be done without impacting quality of our services.</w:t>
      </w:r>
    </w:p>
    <w:p>
      <w:pPr>
        <w:spacing w:after="0" w:line="72" w:lineRule="exact"/>
        <w:rPr>
          <w:sz w:val="20"/>
          <w:szCs w:val="20"/>
          <w:color w:val="auto"/>
        </w:rPr>
      </w:pPr>
    </w:p>
    <w:p>
      <w:pPr>
        <w:jc w:val="both"/>
        <w:ind w:right="460" w:firstLine="510"/>
        <w:spacing w:after="0" w:line="266" w:lineRule="auto"/>
        <w:rPr>
          <w:sz w:val="20"/>
          <w:szCs w:val="20"/>
          <w:color w:val="auto"/>
        </w:rPr>
      </w:pPr>
      <w:r>
        <w:rPr>
          <w:rFonts w:ascii="Times New Roman" w:cs="Times New Roman" w:eastAsia="Times New Roman" w:hAnsi="Times New Roman"/>
          <w:sz w:val="18"/>
          <w:szCs w:val="18"/>
          <w:color w:val="auto"/>
        </w:rPr>
        <w:t>We also have a number of recurring costs including insurance, utilities and rental costs, and may face increases to other recurring costs such as regulatory compliance costs. There can be no assurance that any of our recurring costs will not grow at a faster rate than our revenue. As a result, any increase in our operating costs could have a material adverse effect on our business, results of operations and financial condition.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volatility in the global capital and credit markets as well as significant developments in macroeconomic and political conditions that are out of our control.</w:t>
      </w:r>
    </w:p>
    <w:p>
      <w:pPr>
        <w:spacing w:after="0" w:line="51"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Our business can be affected by a number of factors that are beyond our control, such as general macroeconomic conditions, conditions in the financial services markets, geopolitical conditions and other general political and economic developments. In particular, we have historically financed acquisitions, the development of de novo and joint venture facilities and the modification of our existing facilities through a variety of sources, including our own cash reserves and debt financing. While we intend to seek to finance acquisitions and new and existing developments from similar sources in the future, there may be insufficient cash reserves to fund the budgeted capital expenditure and market conditions and other factors may prevent us from obtaining debt financing on appropriate terms or at all. In addition, market conditions may limit the number of financial institutions that are willing to provide financing to landlords with whom we wish to contract to build new healthcare facilities which can then be made available to us under a long-term operating lease. If conditions in the global economy remain uncertain or weaken further, this could materially adversely impact our ADC, which would have a corresponding negative impact on our business, results of operations and financial condition.</w:t>
      </w:r>
    </w:p>
    <w:p>
      <w:pPr>
        <w:spacing w:after="0" w:line="1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worsening of the economic and employment conditions in the geographies in which we operate could materially affect our business and future results of operations.</w:t>
      </w:r>
    </w:p>
    <w:p>
      <w:pPr>
        <w:spacing w:after="0" w:line="5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During periods of high unemployment, governmental entities often experience budget deficits as a result of increased costs and lower than expected tax collections. These budget deficits at the federal, state and local levels have decreased, and may continue to decrease, spending for health and human service programs, including Medicare and Medicaid, which are significant payor sources for our facilities. In periods of high unemployment, we also face the risk of potential declines in the population covered under private insurance, patient decisions to postpone or decide against receiving behavioral healthcare services, potential increases in the uninsured and underinsured populations we serve and further difficulties in collecting patient co-payment and deductible receivables.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sizable portion of our revenue from certain residential recovery, eating disorder facilities, CTCs and youth programs is from self-payors.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 sustained downturn in the U.S. economy could restrain the ability of our patients and the families of our students to pay for services.</w:t>
      </w:r>
    </w:p>
    <w:p>
      <w:pPr>
        <w:spacing w:after="0" w:line="20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Furthermore, the availability of liquidity and capital resources to fund the continuation and expansion of many business operations worldwide has been limited in recent years. Our ability to access the capital markets on acceptable terms may be severely restricted at a time when we would like, or need, access to those markets, which could have a negative impact on our growth plans, our flexibility to react to changing economic and business conditions and our ability to refinance existing debt (including debt under the New Credit Facility and the Senior Notes). A sustained economic downturn or other economic conditions could also adversely affect the counterparties to our agreements, including the lenders under the New Credit Facility, causing them to fail to meet their obligations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inflation and rising interest rates may adversely impact our business, financial condition and results of operations.</w:t>
      </w:r>
    </w:p>
    <w:p>
      <w:pPr>
        <w:spacing w:after="0" w:line="121" w:lineRule="exact"/>
        <w:rPr>
          <w:sz w:val="20"/>
          <w:szCs w:val="20"/>
          <w:color w:val="auto"/>
        </w:rPr>
      </w:pPr>
    </w:p>
    <w:p>
      <w:pPr>
        <w:ind w:right="80" w:firstLine="225"/>
        <w:spacing w:after="0" w:line="256" w:lineRule="auto"/>
        <w:rPr>
          <w:sz w:val="20"/>
          <w:szCs w:val="20"/>
          <w:color w:val="auto"/>
        </w:rPr>
      </w:pPr>
      <w:r>
        <w:rPr>
          <w:rFonts w:ascii="Times New Roman" w:cs="Times New Roman" w:eastAsia="Times New Roman" w:hAnsi="Times New Roman"/>
          <w:sz w:val="18"/>
          <w:szCs w:val="18"/>
          <w:color w:val="auto"/>
        </w:rPr>
        <w:t>Inflation in the U.S. has recently accelerated and is currently expected to continue at an elevated level in the near-term. Current and future inflationary effects may be driven by, among other things, supply chain disruptions and governmental stimulus or fiscal policies, and geopolitical instability, including the ongoing conflict between the Ukraine and Russia. Continuing increases in inflation, have in the past, and could in the future, impact our costs of labor and services and the margins we are able to realize on the operation of our facilities and services, all of which could have an adverse impact on our business, financial position, results of operations and cash flows. Inflation has also resulted in higher interest rates, which in turn will result in higher costs of debt borrowing and could limit our growth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industry trend on value-based purchasing may negatively impact our revenue.</w:t>
      </w:r>
    </w:p>
    <w:p>
      <w:pPr>
        <w:spacing w:after="0" w:line="12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There is a trend in the healthcare industry toward value-based purchasing of healthcare services, rather than per diem charges. These value-based purchasing programs include both public reporting of quality data and preventable adverse events tied to the quality and efficiency of care provided by facilities. Governmental programs including Medicare and Medicaid currently require hospitals to report certain quality data to receive full reimbursement updates. In addition, Medicare does not reimburse for care related to certain preventable adverse events. Many large commercial payors currently require hospitals to report quality data, and several commercial payors do not reimburse hospitals for certain preventable adverse events.</w:t>
      </w:r>
    </w:p>
    <w:p>
      <w:pPr>
        <w:spacing w:after="0" w:line="183" w:lineRule="exact"/>
        <w:rPr>
          <w:sz w:val="20"/>
          <w:szCs w:val="20"/>
          <w:color w:val="auto"/>
        </w:rPr>
      </w:pPr>
    </w:p>
    <w:p>
      <w:pPr>
        <w:ind w:right="400" w:firstLine="510"/>
        <w:spacing w:after="0" w:line="266" w:lineRule="auto"/>
        <w:rPr>
          <w:sz w:val="20"/>
          <w:szCs w:val="20"/>
          <w:color w:val="auto"/>
        </w:rPr>
      </w:pPr>
      <w:r>
        <w:rPr>
          <w:rFonts w:ascii="Times New Roman" w:cs="Times New Roman" w:eastAsia="Times New Roman" w:hAnsi="Times New Roman"/>
          <w:sz w:val="18"/>
          <w:szCs w:val="18"/>
          <w:color w:val="auto"/>
        </w:rPr>
        <w:t>We expect value-based purchasing programs, including programs that condition reimbursement on patient outcome measures, to become more common and to involve a higher percentage of reimbursement amounts. We are unable at this time to predict how this trend will affect our results of operations, but it could negatively impact our revenue if we are unable to meet quality standards established by both governmental and private payers.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trend by insurance companies and managed care organizations to enter into sole-source contracts may limit our ability to obtain patients.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Insurance companies and managed care organizations are entering into sole-source contracts with healthcare providers, which could limit our ability to obtain patients since we do not offer the range of services required for these contracts. Moreover, private insurers, managed care organizations and, to a lesser extent, Medicaid and Medicare, are beginning to carve-out specific services, including mental health and substance abuse services, and establish small, specialized networks of providers for such services at fixed reimbursement rates. Continued growth in the use of carve-out arrangements could materially adversely affect our business to the extent we are not selected to participate in such networks or if the reimbursement rate in such networks is not adequate to cover the cost of providing the service.</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global pandemic continues to impact our operations, business and financial condition, and our liquidity could be negatively impacted, particularly if the U.S. economy remains unstable for a significant amount of time or if patient volumes decline at our facilities.</w:t>
      </w:r>
    </w:p>
    <w:p>
      <w:pPr>
        <w:spacing w:after="0" w:line="5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The global pandemic of COVID-19 is affecting our facilities, employees, patients, communities, business operations and financial performance, as well as the broader U.S. economy and financial markets. During 2020, 2021 and 2022 COVID-19 resulted in fewer referrals to our facilities and lower voluntary admissions as individuals were less inclined to leave their homes and seek treatment. When employees and/or patients at a facility are infected with COVID-19, there is a risk that the virus will spread to others at the facility and impact the operations of such facility. COVID-19 is continuing to evolve and its full impact remains unknown and difficult to predict; however, it has adversely affected our business operations in 2020, 2021 and 2022 and could negatively impact our financial performance for 2023 or longer.</w:t>
      </w:r>
    </w:p>
    <w:p>
      <w:pPr>
        <w:spacing w:after="0" w:line="7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could experience supply chain disruptions and significant price increases in equipment, pharmaceuticals and medical supplies, which could cause delays in our ability to develop a de novo or joint venture facility or modify an existing facility. Pandemic-related staffing difficulties and equipment, pharmaceutical and medical supplies shortages may impact our ability to treat patients at our facilities. Such shortages could lead to us paying higher prices for supplies, equipment and labor and an increase in overtime hours paid to our employees.</w:t>
      </w:r>
    </w:p>
    <w:p>
      <w:pPr>
        <w:spacing w:after="0" w:line="72"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The steps we have taken to mitigate the financial impact of COVID-19, see “Item 1. Business — COVID-19 Impact,” may not be successful, and we could experience material decreases in Adjusted EBITDA in 2023 or longer. In addition, we may need to take further steps to mitigate the financial impact of COVID-19, which actions could adversely affect our financial condition and results of operations.</w:t>
      </w:r>
    </w:p>
    <w:p>
      <w:pPr>
        <w:spacing w:after="0" w:line="68"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Broad economic factors resulting from COVID-19, including reduced consumer spending, could also negatively affect our payor mix, increase the relative proportion of lower margin services we provide and reduce patient volumes, as well as diminish our ability to collect outstanding receivables. Business closings and layoffs in the areas in which we operate may lead to increases in the uninsured and underinsured populations and adversely affect demand for our services, as well as the ability of patients and other payors to pay for services as rendered. Any increase in the amount or deterioration in the collectability of patient accounts receivable will adversely affect our cash flows and results of operations, requiring an increased level of working capital. If general economic conditions continue to deteriorate or remain uncertain for an extended period of time, our liquidity and ability to repay our outstanding debt may be adversely affected.</w:t>
      </w:r>
    </w:p>
    <w:p>
      <w:pPr>
        <w:spacing w:after="0" w:line="8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addition, our results and financial condition may be further adversely affected by future federal or state laws, regulations, orders, or other governmental or regulatory actions addressing the current COVID-19 pandemic or the U.S. healthcare system, which, if adopted, could result in direct or indirect restrictions to our business. We may also be subject to negative press and/or lawsuits from patients, employees and others exposed to COVID-19 at our facilities. Such actions may involve large demands, as well as substantial costs to resolve. Our professional and general liability insurance may not cover all claims against us.</w:t>
      </w:r>
    </w:p>
    <w:p>
      <w:pPr>
        <w:spacing w:after="0" w:line="75" w:lineRule="exact"/>
        <w:rPr>
          <w:sz w:val="20"/>
          <w:szCs w:val="20"/>
          <w:color w:val="auto"/>
        </w:rPr>
      </w:pPr>
    </w:p>
    <w:p>
      <w:pPr>
        <w:jc w:val="both"/>
        <w:ind w:right="140" w:firstLine="510"/>
        <w:spacing w:after="0" w:line="261" w:lineRule="auto"/>
        <w:rPr>
          <w:sz w:val="20"/>
          <w:szCs w:val="20"/>
          <w:color w:val="auto"/>
        </w:rPr>
      </w:pPr>
      <w:r>
        <w:rPr>
          <w:rFonts w:ascii="Times New Roman" w:cs="Times New Roman" w:eastAsia="Times New Roman" w:hAnsi="Times New Roman"/>
          <w:sz w:val="18"/>
          <w:szCs w:val="18"/>
          <w:color w:val="auto"/>
        </w:rPr>
        <w:t>The foregoing and other continued disruptions to our business as a result of the COVID-19 pandemic have impacted our business and may have a material adverse effect on our business, results of operations, financial condition, cash flows and our ability to service our indebtedness. Additionally, the COVID-19 pandemic (including governmental responses, broad economic impacts and market disruptions) has heightened the materiality of certain other risk factors described herein.</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uninsured or underinsured patients or the deterioration in the collectability of patient accounts receivables could harm our results of operation.</w:t>
      </w:r>
    </w:p>
    <w:p>
      <w:pPr>
        <w:spacing w:after="0" w:line="51"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Collection of receivables from third-party payors and patients is critical to our operating performance. Our primary collection risks relate to uninsured patients and the portion of the bill that is the patient’s responsibility, which primarily includes co-payments and deductibles. We determine the transaction price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on historical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collection experience. At December 31, 2022, our estimated implicit price concessions represented approximately 15% of our accounts receivable balance as of such date.</w:t>
      </w:r>
    </w:p>
    <w:p>
      <w:pPr>
        <w:spacing w:after="0" w:line="54"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Significant changes in business office operations, payor mix, economic conditions or trends in federal and state governmental health coverage could affect our collection of accounts receivable, cash flow and results of operations. If we experience unexpected increases in the growth of uninsured and underinsured patients or in bad debt expenses, our results of operations will be harmed.</w:t>
      </w:r>
    </w:p>
    <w:p>
      <w:pPr>
        <w:spacing w:after="0" w:line="17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in accordance with Section 404 of the Sarbanes-Oxley Act of 2002 (the “Sarbanes-Oxley Act”), could have a material adverse effect on our business.</w:t>
      </w:r>
    </w:p>
    <w:p>
      <w:pPr>
        <w:spacing w:after="0" w:line="5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We are required to maintain internal control over financial reporting under Section 404 of the Sarbanes-Oxley Act. If we are unable to maintain adequate internal control over financial reporting, we may be unable to report our financial information on a timely basis, may suffer adverse regulatory consequences or violations of NASDAQ listing rules and may breach the covenants under our financing arrangements. There could also be a negative reaction in the financial markets due to a loss of investor confidence in us and the reliability of our financial statements. If we or our independent registered public accounting firm identify any material weakness in our internal control over financial reporting in the future (including any material weakness in the controls of businesses we have acquired), their correction could require additional remedial measures which could be costly, time-consuming and could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in the foreseeable future.</w:t>
      </w:r>
    </w:p>
    <w:p>
      <w:pPr>
        <w:spacing w:after="0" w:line="121"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8"/>
          <w:szCs w:val="18"/>
          <w:color w:val="auto"/>
        </w:rPr>
        <w:t>We intend to retain our future earnings, if any, for use in our business or for other corporate purposes and do not anticipate that cash dividends with respect to common stock will be paid in the foreseeable future. Any decision as to the future payment of dividends will depend on our results of operations, financial position and such other factors as our board of directors, in its discretion, deems relevant. In addition, the terms of our debt substantially limit our ability to pay dividends. As a result, capital appreciation, if any, of our common stock will be a stockholder’s sole source of gain for the foreseeable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incident involving one or more of our patients or the failure by one or more of our facilities to provide appropriate care could result in increased regulatory burdens, governmental investigations, negative publicity and adversely affect the trading price of our common stock.</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Because many of the patients we treat suffer from severe mental health and chemical dependency disorders, patient incidents, including deaths, sexual abuse, assaults and elopements, occur from time to time. If one or more of our facilities experiences an adverse patient incident or is found to have failed to provide appropriate patient care, an admissions hold, loss of accreditation, license revocation or other adverse regulatory action could be taken against us. Any such patient incident or adverse regulatory action could result in governmental investigations, judgments or fines and have a material adverse effect on our business, financial condition and results of operations. In addition, we have been and could become the subject of negative publicity or unfavorable media attention, whether warranted or unwarranted, that could have a significant, adverse effect on the trading price of our common stock or adversely impact our reputation and how our referral sources and payors view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growth and acquisition strategies expose us to a variety of operational and financial risks.</w:t>
      </w:r>
    </w:p>
    <w:p>
      <w:pPr>
        <w:spacing w:after="0" w:line="121"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A principal element of our business strategy is to grow by acquiring other companies and assets in the behavioral healthcare industry. Growth through acquisitions exposes us to a variety of operational and financial risks. We summarize the most significant of these risks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risks</w:t>
      </w:r>
    </w:p>
    <w:p>
      <w:pPr>
        <w:spacing w:after="0" w:line="119"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We must integrate our acquisitions with our existing operations. This process includes the integration of the various components of our business and of the businesses we have acquired or may acquire in the future, including the following:</w:t>
      </w:r>
    </w:p>
    <w:p>
      <w:pPr>
        <w:spacing w:after="0" w:line="54" w:lineRule="exact"/>
        <w:rPr>
          <w:sz w:val="20"/>
          <w:szCs w:val="20"/>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psychiatrists, other physicians and employees who are not familiar with our operations;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may elect to switch to another behavioral healthcare provider;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programs;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disparate operating, information and record keeping systems and technology platforms.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Integrating a newly acquired facility could be expensive and time consuming and could disrupt our ongoing business, negatively affect cash flow and distract management and other key personnel from day-to-day operations.</w:t>
      </w:r>
    </w:p>
    <w:p>
      <w:pPr>
        <w:spacing w:after="0" w:line="162"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We may not be able to successfully combine the operations of acquired facilities with our operations, and even if such integration is accomplished, we may never realize the potential benefits of the acquisition. The integration of acquisitions with our operations requires significant attention from management, may impose substantial demands on our operations or other projects and may impose challenges on the combined business including, but not limited to, consistencies in business standards, procedures, policies, business cultures and internal controls and compliance. Certain acquisitions involve a capital outlay, and the return that we achieve on any capital invested may be less than the return that we would achieve on our other projects or investments. If we fail to complete the integration of acquired facilities, we may never fully realize the potential benefits of the related acquisitions.</w:t>
      </w:r>
    </w:p>
    <w:p>
      <w:pPr>
        <w:spacing w:after="0" w:line="187"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Successful integration depends on the ability to effect any required changes in operations or personnel, which may entail unforeseen liabilities. The integration of acquired businesses may expose us to certain risks, including the following: difficulty in integrating these businesses in a cost-effective manner, including the establishment of effective management information and financial control systems; unforeseen legal, regulatory, contractual, employment or other issues arising out of the combination; combining corporate cultures; maintaining employee morale and retaining key employees; potential disruptions to our on-going business caused by our senior management’s focus on integrating these businesses; and performance of the combined assets not meeting our expectations or plans. A failure to properly integrate these businesses could have a corresponding material adverse effect on our business, results of operations, financial condition or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may not materialize</w:t>
      </w:r>
    </w:p>
    <w:p>
      <w:pPr>
        <w:spacing w:after="0" w:line="227"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When evaluating potential acquisition targets, we identify potential synergies and cost savings that we expect to realize upon the successful completion of the acquisition and the integration of the related operations. We may, however, be unable to achieve or may otherwise never realize the expected benefits. Our ability to realize the expected benefits from potential cost savings and revenue improvement opportunities is subject to significant business, economic and competitive uncertainties and contingencies, many of which are beyond our control, such as changes to government regulation governing or otherwise impacting the behavioral healthcare industry, reductions in reimbursement rates from third-party payors, reductions in service levels under our contracts, operating difficulties, client preferences, changes in competition and general economic or industry conditions. If we are unsuccessful in implementing these improvements or if we do not achieve our expected results, it may adversely impact our business, financial condition or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of unknown liabilities</w:t>
      </w:r>
    </w:p>
    <w:p>
      <w:pPr>
        <w:spacing w:after="0" w:line="11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Facilities that we acquire may have unknown or contingent liabilities, including, but not limited to, liabilities for uncertain tax positions, liabilities for failure to comply with healthcare laws and regulations and liabilities for unresolved litigation or regulatory reviews. Although we typically attempt to exclude significant liabilities from our acquisition transactions and seek indemnification from the sellers of such facilities, the purchase agreement for some of our significant acquisitions contain minimal representations and warranties about the entities and business that we acquired. In addition, we have no indemnification rights against the sellers under some purchase agreements and all of the purchase price consideration was paid at closing. Therefore, we may incur material liabilities for the past activities of acquired entities and facilities. Even in those acquisitions in which we have such rights, we may experience difficulty enforcing the sellers’ obligations, or we may incur material liabilities for the past activities of acquired facilities. Such liabilities and related legal or other costs and/or resulting damage to a facility’s reputation could negatively impact our business, financial condition or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Competing for acquisitions</w:t>
      </w:r>
    </w:p>
    <w:p>
      <w:pPr>
        <w:spacing w:after="0" w:line="11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face competition for acquisition candidates primarily from other for-profit healthcare companies, as well as from not-for-profit entities. Some of our competitors may have greater resources than we do. As a result, we may pay more to acquire a target business or may agree to less favorable deal terms than we would have otherwise. Our principal competitors for acquisitions have included UHS and private equity firms. Also, suitable acquisitions may not be accomplished due to unfavorable terms. Further, the cost of an acquisition could result in a dilutive effect on our results of operations, depending on various factors, including the amount paid for an acquired facility, the acquired facility’s results of operations, the fair value of assets acquired and liabilities assumed, effects of subsequent legislation and limits on rate increases. In addition, we may have to pay cash, incur debt, or issue equity securities to pay for any such acquisition, which could adversely affect our financial results, result in dilution to our stockholders, result in increased fixed obligations or impede our ability to manage our operations. There can be no assurances that we will be able to acquire facilities at historical or expected rates or on favorable terms.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Antitrust and other legal challenges</w:t>
      </w:r>
    </w:p>
    <w:p>
      <w:pPr>
        <w:spacing w:after="0" w:line="119" w:lineRule="exact"/>
        <w:rPr>
          <w:sz w:val="20"/>
          <w:szCs w:val="20"/>
          <w:color w:val="auto"/>
        </w:rPr>
      </w:pPr>
    </w:p>
    <w:p>
      <w:pPr>
        <w:ind w:right="20" w:firstLine="562"/>
        <w:spacing w:after="0" w:line="255" w:lineRule="auto"/>
        <w:rPr>
          <w:sz w:val="20"/>
          <w:szCs w:val="20"/>
          <w:color w:val="auto"/>
        </w:rPr>
      </w:pPr>
      <w:r>
        <w:rPr>
          <w:rFonts w:ascii="Times New Roman" w:cs="Times New Roman" w:eastAsia="Times New Roman" w:hAnsi="Times New Roman"/>
          <w:sz w:val="18"/>
          <w:szCs w:val="18"/>
          <w:color w:val="auto"/>
        </w:rPr>
        <w:t>We may face antitrust and other legal challenges when acquiring facilities or other businesses, which could negatively impact our ability to close acquisition transactions. Antitrust enforcement in the healthcare industry is currently a priority of the Federal Trade Commission, the Department of Justice and many state agencies, including with respect to hospital acquisitions. Additionally, many states require CONs in order to acquire a hospital or other healthcare facility. The acquisition of hospitals and other healthcare facilities also often requires licensure approvals or reviews and complex change of ownership processes for Medicare and other payers. The increasingly challenging antitrust enforcement environment and other regulatory review or approval processes could significantly delay or even prevent our ability to acquire facilities and other businesses and increase our acquisition costs, which could adversely affect our overall growth strategy.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growth</w:t>
      </w:r>
    </w:p>
    <w:p>
      <w:pPr>
        <w:spacing w:after="0" w:line="119"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Some of the facilities we have acquired or may acquire in the future may have had significantly lower operating margins prior to the time of our acquisition or may have had operating losses prior to such acquisition. If we fail to improve the operating margins of the facilities we acquire, operate such facilities profitably or effectively integrate the operations of the acquired facilities, our results of operations could be negatively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 may use significant resources, may be unsuccessful and could expose us to unforeseen liabilities.</w:t>
      </w:r>
    </w:p>
    <w:p>
      <w:pPr>
        <w:spacing w:after="0" w:line="121" w:lineRule="exact"/>
        <w:rPr>
          <w:sz w:val="20"/>
          <w:szCs w:val="20"/>
          <w:color w:val="auto"/>
        </w:rPr>
      </w:pPr>
    </w:p>
    <w:p>
      <w:pPr>
        <w:ind w:right="80" w:firstLine="468"/>
        <w:spacing w:after="0" w:line="261" w:lineRule="auto"/>
        <w:rPr>
          <w:sz w:val="20"/>
          <w:szCs w:val="20"/>
          <w:color w:val="auto"/>
        </w:rPr>
      </w:pPr>
      <w:r>
        <w:rPr>
          <w:rFonts w:ascii="Times New Roman" w:cs="Times New Roman" w:eastAsia="Times New Roman" w:hAnsi="Times New Roman"/>
          <w:sz w:val="18"/>
          <w:szCs w:val="18"/>
          <w:color w:val="auto"/>
        </w:rPr>
        <w:t>As part of our growth strategy, we have completed, and have announced plans to complete, a number of joint ventures and strategic alliances. These joint ventures may involve significant cash expenditures, debt incurrence, additional operating losses and expenses, and compliance risks that could negatively impact our business, financial condition or results of operations. Further, there is often a significant delay between our formation of a joint venture and the time that a de novo facility can be constructed and have a positive financial impact on our results of operations.</w:t>
      </w:r>
    </w:p>
    <w:p>
      <w:pPr>
        <w:spacing w:after="0" w:line="72" w:lineRule="exact"/>
        <w:rPr>
          <w:sz w:val="20"/>
          <w:szCs w:val="20"/>
          <w:color w:val="auto"/>
        </w:rPr>
      </w:pPr>
    </w:p>
    <w:p>
      <w:pPr>
        <w:ind w:firstLine="468"/>
        <w:spacing w:after="0" w:line="253" w:lineRule="auto"/>
        <w:rPr>
          <w:sz w:val="20"/>
          <w:szCs w:val="20"/>
          <w:color w:val="auto"/>
        </w:rPr>
      </w:pPr>
      <w:r>
        <w:rPr>
          <w:rFonts w:ascii="Times New Roman" w:cs="Times New Roman" w:eastAsia="Times New Roman" w:hAnsi="Times New Roman"/>
          <w:sz w:val="18"/>
          <w:szCs w:val="18"/>
          <w:color w:val="auto"/>
        </w:rPr>
        <w:t>The nature of a joint venture requires us to consult with and share certain decision-making powers with unaffiliated third parties, some of which may be not-for-profit healthcare systems. If our joint venture partners do not fulfill their obligations, the affected joint venture may not be able to operate according to its business or strategic plans. In that case, our financial condition and results of operations may be materially adversely affected or we may be required to increase our level of financial commitment to the joint venture. Moreover, differences in economic or business interests or goals among joint venture participants could result in delayed decisions, failures to agree on major issues and even litigation. If these differences cause the joint ventures to deviate from their business or strategic plans, or if our joint venture partners take actions contrary to our policies, objectives or the best interests of the joint venture, our business, financial condition and results of operations could be negatively impacted. In addition, our relationships with not-for-profit healthcare systems and the joint venture agreements that govern these relationships are intended to be structured to comply with current revenue rulings published by the Internal Revenue Service (“IRS”), as well as case law relevant to joint ventures between for-profit and not-for-profit healthcare entities. Material changes in these authorities could adversely affect our relationships with not-for-profit healthcare systems and related joint venture arrangements.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transaction-related costs in connection with acquisitions and other strategic transactions.</w:t>
      </w:r>
    </w:p>
    <w:p>
      <w:pPr>
        <w:spacing w:after="0" w:line="22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incur substantial costs in connection with acquisitions and other strategic transactions, including transaction-related expenses. In addition, we may incur additional costs to maintain employee morale, retain key employees, and to formulate and execute integration plans. Although we expect that the elimination of duplicative costs, as well as the realization of other efficiencies related to the integration of acquired businesses, should allow us to more than offset incremental transaction and acquisition-related costs over time, this net benefit may not be achieved in the near term, or at all.</w:t>
      </w:r>
    </w:p>
    <w:p>
      <w:pPr>
        <w:spacing w:after="0" w:line="17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care for a large number of vulnerable individuals with complex needs and any care quality deficiencies could adversely impact our brand, reputation and ability to market our services effectively.</w:t>
      </w:r>
    </w:p>
    <w:p>
      <w:pPr>
        <w:spacing w:after="0" w:line="15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Our future growth will partly depend on our ability to maintain our reputation for providing quality patient care and, through new programs and marketing activities, increased demand for our services. Factors such as increased acuity of our patients, health and safety incidents at our facilities, regulatory enforcement actions, negative press or general customer dissatisfaction could lead to deterioration in the level of our quality ratings or the public perception of the quality of our services (including as a result of negative publicity about our industry generally), which in turn could lead to a loss of patient placements, referrals and self-pay patients or service users. Any impairment of our reputation, loss of goodwill or damage to the value of our brand name could have a material</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 on our business, results of operations and financial condition.</w:t>
      </w:r>
    </w:p>
    <w:p>
      <w:pPr>
        <w:spacing w:after="0" w:line="225"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Many of our service users have complex medical conditions or special needs, are vulnerable and often require a substantial level of care and supervision. There is a risk that one or more service users could be harmed by one or more of our employees, either intentionally, through negligence or by accident. Further, individuals cared for by us have in the past engaged, and may in the future engage, in behavior that results in harm to themselves, our employees or to one or more other individuals, including members of the public. A serious incident involving harm to one or more service users or other individuals could result in negative publicity. Such negative publicity could have a material adverse effect on our brand, reputation and ADC, which would have a corresponding negative impact on our business, results of operations and financial condition. Furthermore, the damage to our reputation or to the reputation of the relevant facility from any such incident could be exacerbated by any failure on our part to respond effectively to such incident.</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our business through organic expansion either by developing de novo or joint venture facilities or by modifying existing facilities is dependent upon many factors.</w:t>
      </w:r>
    </w:p>
    <w:p>
      <w:pPr>
        <w:spacing w:after="0" w:line="159" w:lineRule="exact"/>
        <w:rPr>
          <w:sz w:val="20"/>
          <w:szCs w:val="20"/>
          <w:color w:val="auto"/>
        </w:rPr>
      </w:pPr>
    </w:p>
    <w:p>
      <w:pPr>
        <w:ind w:right="160" w:firstLine="562"/>
        <w:spacing w:after="0" w:line="266" w:lineRule="auto"/>
        <w:rPr>
          <w:sz w:val="20"/>
          <w:szCs w:val="20"/>
          <w:color w:val="auto"/>
        </w:rPr>
      </w:pPr>
      <w:r>
        <w:rPr>
          <w:rFonts w:ascii="Times New Roman" w:cs="Times New Roman" w:eastAsia="Times New Roman" w:hAnsi="Times New Roman"/>
          <w:sz w:val="18"/>
          <w:szCs w:val="18"/>
          <w:color w:val="auto"/>
        </w:rPr>
        <w:t>Our ability to grow our business through organic expansion is dependent on capacity and occupancy at our facilities. Should our facilities reach maximum occupancy, we may need to implement other growth strategies either by developing de novo or joint venture facilities or by modifying existing facilities.</w:t>
      </w:r>
    </w:p>
    <w:p>
      <w:pPr>
        <w:spacing w:after="0" w:line="176" w:lineRule="exact"/>
        <w:rPr>
          <w:sz w:val="20"/>
          <w:szCs w:val="20"/>
          <w:color w:val="auto"/>
        </w:rPr>
      </w:pPr>
    </w:p>
    <w:p>
      <w:pPr>
        <w:ind w:right="20" w:firstLine="562"/>
        <w:spacing w:after="0" w:line="255" w:lineRule="auto"/>
        <w:rPr>
          <w:sz w:val="20"/>
          <w:szCs w:val="20"/>
          <w:color w:val="auto"/>
        </w:rPr>
      </w:pPr>
      <w:r>
        <w:rPr>
          <w:rFonts w:ascii="Times New Roman" w:cs="Times New Roman" w:eastAsia="Times New Roman" w:hAnsi="Times New Roman"/>
          <w:sz w:val="18"/>
          <w:szCs w:val="18"/>
          <w:color w:val="auto"/>
        </w:rPr>
        <w:t>Our facilities typically need to be purpose-designed in order to enable the type and quality of service that we provide. Consequently, we must either develop sites to create facilities or purchase or lease existing facilities, which may require substantial modification. We must be able to identify suitable sites and there is no guarantee that such sites will be available at all, or at an economically viable cost or in areas of sufficient demand for our services. The subsequent successful development and construction of a de novo or joint venture facility is contingent upon, among other things, negotiation of construction contracts, regulatory permits and planning consents and satisfactory completion of construction. Similarly, our ability to expand existing facilities is also dependent upon various factors, including identification of appropriate expansion projects, permitting, licensure, financing, integration into our relationships with payors and referral sources, and margin pressure as de novo and joint venture facilities are filled with patients.</w:t>
      </w:r>
    </w:p>
    <w:p>
      <w:pPr>
        <w:spacing w:after="0" w:line="189"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Delays caused by difficulties in respect of any of the above factors may lead to cost overruns and longer periods before a return is generated on an investment, if at all. We may incur significant capital expenditure but due to a regulatory, planning or other reason, may find that we are prevented from opening a de novo or joint venture facility or modifying an existing facility. Moreover, even when incurring such development capital expenditure, there is no guarantee that we can fill beds when they become available. Upon operational commencement of a de novo or joint venture facility, we typically expect that it will take 10 to 12 months, on average, to reach break-even results. Any delays or stoppages in our projects, the unsatisfactory completion or construction of such projects or the failure of such projects to increase our occupancy levels could have a material adverse effect on our ADC, which would have a corresponding negative impact on our business, results of operations and financial condition.</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construction materials and labor has significantly increased, and we continue to grow our business through expansion of existing facilities and development of de novo and joint venture facilities.</w:t>
      </w:r>
    </w:p>
    <w:p>
      <w:pPr>
        <w:spacing w:after="0" w:line="159" w:lineRule="exact"/>
        <w:rPr>
          <w:sz w:val="20"/>
          <w:szCs w:val="20"/>
          <w:color w:val="auto"/>
        </w:rPr>
      </w:pPr>
    </w:p>
    <w:p>
      <w:pPr>
        <w:jc w:val="both"/>
        <w:ind w:firstLine="260"/>
        <w:spacing w:after="0" w:line="266" w:lineRule="auto"/>
        <w:rPr>
          <w:sz w:val="20"/>
          <w:szCs w:val="20"/>
          <w:color w:val="auto"/>
        </w:rPr>
      </w:pPr>
      <w:r>
        <w:rPr>
          <w:rFonts w:ascii="Times New Roman" w:cs="Times New Roman" w:eastAsia="Times New Roman" w:hAnsi="Times New Roman"/>
          <w:sz w:val="18"/>
          <w:szCs w:val="18"/>
          <w:color w:val="auto"/>
        </w:rPr>
        <w:t>Although we evaluate the financial feasibility of construction projects by determining whether the projected cash flow return on investment exceeds our cost of capital and have implemented efforts to realize efficiencies in our design and construction processes, such returns may not be achieved if the cost of construction continues to rise significantly or the expected patient volumes are not attained.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if our information systems fail or if our databases are destroyed or damaged.</w:t>
      </w:r>
    </w:p>
    <w:p>
      <w:pPr>
        <w:spacing w:after="0" w:line="229" w:lineRule="exact"/>
        <w:rPr>
          <w:sz w:val="20"/>
          <w:szCs w:val="20"/>
          <w:color w:val="auto"/>
        </w:rPr>
      </w:pPr>
    </w:p>
    <w:p>
      <w:pPr>
        <w:ind w:right="40" w:firstLine="562"/>
        <w:spacing w:after="0" w:line="255" w:lineRule="auto"/>
        <w:rPr>
          <w:sz w:val="20"/>
          <w:szCs w:val="20"/>
          <w:color w:val="auto"/>
        </w:rPr>
      </w:pPr>
      <w:r>
        <w:rPr>
          <w:rFonts w:ascii="Times New Roman" w:cs="Times New Roman" w:eastAsia="Times New Roman" w:hAnsi="Times New Roman"/>
          <w:sz w:val="18"/>
          <w:szCs w:val="18"/>
          <w:color w:val="auto"/>
        </w:rPr>
        <w:t>Our information technology (“IT”) platforms support, among other things, management control of patient administration, billing and financial information and reporting processes. For example, patients in some of our facilities have an electronic patient record that allows our caregivers and nurses to see information about a patient’s care and treatment. Our IT systems are subject to damage or interruption from power outages, facility damage, computer and telecommunications failures, computer viruses, security breaches including credit card or personally identifiable information breaches, vandalism, theft, natural disasters, catastrophic events, human error and potential cyber threats, including malicious codes, worms, phishing attacks, denial of service attacks, ransomware and other sophisticated cyber-attacks, and our disaster recovery planning cannot account for all eventualities. Any failure in or breach of our IT systems could adversely impact our business, results of operations and financial condition.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continually enhance our facilities with the most recent technological advances, our ability to maintain and expand our markets will be adversely affected.</w:t>
      </w:r>
    </w:p>
    <w:p>
      <w:pPr>
        <w:spacing w:after="0" w:line="159"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As healthcare technology continues to advance, we expect information technology to play a greater role in our marketing and admissions processes and the operation of our facilities. To compete effectively, we must continually assess our automation needs and upgrade when significant technological advances occur. If our facilities do not stay current with technological advances in the healthcare industry, patients may seek treatment from other providers and/or physicians may refer their patients to alternate sources, which could adversely affect our results of operations and harm our business.</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cyber security incident could have a material adverse impact on the Company, including substantial sanctions, fines, and damages and civil and criminal penalties under federal and state privacy laws, in addition to reputational harm and increased costs.</w:t>
      </w:r>
    </w:p>
    <w:p>
      <w:pPr>
        <w:spacing w:after="0" w:line="159" w:lineRule="exact"/>
        <w:rPr>
          <w:sz w:val="20"/>
          <w:szCs w:val="20"/>
          <w:color w:val="auto"/>
        </w:rPr>
      </w:pPr>
    </w:p>
    <w:p>
      <w:pPr>
        <w:ind w:right="60" w:firstLine="562"/>
        <w:spacing w:after="0" w:line="281" w:lineRule="auto"/>
        <w:rPr>
          <w:sz w:val="20"/>
          <w:szCs w:val="20"/>
          <w:color w:val="auto"/>
        </w:rPr>
      </w:pPr>
      <w:r>
        <w:rPr>
          <w:rFonts w:ascii="Times New Roman" w:cs="Times New Roman" w:eastAsia="Times New Roman" w:hAnsi="Times New Roman"/>
          <w:sz w:val="17"/>
          <w:szCs w:val="17"/>
          <w:color w:val="auto"/>
        </w:rPr>
        <w:t>We have experienced adverse IT events in the past including a criminal ransomware attack on our computer network which resulted in a temporary systems outage, as well as attempts of computer hacking, vandalism and theft, malware, computer viruses, malicious codes, worms, phishing and other cyber-attacks. To date, we have seen no material impact on our business or operations from these attacks or events. However, it is widely reported that healthcare companies are increasingly prime targets for cyber-attacks and we expect our systems to continue to be subject to attack on a regular basis.</w:t>
      </w:r>
    </w:p>
    <w:p>
      <w:pPr>
        <w:spacing w:after="0" w:line="56"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proliferation of ever-evolving cyber threats mean that we and our third-party service providers and vendors must continually evaluate and adapt our respective systems and processes and overall security environment, as well as those of any operations we acquire. As cyber criminals continue to become more sophisticated through evolution of their tactics, techniques and procedures, we have taken, and will continue to take, additional preventive measures to strengthen the cyber defenses of our networks and data. There is no guarantee that these measures will be adequate to safeguard against all data security breaches, system compromises, or misuses of data.</w:t>
      </w:r>
    </w:p>
    <w:p>
      <w:pPr>
        <w:spacing w:after="0" w:line="75"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the threat of security breaches or to alleviate problems caused by breaches, including unauthorized access to patient data and personally identifiable information stored in our IT systems, and the introduction of computer viruses or other malicious software programs to our systems, and cyber-attacks, email phishing schemes, malware, and ransomware. Moreover, a security breach, or threat thereof, could require that we expend significant resources to repair or improve our information systems and infrastructure and could distract management and other key personnel from performing their primary operational duties. In the event of a material breach or cyber-attack, the associated expenses and losses may exceed our current insurance coverage for such events. In addition, some adverse consequences are not insurable, such as reputational harm and third-party business interruption.</w:t>
      </w:r>
    </w:p>
    <w:p>
      <w:pPr>
        <w:spacing w:after="0" w:line="81"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A cyber-attack that bypasses our IT security systems, or other adverse IT event, resulting in an IT security breach, loss of PHI or other data subject to privacy laws, loss of proprietary business information, or a material disruption of our IT business systems, could have a material adverse impact on our business, financial condition or results of operations. Any successful cybersecurity attack or other unauthorized attempt to access our systems or facilities could result in negative publicity which could damage our reputation or brand with our patients, referral sources, payors, or other third parties and could subject us to substantial sanctions, fines, and damages and civil and criminal penalties under federal and state privacy laws, in addition to litigation with those affected.</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deal with clinical waste in accordance with applicable regulations or otherwise be in breach of relevant medical, health and safety or environmental laws and regulations.</w:t>
      </w:r>
    </w:p>
    <w:p>
      <w:pPr>
        <w:spacing w:after="0" w:line="51" w:lineRule="exact"/>
        <w:rPr>
          <w:sz w:val="20"/>
          <w:szCs w:val="20"/>
          <w:color w:val="auto"/>
        </w:rPr>
      </w:pPr>
    </w:p>
    <w:p>
      <w:pPr>
        <w:ind w:right="80" w:firstLine="510"/>
        <w:spacing w:after="0" w:line="271" w:lineRule="auto"/>
        <w:rPr>
          <w:sz w:val="20"/>
          <w:szCs w:val="20"/>
          <w:color w:val="auto"/>
        </w:rPr>
      </w:pPr>
      <w:r>
        <w:rPr>
          <w:rFonts w:ascii="Times New Roman" w:cs="Times New Roman" w:eastAsia="Times New Roman" w:hAnsi="Times New Roman"/>
          <w:sz w:val="17"/>
          <w:szCs w:val="17"/>
          <w:color w:val="auto"/>
        </w:rPr>
        <w:t>As part of our normal business activities, we produce and store clinical waste which may produce effects harmful to the environment or human health. The storage and transportation of such waste is strictly regulated. Our waste disposal services are outsourced and should the relevant service provider fail to comply with relevant regulations, we could face sanctions or fines which could adversely affect our brand, reputation, business or financial condition. Health and safety risks are inherent in the services that we provide and are constantly present in our facilities, primarily in respect of food and water quality, as well as fire safety and the risk that service users may cause harm to themselves, other service users or employees. From time to time, we have experienced, like other providers of similar services, undesirable health and safety incidents. Some of our activities are particularly exposed to significant medical risks relating to the transmission of infections or the prescription and administration of drugs for residents and patients. If any of the above medical or health and safety risks were to materialize, we may be held liable, fined and any registration certificate could be suspended or withdrawn for failure to comply with applicable regulations, which may have a material adverse impact on our business, results of operations and financial condition.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have facilities in 39 states and Puerto Rico, we have substantial operations in Pennsylvania, California, Arizona and Tennessee, which makes us especially sensitive to regulatory, economic, environmental and competitive conditions and changes in those states.</w:t>
      </w:r>
    </w:p>
    <w:p>
      <w:pPr>
        <w:spacing w:after="0" w:line="51" w:lineRule="exact"/>
        <w:rPr>
          <w:sz w:val="20"/>
          <w:szCs w:val="20"/>
          <w:color w:val="auto"/>
        </w:rPr>
      </w:pPr>
    </w:p>
    <w:p>
      <w:pPr>
        <w:ind w:right="40" w:firstLine="562"/>
        <w:spacing w:after="0" w:line="258" w:lineRule="auto"/>
        <w:rPr>
          <w:sz w:val="20"/>
          <w:szCs w:val="20"/>
          <w:color w:val="auto"/>
        </w:rPr>
      </w:pPr>
      <w:r>
        <w:rPr>
          <w:rFonts w:ascii="Times New Roman" w:cs="Times New Roman" w:eastAsia="Times New Roman" w:hAnsi="Times New Roman"/>
          <w:sz w:val="18"/>
          <w:szCs w:val="18"/>
          <w:color w:val="auto"/>
        </w:rPr>
        <w:t>Revenue from Pennsylvania, California, Arizona and Tennessee represented approximately 13%, 8%, 6% and 6% of our total revenue for the year ended December 31, 2022, respectively. This concentration makes us particularly sensitive to legislative, regulatory, economic, environmental and competition changes in those states. Any material change in the current payment programs or regulatory, economic, environmental or competitive conditions in these locations could have a disproportionate effect on our overall business results. If our facilities in these locations are adversely affected by changes in regulatory and economic conditions, our business, financial condition or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are subject to risks related to natural disasters and climate change.</w:t>
      </w:r>
    </w:p>
    <w:p>
      <w:pPr>
        <w:spacing w:after="0" w:line="229" w:lineRule="exact"/>
        <w:rPr>
          <w:sz w:val="20"/>
          <w:szCs w:val="20"/>
          <w:color w:val="auto"/>
        </w:rPr>
      </w:pPr>
    </w:p>
    <w:p>
      <w:pPr>
        <w:ind w:firstLine="468"/>
        <w:spacing w:after="0" w:line="255" w:lineRule="auto"/>
        <w:rPr>
          <w:sz w:val="20"/>
          <w:szCs w:val="20"/>
          <w:color w:val="auto"/>
        </w:rPr>
      </w:pPr>
      <w:r>
        <w:rPr>
          <w:rFonts w:ascii="Times New Roman" w:cs="Times New Roman" w:eastAsia="Times New Roman" w:hAnsi="Times New Roman"/>
          <w:sz w:val="18"/>
          <w:szCs w:val="18"/>
          <w:color w:val="auto"/>
        </w:rPr>
        <w:t>Some of our facilities are located in areas prone to hurricanes or wildfires. Natural disasters have historically had a disruptive effect on the operations of facilities and the patient populations in such areas. Our business activities could be significantly disrupted by wildfires, hurricanes or other natural disasters, and our property insurance may not be adequate to cover losses from such wildfires, storms or other natural disasters. Even if our facilities are not directly damaged, we may experience considerable disruptions in our operations due to property damage or electrical outages experienced in storm-affected areas by our personnel, payors, vendors and others. Additionally, long-term adverse weather conditions, whether caused by global climate change or otherwise, could cause an outmigration of people from the communities where our facilities are located. If any of the circumstances described above occur, our business, financial condition or results of operations could be adversely affected.</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markets in which we operate or that otherwise impacts our facilities could adversely impact our business.</w:t>
      </w:r>
    </w:p>
    <w:p>
      <w:pPr>
        <w:spacing w:after="0" w:line="51" w:lineRule="exact"/>
        <w:rPr>
          <w:sz w:val="20"/>
          <w:szCs w:val="20"/>
          <w:color w:val="auto"/>
        </w:rPr>
      </w:pPr>
    </w:p>
    <w:p>
      <w:pPr>
        <w:ind w:firstLine="468"/>
        <w:spacing w:after="0" w:line="254" w:lineRule="auto"/>
        <w:rPr>
          <w:sz w:val="20"/>
          <w:szCs w:val="20"/>
          <w:color w:val="auto"/>
        </w:rPr>
      </w:pPr>
      <w:r>
        <w:rPr>
          <w:rFonts w:ascii="Times New Roman" w:cs="Times New Roman" w:eastAsia="Times New Roman" w:hAnsi="Times New Roman"/>
          <w:sz w:val="18"/>
          <w:szCs w:val="18"/>
          <w:color w:val="auto"/>
        </w:rPr>
        <w:t>If a pandemic, epidemic, outbreak of an infectious disease, such as COVID-19, or other public health crisis were to occur in an area in which we operate, our operations could be adversely affected. Such a crisis could diminish the public trust in healthcare facilities, especially facilities with patients affected by infectious diseases. If any of our facilities were involved, or perceived as being involved, in treating such patients, other patients might fail to seek care at our facilities, and our reputation may be negatively affected. Further, a pandemic, epidemic or outbreak might adversely impact our business by causing a temporary shutdown or diversion of patients, by disrupting or delaying production and delivery of pharmaceuticals and other medical supplies or by causing staffing shortages in our facilities. Although we have disaster plans in place and operate pursuant to infectious disease protocols, the potential impact of a pandemic, epidemic or outbreak of an infectious disease with respect to our markets or our facilities is difficult to predict and could adversely impact our business, financial condition or results of operations.</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cultivate new or maintain established relationships with referral sources, our business, financial condition or results of operations could be adversely affected.</w:t>
      </w:r>
    </w:p>
    <w:p>
      <w:pPr>
        <w:spacing w:after="0" w:line="51" w:lineRule="exact"/>
        <w:rPr>
          <w:sz w:val="20"/>
          <w:szCs w:val="20"/>
          <w:color w:val="auto"/>
        </w:rPr>
      </w:pPr>
    </w:p>
    <w:p>
      <w:pPr>
        <w:jc w:val="both"/>
        <w:ind w:right="220" w:firstLine="510"/>
        <w:spacing w:after="0" w:line="258" w:lineRule="auto"/>
        <w:rPr>
          <w:sz w:val="20"/>
          <w:szCs w:val="20"/>
          <w:color w:val="auto"/>
        </w:rPr>
      </w:pPr>
      <w:r>
        <w:rPr>
          <w:rFonts w:ascii="Times New Roman" w:cs="Times New Roman" w:eastAsia="Times New Roman" w:hAnsi="Times New Roman"/>
          <w:sz w:val="18"/>
          <w:szCs w:val="18"/>
          <w:color w:val="auto"/>
        </w:rPr>
        <w:t>Our ability to grow or even to maintain our existing level of business depends significantly on our ability to establish and maintain close working relationships with physicians, managed care companies, insurance companies, educational consultants and other referral sources. We may not be able to maintain our existing referral source relationships or develop and maintain new relationships in existing or new markets. If we lose existing relationships with our referral sources, the number of people to whom we provide services may decline, which may adversely affect our revenue. If we fail to develop new referral relationships, our growth may be restrained.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competition may lead to declines in patient volumes.</w:t>
      </w:r>
    </w:p>
    <w:p>
      <w:pPr>
        <w:spacing w:after="0" w:line="121" w:lineRule="exact"/>
        <w:rPr>
          <w:sz w:val="20"/>
          <w:szCs w:val="20"/>
          <w:color w:val="auto"/>
        </w:rPr>
      </w:pPr>
    </w:p>
    <w:p>
      <w:pPr>
        <w:ind w:right="200" w:firstLine="510"/>
        <w:spacing w:after="0" w:line="254" w:lineRule="auto"/>
        <w:rPr>
          <w:sz w:val="20"/>
          <w:szCs w:val="20"/>
          <w:color w:val="auto"/>
        </w:rPr>
      </w:pPr>
      <w:r>
        <w:rPr>
          <w:rFonts w:ascii="Times New Roman" w:cs="Times New Roman" w:eastAsia="Times New Roman" w:hAnsi="Times New Roman"/>
          <w:sz w:val="18"/>
          <w:szCs w:val="18"/>
          <w:color w:val="auto"/>
        </w:rPr>
        <w:t>The healthcare industry is highly competitive, and competition among healthcare providers (including hospitals) for patients, physicians and other healthcare professionals has intensified in recent years. There are other healthcare facilities that provide behavioral and other mental health services comparable to those offered by our facilities in each of the geographical areas in which we operate. Some of our competitors are owned by tax-supported governmental agencies or by non-profit corporations and may have certain financial advantages not available to us, including endowments, charitable contributions, tax-exempt financing and exemptions from sales, property and income taxes. Some of our for-profit competitors are local, independent operators or physician groups with strong established reputations within the surrounding communities, which may adversely affect our ability to attract a sufficiently large number of patients in markets where we compete with such providers. We also face competition from other for-profit entities, who may possess greater financial, marketing or research and development resources than us or may invest more funds in renovating their facilities or developing technology.</w:t>
      </w:r>
    </w:p>
    <w:p>
      <w:pPr>
        <w:spacing w:after="0" w:line="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our competitors are better able to attract patients, recruit and retain physicians and other healthcare professionals, expand services or obtain</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favorable managed care contracts at their facilities, we may experience a decline in patient volume and our results of operations may be adversely affected.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extend leases at expiration, which could harm our business, financial condition or results of operations.</w:t>
      </w:r>
    </w:p>
    <w:p>
      <w:pPr>
        <w:spacing w:after="0" w:line="229" w:lineRule="exact"/>
        <w:rPr>
          <w:sz w:val="20"/>
          <w:szCs w:val="20"/>
          <w:color w:val="auto"/>
        </w:rPr>
      </w:pPr>
    </w:p>
    <w:p>
      <w:pPr>
        <w:ind w:right="120" w:firstLine="562"/>
        <w:spacing w:after="0" w:line="254" w:lineRule="auto"/>
        <w:rPr>
          <w:sz w:val="20"/>
          <w:szCs w:val="20"/>
          <w:color w:val="auto"/>
        </w:rPr>
      </w:pPr>
      <w:r>
        <w:rPr>
          <w:rFonts w:ascii="Times New Roman" w:cs="Times New Roman" w:eastAsia="Times New Roman" w:hAnsi="Times New Roman"/>
          <w:sz w:val="18"/>
          <w:szCs w:val="18"/>
          <w:color w:val="auto"/>
        </w:rPr>
        <w:t>We lease the real property on which a number of our facilities are located. Our lease agreements generally give us the right to renew or extend the term of the leases and, in certain cases, purchase the real property. These renewal and purchase rights generally are based upon either prescribed formulas or fair market value. Management expects to renew, extend or exercise purchase options with respect to our leases in the normal course of business; however, there can be no assurance that these rights will be exercised in the future or that we will be able to satisfy the conditions precedent to exercising any such renewal, extension or purchase options. Furthermore, the terms of any such options that are based on fair market value are inherently uncertain and could be unacceptable or unfavorable to us depending on the circumstances at the time of exercise. If we are not able to renew or extend our existing leases, or purchase the real property subject to such leases, at or prior to the end of the existing lease terms, or if the terms of such options are unfavorable or unacceptable to us, our business, financial condition or results of operations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designed to reduce inpatient services may reduce our revenue.</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Controls imposed by Medicare, Medicaid and commercial third-party payors designed to reduce admissions and lengths of stay, commonly referred to as “utilization review,” have affected and are expected to continue to affect our facilities. Inpatient utilization, average lengths of stay and occupancy rates continue to be negatively affected by payor-required preadmission authorization and utilization review and by payor pressure to maximize outpatient and alternative healthcare delivery services for less acutely ill patients. Efforts to impose more stringent cost controls are expected to continue. For example, the Patient Protection and Affordable Care Act, as amended by the Health Care and Education Reconciliation Act of 2010, expanded the potential use of prepayment review by Medicare contractors by eliminating certain statutory restrictions on its use. Utilization review is also a requirement of most non-governmental managed-care organizations and other third-party payors. Although we are unable to predict the effect these controls and changes will have on our operations, significant limits on the scope of services reimbursed and on reimbursement rates and fees could have a material adverse effect on our financial condition and results of operations.</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Human Capital Risks</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i w:val="1"/>
          <w:iCs w:val="1"/>
          <w:color w:val="auto"/>
        </w:rPr>
        <w:t>Our facilities face competition for staffing, labor shortages and higher turnover rates that may increase our labor costs and reduce our profitability.</w:t>
      </w:r>
    </w:p>
    <w:p>
      <w:pPr>
        <w:spacing w:after="0" w:line="133"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Our operations depend on the efforts, abilities and experience of our management and medical support personnel, including our addiction counselors, therapists, nurses, pharmacists, licensed counselors, clinical technicians, and mental health technicians, as well as our psychiatrists and other professionals. We compete with other healthcare providers in recruiting and retaining qualified management, program directors, physicians (including psychiatrists) and support personnel responsible for the daily operations of our business, financial condition or results of operations.</w:t>
      </w:r>
    </w:p>
    <w:p>
      <w:pPr>
        <w:spacing w:after="0" w:line="180"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A shortage of nurses, qualified addiction counselors and other medical and care support personnel, combined with low unemployment rates for such personnel and intense competition from other healthcare facilities, has been a significant operating issue facing us and other healthcare providers. We may be required to enhance wages and benefits to hire nurses, qualified addiction counselors and other medical and care support personnel, hire more expensive temporary personnel or increase our recruiting and marketing costs relating to labor. We have resorted to using more expensive contract labor at certain of our facilities, and the use of temporary or agency staff could heighten the risk one of our facilities experiences an adverse patient incident. Further, because we generally recruit our personnel from the local area where the relevant facility is located, the availability in certain areas of suitably qualified personnel can be limited, particularly care home management, qualified teaching personnel and nurses. In addition, certain of our facilities are required to maintain specified staffing levels. To the extent we cannot meet those levels, we may be required to limit the services provided by these facilities, which would have a corresponding adverse effect on our net operating revenue. Certain of our treatment facilities are located in remote geographical areas, far from population centers, which increases this risk.</w:t>
      </w:r>
    </w:p>
    <w:p>
      <w:pPr>
        <w:spacing w:after="0" w:line="19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cannot predict the degree to which we will be affected by the future availability or cost of attracting and retaining talented medical support staff. If our general labor and related expenses increase, we may not be able to raise our rates correspondingly. Increased turnover rates within our employee base can lead to decreased efficiency and increased costs, such as increased overtime and use of contract labor to meet demand and increased wage rates to attract and retain employees. Our failure either to recruit and retain qualified management, psychiatrists, therapists, counselors, nurses and other medical support personnel or control our labor costs could have a material adverse effect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performance depends on our ability to recruit and retain quality psychiatrists and other physicians.</w:t>
      </w:r>
    </w:p>
    <w:p>
      <w:pPr>
        <w:spacing w:after="0" w:line="121"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success and competitive advantage of our facilities depends, in part, on the number and quality of the psychiatrists and other physicians on the medical staffs of our facilities and our maintenance of good relations with those medical professionals. Although we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employ psychiatrists and other physicians at many of our facilities, psychiatrists and other physicians generally are not employees of our facilities, and, in a number of our markets, they have admitting privileges at competing hospitals providing acute or inpatient behavioral healthcare services. Such physicians (including psychiatrists) may terminate their affiliation with us at any time or admit their patients to competing healthcare facilities or hospitals. If we are unable to attract and retain sufficient numbers of quality psychiatrists and other physicians by providing adequate support personnel and facilities that meet the needs of those psychiatrists and other physicians, they may stop referring patients to our facilities and our results of operations may decline.</w:t>
      </w:r>
    </w:p>
    <w:p>
      <w:pPr>
        <w:spacing w:after="0" w:line="18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It may become difficult for us to attract and retain an adequate number of psychiatrists and other physicians to practice in certain of the communities in which our facilities are located. Our failure to recruit psychiatrists and other physicians to these communities or the loss of such medical professionals in these communities could make it more difficult to attract patients to our facilities and thereby may have a material adverse effect on our business, financial condition or results of operations. Additionally, our ability to recruit psychiatrists and other physicians is closely regulated. The form, amount and duration of assistance we can provide to recruited psychiatrists and other physicians is limited by the Stark Law, the Anti-Kickback Statute, state anti-kickback statutes, and related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employees are represented by labor unions and any work stoppage could adversely affect our business.</w:t>
      </w:r>
    </w:p>
    <w:p>
      <w:pPr>
        <w:spacing w:after="0" w:line="229" w:lineRule="exact"/>
        <w:rPr>
          <w:sz w:val="20"/>
          <w:szCs w:val="20"/>
          <w:color w:val="auto"/>
        </w:rPr>
      </w:pPr>
    </w:p>
    <w:p>
      <w:pPr>
        <w:ind w:right="20" w:firstLine="468"/>
        <w:spacing w:after="0" w:line="256" w:lineRule="auto"/>
        <w:rPr>
          <w:sz w:val="20"/>
          <w:szCs w:val="20"/>
          <w:color w:val="auto"/>
        </w:rPr>
      </w:pPr>
      <w:r>
        <w:rPr>
          <w:rFonts w:ascii="Times New Roman" w:cs="Times New Roman" w:eastAsia="Times New Roman" w:hAnsi="Times New Roman"/>
          <w:sz w:val="18"/>
          <w:szCs w:val="18"/>
          <w:color w:val="auto"/>
        </w:rPr>
        <w:t>Increased labor union activity could adversely affect our labor costs. At December 31, 2022, labor unions represented approximately 350 of our employees at two of our facilities through four collective bargaining agreements. We cannot assure you that employee relations will remain stable. Furthermore, there is a possibility that work stoppages could occur as a result of union activity, which could increase our labor costs and adversely affect our business, financial condition or results of operations. To the extent that a greater portion of our employee base unionizes and the terms of any collective bargaining agreements are significantly different from our current compensation arrangements, it is possible that our labor costs could increase materially and our business, financial condition or results of operations could be adversely affected.</w:t>
      </w:r>
    </w:p>
    <w:p>
      <w:pPr>
        <w:spacing w:after="0" w:line="183"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management personnel, and the departure of one or more of our key executives or a significant portion of our local facility management personnel could harm our business.</w:t>
      </w:r>
    </w:p>
    <w:p>
      <w:pPr>
        <w:spacing w:after="0" w:line="5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expertise and efforts of our senior executives and the chief executive officer, chief financial officer, medical directors, physicians and other key members of our facility management personnel are important to the success of our business. The loss of the services of one or more of our senior executives or our facility management personnel could significantly undermine our management expertise and our ability to provide efficient, quality healthcare services at our facilities, which could have a material adverse effect on our business, results of operations and financial condition.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Proceedings and Regulatory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in the future could become the subject of additional governmental investigations, regulatory actions and whistleblower lawsuits.</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Healthcare companies in the U.S. may be subject to investigations by various governmental agencies. Certain of our individual facilities have received, and from time to time, other facilities may receive, subpoenas, civil investigative demands, audit reports and other inquiries from, and may be subject to investigation by, federal and state agencies. See Note 20— Commitments and Contingencies in the accompanying notes to our consolidated financial statements beginning on Page F-1 of this Annual Report on Form 10-K for additional information about pending investigations. These investigations can result in repayment obligations, and violations of the False Claims Act can result in substantial monetary penalties and fines, the imposition of a corporate integrity agreement and exclusion from participation in governmental health programs. If we incur significant costs responding to or resolving these or future inquiries or investigations, our business, financial condition and results of operations could be materially adversely affected.</w:t>
      </w:r>
    </w:p>
    <w:p>
      <w:pPr>
        <w:spacing w:after="0" w:line="18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Further, under the False Claims Act, private parties are permitted to bring qui tam or “whistleblower” lawsuits against companies that submit false claims for payments to, or improperly retain overpayments from, the government. Because qui tam lawsuits are filed under seal, we could be named in one or more such lawsuits of which we are not aware. We may also be subject to substantial reputational harm as a result of the public announcement of any investigation into such claims.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monetary penalties and other sanctions, including exclusion from federal healthcare programs, if we fail to comply with the terms of the CIA.</w:t>
      </w:r>
    </w:p>
    <w:p>
      <w:pPr>
        <w:spacing w:after="0" w:line="51"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During the second quarter of 2019, we reached a settlement with the U.S. Attorney’s Office for the Southern District of West Virginia relating to the manner in which seven of our CTCs in West Virginia had historically billed lab claims to the West Virginia</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Medicaid Program. During the three months ended June 30, 2019, we entered into the CIA with the OIG imposing certain compliance obligations on us and our subsidiary, CRC Health, in connection with such settlement. Material, uncorrected violations of the CIA could lead to our suspension or exclusion from participation in Medicare, Medicaid and other federal and state healthcare programs and repayment obligations. In addition, we are subject to possible civil penalties for failure to substantially comply with the terms of the CIA, including stipulated penalties ranging between $1,000 to $2,500 per day. We are also subject to a stipulated penalty of $50,000 for each false certification made by us or on our behalf, pursuant to the reporting provisions of the CIA. The CIA increases the amount of information we must provide to the federal government regarding our healthcare practices and our compliance with federal regulations. The reports we provide in connection with the CIA could result in greater scrutiny by regulatory authorities.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in the future may become involved in legal proceedings based on negligence or breach of a contractual or statutory duty from service users or their family members or from employees or former employees.</w:t>
      </w:r>
    </w:p>
    <w:p>
      <w:pPr>
        <w:spacing w:after="0" w:line="51"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complaints and claims from service users and their family members alleging professional negligence, medical malpractice or mistreatment. We are also subject to claims for unlawful detention from time to time when patients allege they should not have been detained under applicable laws and regulations or where the appropriate procedures were not correctly followed.</w:t>
      </w:r>
    </w:p>
    <w:p>
      <w:pPr>
        <w:spacing w:after="0" w:line="176" w:lineRule="exact"/>
        <w:rPr>
          <w:sz w:val="20"/>
          <w:szCs w:val="20"/>
          <w:color w:val="auto"/>
        </w:rPr>
      </w:pPr>
    </w:p>
    <w:p>
      <w:pPr>
        <w:ind w:right="160" w:firstLine="510"/>
        <w:spacing w:after="0" w:line="281" w:lineRule="auto"/>
        <w:rPr>
          <w:sz w:val="20"/>
          <w:szCs w:val="20"/>
          <w:color w:val="auto"/>
        </w:rPr>
      </w:pPr>
      <w:r>
        <w:rPr>
          <w:rFonts w:ascii="Times New Roman" w:cs="Times New Roman" w:eastAsia="Times New Roman" w:hAnsi="Times New Roman"/>
          <w:sz w:val="18"/>
          <w:szCs w:val="18"/>
          <w:color w:val="auto"/>
        </w:rPr>
        <w:t>Similarly, there may be substantial claims from employees in respect of personal injuries sustained in the performance of their duties. Current or former employees may also make claims against us in relation to breaches of employment laws. There may also be safeguarding incidents at our facilities which, depending on the circumstances, may result in custodial sentences or other criminal sanctions for the member of staff involved.</w:t>
      </w:r>
    </w:p>
    <w:p>
      <w:pPr>
        <w:spacing w:after="0" w:line="164"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incurrence of substantial legal fees, damage awards or other fines as well as the potential impact on our brand or reputation as a result of being involved in any legal proceedings could have a material adverse impact on our business, results of operations and financial condition.</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handle sensitive personal data which are protected by numerous U.S. laws in the ordinary course of business and any failure to maintain the confidentiality of such data could result in legal liability and reputational harm.</w:t>
      </w:r>
    </w:p>
    <w:p>
      <w:pPr>
        <w:spacing w:after="0" w:line="51" w:lineRule="exact"/>
        <w:rPr>
          <w:sz w:val="20"/>
          <w:szCs w:val="20"/>
          <w:color w:val="auto"/>
        </w:rPr>
      </w:pPr>
    </w:p>
    <w:p>
      <w:pPr>
        <w:jc w:val="both"/>
        <w:ind w:right="40" w:firstLine="510"/>
        <w:spacing w:after="0" w:line="261" w:lineRule="auto"/>
        <w:rPr>
          <w:sz w:val="20"/>
          <w:szCs w:val="20"/>
          <w:color w:val="auto"/>
        </w:rPr>
      </w:pPr>
      <w:r>
        <w:rPr>
          <w:rFonts w:ascii="Times New Roman" w:cs="Times New Roman" w:eastAsia="Times New Roman" w:hAnsi="Times New Roman"/>
          <w:sz w:val="18"/>
          <w:szCs w:val="18"/>
          <w:color w:val="auto"/>
        </w:rPr>
        <w:t>We collect, process and store sensitive personal data as part of our business. In the event of a security breach, sensitive personal data could become public. We are currently not aware of any material incidences of potential data breach; however, there can be no assurance that such breaches will not arise in future. Although we have in place policies and procedures to prevent such breaches, breaches could occur either as a result of a breach by our employees or as a result of a breach by a third party to whom we have provided sensitive personal data, and we could face liability under data protection laws.</w:t>
      </w:r>
    </w:p>
    <w:p>
      <w:pPr>
        <w:spacing w:after="0" w:line="180"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Liability under data protection laws may result in sanctions, including substantial fines and/or compensation to those affected. Additionally, liability may cause us to suffer damage to our brand and reputation, which could have a material adverse effect on our business, results of operations and financial condition.</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carry a large self-insured retention and may be responsible for significant amounts not covered by insurance. In addition, our insurance may be inadequate, premiums may increase and, if there is a significant deterioration in our claims experience, insurance may not be available on acceptable terms.</w:t>
      </w:r>
    </w:p>
    <w:p>
      <w:pPr>
        <w:spacing w:after="0" w:line="6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are subject to medical malpractice lawsuits and other legal actions in the ordinary course of business. Some of these actions may involve large claims, as well as significant defense costs. We cannot predict the outcome of these lawsuits or the effect that findings in such lawsuits may have on us. We maintain liability insurance intended to cover service user, third-party and employee personal injury claims. Due to the structure of our insurance program under which we carry a large self-insured retention, there may be substantial claims in respect of which the liability for damages and costs falls to us before being met by any insurance underwriter. There may also be claims in excess of our insurance coverage or claims which are not covered by our insurance due to other policy limitations or exclusions or where we have failed to comply with the terms of the policy. Furthermore, there can be no assurance that we will be able to obtain liability insurance coverage in the future on acceptable terms, or without substantial premium increases or at all, particularly if there is a deterioration in our claim experience history. A successful claim against us not covered by or in excess of our insurance coverage could have a material adverse effect on our business, results of operations and financial condition.</w:t>
      </w:r>
    </w:p>
    <w:p>
      <w:pPr>
        <w:spacing w:after="0" w:line="1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extensive laws and government regulations, we could suffer penalties or be required to make significant changes to our operations.</w:t>
      </w:r>
    </w:p>
    <w:p>
      <w:pPr>
        <w:spacing w:after="0" w:line="51"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Companies operating in the behavioral healthcare industry in the U.S. are required to comply with extensive and complex laws and regulations at the federal, state and local government levels relating to, among other things: billing practices and prices for services; relationships with physicians and other referral sources; necessity and quality of medical care; condition and adequacy of facilities; qualifications of medical and support personnel; confidentiality, privacy and security issues associated with health-related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information and PHI; EMTALA compliance; handling of controlled substances; certification, licensure and accreditation of our facilities; operating policies and procedures; activities regarding competitors; state and local land use and zoning requirements; and addition or expansion of facilities and services.</w:t>
      </w:r>
    </w:p>
    <w:p>
      <w:pPr>
        <w:spacing w:after="0" w:line="140"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Among the laws applicable to our operations are the federal Anti-Kickback Statute, the Stark Law, the federal False Claims Act, the EKRA, and similar state laws. These laws impact the relationships that we may have with physicians and other potential referral sources. We have a variety of financial relationships with physicians and other professionals who refer patients to our facilities, including employment contracts, leases and professional service agreements. The OIG has issued certain safe harbor regulations that outline practices that are deemed acceptable under the Anti-Kickback Statute, and similar regulatory exceptions have been promulgated by CMS under the Stark Law. While we endeavor to ensure that our arrangements with referral sources comply with an applicable safe harbor to the Anti-Kickback Statute where possible, certain of our current arrangements with physicians and other potential referral sources may not qualify for such protection. Failure to meet a safe harbor does not mean that the arrangement automatically violates the Anti-Kickback Statute, but may subject the arrangement to greater scrutiny. Even if our arrangements are found to be in compliance with the Anti-Kickback Statute, they may still face scrutiny under the newly enacted EKRA law. Moreover, while we believe that our arrangements with physicians comply with applicable Stark Law exceptions, the Stark Law is a strict liability statute for which no intent to violate the law is required.</w:t>
      </w:r>
    </w:p>
    <w:p>
      <w:pPr>
        <w:spacing w:after="0" w:line="194" w:lineRule="exact"/>
        <w:rPr>
          <w:sz w:val="20"/>
          <w:szCs w:val="20"/>
          <w:color w:val="auto"/>
        </w:rPr>
      </w:pPr>
    </w:p>
    <w:p>
      <w:pPr>
        <w:ind w:right="120" w:firstLine="510"/>
        <w:spacing w:after="0" w:line="277" w:lineRule="auto"/>
        <w:rPr>
          <w:sz w:val="20"/>
          <w:szCs w:val="20"/>
          <w:color w:val="auto"/>
        </w:rPr>
      </w:pPr>
      <w:r>
        <w:rPr>
          <w:rFonts w:ascii="Times New Roman" w:cs="Times New Roman" w:eastAsia="Times New Roman" w:hAnsi="Times New Roman"/>
          <w:sz w:val="17"/>
          <w:szCs w:val="17"/>
          <w:color w:val="auto"/>
        </w:rPr>
        <w:t>Effective January 1, 2022, the No Surprises Act, enacted as part of the Consolidated Appropriations Act (the “CAA”), creates price transparency requirements, including (i) requiring providers to send to patients or their health plan a good faith estimate of the expected charges and diagnostic codes prior to furnishing scheduled items or services and (ii) prohibiting providers from charging patients an amount beyond the in-network cost sharing amount for services rendered by out-of-network providers, subject to limited exceptions. Price transparency initiatives like the No Surprises Act may impact our ability to obtain or maintain favorable contract terms, and may impact our competitive position and our relationships with patients and insurers.</w:t>
      </w:r>
    </w:p>
    <w:p>
      <w:pPr>
        <w:spacing w:after="0" w:line="168"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These laws and regulations are extremely complex, and, in many cases, we do not have the benefit of regulatory or judicial interpretation. In the future, it is possible that different interpretations of these laws and regulations could subject our current or past practices to allegations of impropriety or illegality or could require us to make changes in our arrangements for facilities, equipment, personnel, services, capital expenditure programs and operating expenses. A determination that we have violated one or more of these laws could subject us to liabilities, including civil penalties, exclusion of one or more facilities from participation in the government healthcare programs and, for violations of certain laws and regulations, criminal penalties. Even the public announcement that we are being investigated for possible violations of these laws could cause our reputation to suffer and have a material adverse effect on our business, financial condition or results of operations. In addition, we cannot predict whether other similar legislation or regulations at the federal or state level will be adopted, what form such legislation or regulations may take or what their impact on us may be.</w:t>
      </w:r>
    </w:p>
    <w:p>
      <w:pPr>
        <w:spacing w:after="0" w:line="192"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7"/>
          <w:szCs w:val="17"/>
          <w:color w:val="auto"/>
        </w:rPr>
        <w:t>The construction and operation of healthcare facilities in the U.S. are subject to extensive federal, state and local regulation relating to, among other things, the adequacy of medical care, equipment, personnel, operating policies and procedures, fire prevention, rate-setting, compliance with building codes and environmental protection. Additionally, such facilities are subject to periodic inspection by government authorities to assure their continued compliance with these various standards. If we fail to adhere to these standards, we could be subject to monetary penalties or restrictions on our ability to operate.</w:t>
      </w:r>
    </w:p>
    <w:p>
      <w:pPr>
        <w:spacing w:after="0" w:line="164"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All of our facilities that handle and dispense controlled substances must comply with strict federal and state regulations regarding the purchase, storage, distribution and disposal of such controlled substances. The potential for theft or diversion of such controlled substances for illegal uses has led the federal government as well as a number of states and localities to adopt stringent regulations not applicable to many other types of healthcare providers. Compliance with these regulations is expensive and these costs may increase in the future.</w:t>
      </w:r>
    </w:p>
    <w:p>
      <w:pPr>
        <w:spacing w:after="0" w:line="180" w:lineRule="exact"/>
        <w:rPr>
          <w:sz w:val="20"/>
          <w:szCs w:val="20"/>
          <w:color w:val="auto"/>
        </w:rPr>
      </w:pPr>
    </w:p>
    <w:p>
      <w:pPr>
        <w:ind w:right="320" w:firstLine="510"/>
        <w:spacing w:after="0" w:line="258" w:lineRule="auto"/>
        <w:rPr>
          <w:sz w:val="20"/>
          <w:szCs w:val="20"/>
          <w:color w:val="auto"/>
        </w:rPr>
      </w:pPr>
      <w:r>
        <w:rPr>
          <w:rFonts w:ascii="Times New Roman" w:cs="Times New Roman" w:eastAsia="Times New Roman" w:hAnsi="Times New Roman"/>
          <w:sz w:val="18"/>
          <w:szCs w:val="18"/>
          <w:color w:val="auto"/>
        </w:rPr>
        <w:t>Property owners and local authorities have attempted, and may in the future attempt, to use or enact zoning ordinances to eliminate our ability to operate a given treatment facility or program. Local governmental authorities in some cases also have attempted to use litigation and the threat of prosecution to force the closure of certain comprehensive treatment facilities. If any of these attempts were to succeed or if their frequency were to increase, our revenue would be adversely affected and our operating results might be harmed. In addition, such actions may require us to litigate which would increase our costs.</w:t>
      </w:r>
    </w:p>
    <w:p>
      <w:pPr>
        <w:spacing w:after="0" w:line="183" w:lineRule="exact"/>
        <w:rPr>
          <w:sz w:val="20"/>
          <w:szCs w:val="20"/>
          <w:color w:val="auto"/>
        </w:rPr>
      </w:pPr>
    </w:p>
    <w:p>
      <w:pPr>
        <w:jc w:val="both"/>
        <w:ind w:right="540" w:firstLine="510"/>
        <w:spacing w:after="0" w:line="266" w:lineRule="auto"/>
        <w:rPr>
          <w:sz w:val="20"/>
          <w:szCs w:val="20"/>
          <w:color w:val="auto"/>
        </w:rPr>
      </w:pPr>
      <w:r>
        <w:rPr>
          <w:rFonts w:ascii="Times New Roman" w:cs="Times New Roman" w:eastAsia="Times New Roman" w:hAnsi="Times New Roman"/>
          <w:sz w:val="18"/>
          <w:szCs w:val="18"/>
          <w:color w:val="auto"/>
        </w:rPr>
        <w:t>Many of our facilities are also accredited by third-party accreditation agencies such as The Joint Commission or CARF. If any of our existing healthcare facilities lose their accreditation or any of our de novo or joint venture facilities fail to receive accreditation, such facilities could become ineligible to receive reimbursement under Medicare or Medicaid.</w:t>
      </w:r>
    </w:p>
    <w:p>
      <w:pPr>
        <w:spacing w:after="0" w:line="176"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Federal, state and local regulations determine the capacity at which many of our facilities may be operated. State licensing standards require many of our facilities to have minimum staffing levels; minimum amounts of residential space per student or patient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and adhere to other minimum standards. Local regulations require us to follow land use guidelines at many of our facilities, including those pertaining to fire safety, sewer capacity and other physical plant matters.</w:t>
      </w:r>
    </w:p>
    <w:p>
      <w:pPr>
        <w:spacing w:after="0" w:line="162"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We cannot guarantee that current laws, regulations and regulatory assessment methodologies will not be modified or replaced in the future. There can be no assurance that our business, results of operations and financial condition will not be adversely affected by any future regulatory developments or that the cost of compliance with new regulations will not be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spend substantial amounts to comply with statutes and regulations relating to privacy and security of PHI.</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There are currently numerous legislative and regulatory initiatives in the U.S. addressing patient privacy and information security concerns. In particular, federal regulations issued under HIPAA require our facilities to comply with standards to protect the privacy, security and integrity of PHI. These requirements include the adoption of certain administrative, physical, and technical safeguards; development of adequate policies and procedures, training programs and other initiatives to ensure the privacy of PHI is maintained; entry into appropriate agreements with so-called business associates; and affording patients certain rights with respect to their PHI, including notification of any breaches. Compliance with these regulations requires substantial expenditures, which could negatively impact our business, financial condition or results of operations. In addition, our management has spent, and may spend in the future, substantial time and effort on compliance measures.</w:t>
      </w:r>
    </w:p>
    <w:p>
      <w:pPr>
        <w:spacing w:after="0" w:line="189"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In addition to HIPAA, we are subject to similar, and in some cases more restrictive, state and federal privacy regulations. For example, the federal government and some states impose laws governing the use and disclosure of health information pertaining to mental health and/or substance abuse treatment that are more stringent than the rules that apply to healthcare information generally. As public attention is drawn to the issues of the privacy and security of medical information, states may revise or expand their laws concerning the use and disclosure of health information, or may adopt new laws addressing these subjects.</w:t>
      </w:r>
    </w:p>
    <w:p>
      <w:pPr>
        <w:spacing w:after="0" w:line="183"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auto"/>
        </w:rPr>
        <w:t>Violations of the privacy and security regulations could subject our operations to substantial civil monetary penalties and substantial other costs and penalties associated with a breach of data security, including criminal penalties. We may also be subject to substantial reputational harm if we experience a substantial security breach involving PHI.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face risks associated with, or arising out of, environmental, health and safety laws and regulations.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subject to various federal, foreign, state and local laws and regulations that:</w:t>
      </w:r>
    </w:p>
    <w:p>
      <w:pPr>
        <w:spacing w:after="0" w:line="117" w:lineRule="exact"/>
        <w:rPr>
          <w:sz w:val="20"/>
          <w:szCs w:val="20"/>
          <w:color w:val="auto"/>
        </w:rPr>
      </w:pPr>
    </w:p>
    <w:p>
      <w:pPr>
        <w:ind w:left="1000" w:right="46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certain activities and operations that may have environmental or health and safety effects, such as the generation, handling and disposal of medical wastes;</w:t>
      </w:r>
    </w:p>
    <w:p>
      <w:pPr>
        <w:spacing w:after="0" w:line="53"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liability for costs of cleaning up, and damages to natural resources from, past spills, waste disposals on and off-site, or other releases of hazardous materials or regulated substances;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workplace safety.</w:t>
      </w:r>
    </w:p>
    <w:p>
      <w:pPr>
        <w:spacing w:after="0" w:line="225"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Compliance with these laws and regulations could increase our costs of operation. Violation of these laws may subject us to significant fines, penalties or disposal costs, which could negatively impact our results of operations, financial condition or cash flows. We could be responsible for the investigation and remediation of environmental conditions at currently or formerly owned, operated or leased sites, as well as for associated liabilities, including liabilities for natural resource damages, third-party property damage or personal injury resulting from lawsuits that could be brought by the government or private litigants, relating to our operations, the operations of facilities or the land on which our facilities are located. We may be subject to these liabilities regardless of whether we operate, lease or own the facility, and regardless of whether such environmental conditions were created by us or by a prior owner or tenant, or by a third party or a neighboring facility whose operations may have affected such facility or land. That is because liability for contamination under certain environmental laws can be imposed on current or past owners, lessors or operators of a site without regard to fault. We cannot assure you that environmental conditions relating to our prior, existing or future sites or those of predecessor companies whose liabilities we may have assumed or acquired will not have a material adverse effect on our business, financial condition or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efforts to regulate the construction or expansion of healthcare facilities could impair our ability to operate and expand our operations.</w:t>
      </w:r>
    </w:p>
    <w:p>
      <w:pPr>
        <w:spacing w:after="0" w:line="229"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A majority of the states in which we operate facilities have enacted CON laws that regulate the construction or expansion of healthcare facilities, certain capital expenditures or changes in services or bed capacity. In giving approval for these actions, these states consider the need for additional or expanded healthcare facilities or services. Our failure to obtain necessary state approval could (i) result in our inability to acquire a targeted facility, complete a desired expansion or make a desired replacement, (ii) make a</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facility ineligible to receive reimbursement under the Medicare or Medicaid programs or (iii) result in the revocation of a facility’s license or imposition of civil or criminal penalties, any of which could harm our business.</w:t>
      </w:r>
    </w:p>
    <w:p>
      <w:pPr>
        <w:spacing w:after="0" w:line="162"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In addition, significant CON reforms have been proposed in a number of states that would increase the capital spending thresholds and provide exemptions of various services from review requirements. In the past, we have not experienced any material adverse effects from such requirements, but we cannot predict the impact of these changes upon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treat patients with emergency medical conditions regardless of ability to pay.</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accordance with our internal policies and procedures, as well as EMTALA, we provide a medical screening examination to any individual who comes to one of our hospitals seeking medical treatment (whether or not such individual is eligible for insurance benefits and regardless of ability to pay) to determine if such individual has an emergency medical condition. If it is determined that such person has an emergency medical condition, we provide such further medical examination and treatment as is required to stabilize the patient’s medical condition, within the facility’s capability, or arrange for the transfer of the individual to another medical facility in accordance with applicable law and the treating hospital’s written procedures. Our hospitals may face substantial civil penalties if we fail to provide appropriate screening and stabilizing treatment or fail to facilitate other appropriate transfers as required by EMTALA.</w:t>
      </w:r>
    </w:p>
    <w:p>
      <w:pPr>
        <w:spacing w:after="0" w:line="18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taxation in the U.S., Puerto Rico and various state jurisdictions. Any adverse development in the tax laws of such jurisdictions or any disagreement with our tax positions could have a material adverse effect on our business, financial condition or results of operations. In addition, our effective tax rate could change materially as a result of changes in tax laws.</w:t>
      </w:r>
    </w:p>
    <w:p>
      <w:pPr>
        <w:spacing w:after="0" w:line="67" w:lineRule="exact"/>
        <w:rPr>
          <w:sz w:val="20"/>
          <w:szCs w:val="20"/>
          <w:color w:val="auto"/>
        </w:rPr>
      </w:pPr>
    </w:p>
    <w:p>
      <w:pPr>
        <w:ind w:right="20" w:firstLine="562"/>
        <w:spacing w:after="0" w:line="255" w:lineRule="auto"/>
        <w:rPr>
          <w:sz w:val="20"/>
          <w:szCs w:val="20"/>
          <w:color w:val="auto"/>
        </w:rPr>
      </w:pPr>
      <w:r>
        <w:rPr>
          <w:rFonts w:ascii="Times New Roman" w:cs="Times New Roman" w:eastAsia="Times New Roman" w:hAnsi="Times New Roman"/>
          <w:sz w:val="18"/>
          <w:szCs w:val="18"/>
          <w:color w:val="auto"/>
        </w:rPr>
        <w:t>We are subject to taxation in, and to the tax laws and regulations of, the U.S., Puerto Rico and various state jurisdictions as a result of our operations and our corporate and financing structure. Adverse developments in these tax laws or regulations, or any change in position regarding the application, administration or interpretation thereof, in any applicable jurisdiction, could have a material adverse effect on our business, financial condition or results of operations. In addition, the tax authorities in any applicable jurisdiction may disagree with the tax treatment or characterization of any of our transactions, which, if successfully challenged by such tax authorities, could have a material adverse effect on our business, financial condition or results of operations. Certain changes in the mix of our earnings between jurisdictions and assumptions used in the calculation of income taxes, among other factors, could have a material adverse effect on our overall effective tax rate.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stockholders to change management.</w:t>
      </w:r>
    </w:p>
    <w:p>
      <w:pPr>
        <w:spacing w:after="0" w:line="51" w:lineRule="exact"/>
        <w:rPr>
          <w:sz w:val="20"/>
          <w:szCs w:val="20"/>
          <w:color w:val="auto"/>
        </w:rPr>
      </w:pPr>
    </w:p>
    <w:p>
      <w:pPr>
        <w:ind w:right="120" w:firstLine="568"/>
        <w:spacing w:after="0" w:line="261"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may discourage, delay or prevent a merger, acquisition or other change in control that stockholders may consider favorable, including transactions in which stockholders might otherwise receive a premium for their shares. This is because these provisions may prevent or frustrate attempts by stockholders to replace or remove our management. These provisions include:</w:t>
      </w:r>
    </w:p>
    <w:p>
      <w:pPr>
        <w:spacing w:after="0" w:line="72" w:lineRule="exact"/>
        <w:rPr>
          <w:sz w:val="20"/>
          <w:szCs w:val="20"/>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upon a resolution approved by a majority of our directors then in office;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right="100" w:firstLine="510"/>
        <w:spacing w:after="0" w:line="273" w:lineRule="auto"/>
        <w:rPr>
          <w:sz w:val="20"/>
          <w:szCs w:val="20"/>
          <w:color w:val="auto"/>
        </w:rPr>
      </w:pPr>
      <w:r>
        <w:rPr>
          <w:rFonts w:ascii="Times New Roman" w:cs="Times New Roman" w:eastAsia="Times New Roman" w:hAnsi="Times New Roman"/>
          <w:sz w:val="17"/>
          <w:szCs w:val="17"/>
          <w:color w:val="auto"/>
        </w:rPr>
        <w:t>Section 203 of the Delaware General Corporation Law (the “DGCL”) prohibits a publicly-held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Although we have elected not to be subject to Section 203 of the DGCL, our amended and restated certificate of incorporation contains provisions that have the same effect as Section 203, except that they provide that Waud Capital Partners, L.L.C. (“WCP”), its affiliates and any investment fund managed by WCP will be deemed to have been approved by our board of directors, and thereby not subject to the restrictions set forth in our amended and restated certificate of incorporation that have the same effect as Section 203 of the DGCL. Accordingly, the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provision in our amended and restated certificate of incorporation that adopts a modified version of Section 203 of the DGCL may discourage, delay or prevent a change in control of us.</w:t>
      </w:r>
    </w:p>
    <w:p>
      <w:pPr>
        <w:spacing w:after="0" w:line="54"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As a result of these provisions in our charter documents and Delaware law, the price investors may be willing to pay in the future for shares of our common stock may be limited.</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quarter to quarter earnings and other factors, including factors outside our control, may result in significant decreases in the price of our common stock.</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stock markets experience volatility, in some cases unrelated to operating performance. These broad market fluctuations may adversely affect the trading price of our common stock and, as a result, there may be significant volatility in the market price of our common stock. If we are unable to operate our facilities as profitably as we have in the past or as our investors expect us to in the future, the market price of our common stock will likely decline when it becomes apparent that the market expectations may not be realized. In addition to our operating results, many economic and other factors outside of our control could have an adverse effect on the price of our common stock and increase fluctuations in our quarterly earnings. These factors include certain of the risks discussed herein, outcomes of political elections, demographic changes, operating results of other healthcare companies, changes in our financial estimates or recommendations of securities analysts, speculation in the press or investment community, the possible effects of war, terrorist and other hostilities, adverse weather conditions, climate change, the impact of a pandemic, epidemic, or outbreak of an infectious disease, managed care contract negotiations and terminations, changes in general conditions in the economy or the financial markets or other developments affecting the healthcare industry.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common stock by our existing stockholders may cause our stock price to fall.</w:t>
      </w:r>
    </w:p>
    <w:p>
      <w:pPr>
        <w:spacing w:after="0" w:line="12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by us or our existing stockholders, particularly our largest stockholders, our directors and executive officers, in the market, or the perception that these sales could occur. These sales might also make it more difficult for us to sell equity securities at a time and price that we deem appropriate.</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were to change their recommendations regarding our stock adversely or if our operating results do not meet their expectations, our stock price and trading volume could decline.</w:t>
      </w:r>
    </w:p>
    <w:p>
      <w:pPr>
        <w:spacing w:after="0" w:line="51" w:lineRule="exact"/>
        <w:rPr>
          <w:sz w:val="20"/>
          <w:szCs w:val="20"/>
          <w:color w:val="auto"/>
        </w:rPr>
      </w:pPr>
    </w:p>
    <w:p>
      <w:pPr>
        <w:ind w:right="100" w:firstLine="562"/>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If one or more of these analysts cease coverage of us or fail to publish regular reports on us, we could lose visibility in the financial markets, which in turn could cause our stock price or trading volume to decline. Moreover, if one or more of the analysts who cover us downgrade our stock or if our operating results do not meet their expectations, our stock price could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substantial costs as a result of being a public company.</w:t>
      </w:r>
    </w:p>
    <w:p>
      <w:pPr>
        <w:spacing w:after="0" w:line="121" w:lineRule="exact"/>
        <w:rPr>
          <w:sz w:val="20"/>
          <w:szCs w:val="20"/>
          <w:color w:val="auto"/>
        </w:rPr>
      </w:pPr>
    </w:p>
    <w:p>
      <w:pPr>
        <w:ind w:right="40" w:firstLine="562"/>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insurance and other expenses, including costs associated with public company reporting requirements. We incur costs associated with complying with the requirements of the Sarbanes-Oxley Act, the Dodd-Frank Wall Street Reform and Consumer Protection Act (the “Dodd-Frank Act”), and related rules implemented by the SEC and NASDAQ. Enacted in July 2010, the Dodd-Frank Act contains significant corporate governance and executive compensation-related provisions, some of which the SEC has implemented by adopting additional rules and regulations in areas such as executive compensation. The expenses incurred by public companies generally for reporting and corporate governance purposes have been increasing. Management expects these laws and regulations to increase our legal and financial compliance costs and to make some activities more time-consuming and costly, although management is currently unable to estimate these costs with any degree of certainty. These laws and regulations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lists, by state or country, the number of behavioral healthcare facilities directly or indirectly owned and operated by us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Operated Beds</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Alaska</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Arkansas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Georgia</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Indiana</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Iowa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Kansas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Kentucky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Louisiana</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Maine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Maryland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Michigan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Missouri</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Hampshire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Mexico</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Ohio</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Oklahoma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Oregon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Rhode Island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South Dakota</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Tennessee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Texas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Vermont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Washington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Wisconsin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19"/>
                <w:szCs w:val="19"/>
                <w:color w:val="auto"/>
              </w:rPr>
            </w:pPr>
          </w:p>
        </w:tc>
      </w:tr>
      <w:tr>
        <w:trPr>
          <w:trHeight w:val="229"/>
        </w:trPr>
        <w:tc>
          <w:tcPr>
            <w:tcW w:w="6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Puerto Rico</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FF0FC"/>
            </w:tcBorders>
          </w:tcPr>
          <w:p>
            <w:pPr>
              <w:spacing w:after="0"/>
              <w:rPr>
                <w:sz w:val="19"/>
                <w:szCs w:val="19"/>
                <w:color w:val="auto"/>
              </w:rPr>
            </w:pPr>
          </w:p>
        </w:tc>
      </w:tr>
      <w:tr>
        <w:trPr>
          <w:trHeight w:val="223"/>
        </w:trPr>
        <w:tc>
          <w:tcPr>
            <w:tcW w:w="62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62"/>
        <w:spacing w:after="0" w:line="266" w:lineRule="auto"/>
        <w:rPr>
          <w:sz w:val="20"/>
          <w:szCs w:val="20"/>
          <w:color w:val="auto"/>
        </w:rPr>
      </w:pPr>
      <w:r>
        <w:rPr>
          <w:rFonts w:ascii="Times New Roman" w:cs="Times New Roman" w:eastAsia="Times New Roman" w:hAnsi="Times New Roman"/>
          <w:sz w:val="18"/>
          <w:szCs w:val="18"/>
          <w:color w:val="auto"/>
        </w:rPr>
        <w:t>See “Item 1. Business— U.S. Operations” for a summary description of the facilities that we own and lease. In addition, we currently lease approximately 61,000 square feet of office space at 6100 Tower Circle, Franklin, Tennessee, for our corporate headquarters. Our headquarters and facilities are generally well maintained and in good operating condition.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firstLine="562"/>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may be found in Note 20—Commitments and Contingencies in the accompanying notes to our consolidated financial statements beginning on Page F-1 of this Annual Report on Form 10-K, which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for trading on The NASDAQ Global Select Market under the symbol “ACHC.”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February 28, 2023, there were approximately 541 holders of record of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2022, the Company withheld shares of Company common stock to satisfy employee minimum statutory tax withholding obligations payable upon the vesting of restricted stock, as follows: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 that</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73"/>
        </w:trPr>
        <w:tc>
          <w:tcPr>
            <w:tcW w:w="5220" w:type="dxa"/>
            <w:vAlign w:val="bottom"/>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5"/>
                <w:szCs w:val="15"/>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 October 31</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82.34</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November 1 – November 30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5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79.40</w:t>
            </w:r>
          </w:p>
        </w:tc>
        <w:tc>
          <w:tcPr>
            <w:tcW w:w="12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 December 31</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We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is limited by restrictions on the ability of our subsidiaries to pay dividends or make distributions to us, including restrictions under the terms of the agreements governing our indebtedness. Any future determination to pay dividends will be at the discretion of our board of directors, subject to compliance with covenants in current and future agreements governing our indebtedness (including our New Credit Facility and the indenture governing our Senior Notes), and will depend upon our results of operations, financial condition, capital requirements and other factors that our board of directors deems relevant.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with our audited consolidated financial statements and notes thereto included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Forward-looking statements include any statements that address future results or occurrences. In some cases you can identify forward-looking statements by terminology such as “may,” “might,” “will,” “would,” “should,” “could” or the negative thereof. Generally, the words “anticipate,” “believe,” “continue,” “expect,” “intend,” “estimate,” “project,” “plan” and similar expressions identify forward-looking statements. In particular, statements about our expectations, beliefs, plans, objectives, assumptions or future events or performance contained are forward-looking statements.</w:t>
      </w:r>
    </w:p>
    <w:p>
      <w:pPr>
        <w:spacing w:after="0" w:line="183" w:lineRule="exact"/>
        <w:rPr>
          <w:sz w:val="20"/>
          <w:szCs w:val="20"/>
          <w:color w:val="auto"/>
        </w:rPr>
      </w:pPr>
    </w:p>
    <w:p>
      <w:pPr>
        <w:ind w:right="300" w:firstLine="510"/>
        <w:spacing w:after="0" w:line="258"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These risks, uncertainties and other factors include, but are not limited to, the following:</w:t>
      </w:r>
    </w:p>
    <w:p>
      <w:pPr>
        <w:spacing w:after="0" w:line="75" w:lineRule="exact"/>
        <w:rPr>
          <w:sz w:val="20"/>
          <w:szCs w:val="20"/>
          <w:color w:val="auto"/>
        </w:rPr>
      </w:pPr>
    </w:p>
    <w:p>
      <w:pPr>
        <w:ind w:left="880" w:hanging="37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for staffing, labor shortages and higher turnover rates on our labor costs and profitability;</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increases in inflation and rising interest rates;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government regulations;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our ability to meet our debt obligations, and our ability to incur substantially more debt;</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payments received from the government and third-party payors on our revenue and results of operations;</w:t>
      </w:r>
    </w:p>
    <w:p>
      <w:pPr>
        <w:spacing w:after="0" w:line="117" w:lineRule="exact"/>
        <w:rPr>
          <w:rFonts w:ascii="Times New Roman" w:cs="Times New Roman" w:eastAsia="Times New Roman" w:hAnsi="Times New Roman"/>
          <w:sz w:val="18"/>
          <w:szCs w:val="18"/>
          <w:color w:val="auto"/>
        </w:rPr>
      </w:pPr>
    </w:p>
    <w:p>
      <w:pPr>
        <w:ind w:left="880" w:right="120" w:hanging="373"/>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volatility in the global capital and credit markets, as well as significant developments in macroeconomic and political conditions that are out of our control;</w:t>
      </w:r>
    </w:p>
    <w:p>
      <w:pPr>
        <w:spacing w:after="0" w:line="53" w:lineRule="exact"/>
        <w:rPr>
          <w:rFonts w:ascii="Times New Roman" w:cs="Times New Roman" w:eastAsia="Times New Roman" w:hAnsi="Times New Roman"/>
          <w:sz w:val="18"/>
          <w:szCs w:val="18"/>
          <w:color w:val="auto"/>
        </w:rPr>
      </w:pPr>
    </w:p>
    <w:p>
      <w:pPr>
        <w:ind w:left="880" w:right="140" w:hanging="373"/>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economic and employment conditions, including increased construction and other costs due to inflation, on our business and future results of operations;</w:t>
      </w:r>
    </w:p>
    <w:p>
      <w:pPr>
        <w:spacing w:after="0" w:line="53" w:lineRule="exact"/>
        <w:rPr>
          <w:rFonts w:ascii="Times New Roman" w:cs="Times New Roman" w:eastAsia="Times New Roman" w:hAnsi="Times New Roman"/>
          <w:sz w:val="18"/>
          <w:szCs w:val="18"/>
          <w:color w:val="auto"/>
        </w:rPr>
      </w:pPr>
    </w:p>
    <w:p>
      <w:pPr>
        <w:ind w:left="880" w:right="240" w:hanging="373"/>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successfully integrating the operations of acquired facilities or realizing the potential benefits and synergies of our acquisitions and joint ventures;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quality psychiatrists and other physicians, nurses, counselors and other medical support personnel;</w:t>
      </w:r>
    </w:p>
    <w:p>
      <w:pPr>
        <w:spacing w:after="0" w:line="117" w:lineRule="exact"/>
        <w:rPr>
          <w:rFonts w:ascii="Times New Roman" w:cs="Times New Roman" w:eastAsia="Times New Roman" w:hAnsi="Times New Roman"/>
          <w:sz w:val="18"/>
          <w:szCs w:val="18"/>
          <w:color w:val="auto"/>
        </w:rPr>
      </w:pPr>
    </w:p>
    <w:p>
      <w:pPr>
        <w:ind w:left="880" w:right="420" w:hanging="373"/>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patient incidents, which could result in negative media coverage, adversely affect the price of our securities and result in incremental regulatory burdens and governmental investigations;</w:t>
      </w:r>
    </w:p>
    <w:p>
      <w:pPr>
        <w:spacing w:after="0" w:line="53" w:lineRule="exact"/>
        <w:rPr>
          <w:rFonts w:ascii="Times New Roman" w:cs="Times New Roman" w:eastAsia="Times New Roman" w:hAnsi="Times New Roman"/>
          <w:sz w:val="18"/>
          <w:szCs w:val="18"/>
          <w:color w:val="auto"/>
        </w:rPr>
      </w:pPr>
    </w:p>
    <w:p>
      <w:pPr>
        <w:ind w:left="880" w:right="40" w:hanging="373"/>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claims brought against us or our facilities including claims for damages for personal injuries, medical malpractice, overpayments, breach of contract, securities law violations, tort and employee related claims;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investigations, regulatory actions and whistleblower lawsuits;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terms of the Company’s corporate integrity agreement with the OIG;</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healthcare reform in the U.S.;</w:t>
      </w:r>
    </w:p>
    <w:p>
      <w:pPr>
        <w:spacing w:after="0" w:line="117" w:lineRule="exact"/>
        <w:rPr>
          <w:rFonts w:ascii="Times New Roman" w:cs="Times New Roman" w:eastAsia="Times New Roman" w:hAnsi="Times New Roman"/>
          <w:sz w:val="18"/>
          <w:szCs w:val="18"/>
          <w:color w:val="auto"/>
        </w:rPr>
      </w:pPr>
    </w:p>
    <w:p>
      <w:pPr>
        <w:ind w:left="880" w:right="220" w:hanging="373"/>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joint venture and wholly-owned de novo strategies, which expose us to a variety of operational and financial risks, as well as legal and regulatory risks;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efforts to regulate the construction or expansion of healthcare facilities on our ability to operate and expand our operations;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w:t>
      </w:r>
    </w:p>
    <w:p>
      <w:pPr>
        <w:spacing w:after="0" w:line="117" w:lineRule="exact"/>
        <w:rPr>
          <w:rFonts w:ascii="Times New Roman" w:cs="Times New Roman" w:eastAsia="Times New Roman" w:hAnsi="Times New Roman"/>
          <w:sz w:val="18"/>
          <w:szCs w:val="18"/>
          <w:color w:val="auto"/>
        </w:rPr>
      </w:pPr>
    </w:p>
    <w:p>
      <w:pPr>
        <w:ind w:left="880" w:right="140" w:hanging="373"/>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disruptions on our inpatient and outpatient volumes caused by pandemics, epidemics or outbreaks of infectious diseases, such as the COVID-19 pandemic;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management personnel, key executives and local facility management personnel;</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restrictive covenants, which may restrict our business and financing activities;</w:t>
      </w:r>
    </w:p>
    <w:p>
      <w:pPr>
        <w:spacing w:after="0" w:line="117" w:lineRule="exact"/>
        <w:rPr>
          <w:rFonts w:ascii="Times New Roman" w:cs="Times New Roman" w:eastAsia="Times New Roman" w:hAnsi="Times New Roman"/>
          <w:sz w:val="18"/>
          <w:szCs w:val="18"/>
          <w:color w:val="auto"/>
        </w:rPr>
      </w:pPr>
    </w:p>
    <w:p>
      <w:pPr>
        <w:ind w:left="880" w:right="120" w:hanging="373"/>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weather conditions and climate change, including the effects of hurricanes, wildfires and other natural disasters, and any resulting outmigration;</w:t>
      </w:r>
    </w:p>
    <w:p>
      <w:pPr>
        <w:spacing w:after="0" w:line="53" w:lineRule="exact"/>
        <w:rPr>
          <w:rFonts w:ascii="Times New Roman" w:cs="Times New Roman" w:eastAsia="Times New Roman" w:hAnsi="Times New Roman"/>
          <w:sz w:val="18"/>
          <w:szCs w:val="18"/>
          <w:color w:val="auto"/>
        </w:rPr>
      </w:pPr>
    </w:p>
    <w:p>
      <w:pPr>
        <w:ind w:left="880" w:right="760" w:hanging="373"/>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cyber-security incident and any resulting adverse impact on our operations or violation of laws and regulations regarding information privacy;</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 and earnings;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highly competitive industry on patient volumes;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cultivate and maintain relationships with referral sources;</w:t>
      </w:r>
    </w:p>
    <w:p>
      <w:pPr>
        <w:spacing w:after="0" w:line="117" w:lineRule="exact"/>
        <w:rPr>
          <w:rFonts w:ascii="Times New Roman" w:cs="Times New Roman" w:eastAsia="Times New Roman" w:hAnsi="Times New Roman"/>
          <w:sz w:val="18"/>
          <w:szCs w:val="18"/>
          <w:color w:val="auto"/>
        </w:rPr>
      </w:pPr>
    </w:p>
    <w:p>
      <w:pPr>
        <w:ind w:left="880" w:right="420" w:hanging="373"/>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trend for insurance companies and managed care organizations to enter into sole source contracts on our ability to obtain patients;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value-based purchasing programs on our revenue;</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extend leases at expiration;</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controls designed to reduce inpatient services on our revenue;</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different interpretations of accounting principles on our results of operations or financial condition;</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environmental, health and safety laws and regulations, especially in locations where we have concentrated operations;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 relating to privacy and security of patient health information and standards for electronic transactions;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the mix of our earnings, adverse changes in our effective tax rate and adverse developments in tax laws generally;</w:t>
      </w:r>
    </w:p>
    <w:p>
      <w:pPr>
        <w:spacing w:after="0" w:line="117" w:lineRule="exact"/>
        <w:rPr>
          <w:rFonts w:ascii="Times New Roman" w:cs="Times New Roman" w:eastAsia="Times New Roman" w:hAnsi="Times New Roman"/>
          <w:sz w:val="18"/>
          <w:szCs w:val="18"/>
          <w:color w:val="auto"/>
        </w:rPr>
      </w:pPr>
    </w:p>
    <w:p>
      <w:pPr>
        <w:ind w:left="880" w:right="760" w:hanging="373"/>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interpretations, assumptions and expectations regarding recent tax legislation, including provisions of the CARES Act and additional guidance that may be issued by federal and state taxing authorities;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 over financial reporting;</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our operating results, quarter to quarter earnings and other factors on the price of our securities;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risks and uncertainties described from time to time in our filings with the SEC.</w:t>
      </w:r>
    </w:p>
    <w:p>
      <w:pPr>
        <w:spacing w:after="0" w:line="117"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Annual Report on Form 10-K. We do not undertake and specifically decline any obligation to update any such statements or to publicly announce the results of any revisions to any such statements to reflect future events or developments.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business strategy is to acquire and develop behavioral healthcare facilities and improve our operating results within our facilities and our other behavioral healthcare operations. We strive to improve the operating results of our facilities by providing high-quality services, expanding referral networks and marketing initiatives while meeting the increased demand for behavioral healthcare services through expansion of our current locations as well as developing new services within existing locations. At December 31, 2022, we operated 250 behavioral healthcare facilities with approximately 11,000 beds in 39 states and Puerto Rico. During the year ended December 31, 2022, we added 560 beds, consisting of 290 added to existing facilities and 270 added through the opening of one wholly-owned facility and two joint venture facilities, and we opened seven CTCs. For the year ending December 31, 2023, we expect to add approximately 300 beds through additions to existing facilities, and we expect to open two wholly-owned facilities, two joint venture facilities and at least six CTCs.</w:t>
      </w:r>
    </w:p>
    <w:p>
      <w:pPr>
        <w:spacing w:after="0" w:line="84"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We are the leading publicly traded pure-play provider of behavioral healthcare services in the U.S. Management believes that we are positioned as a leading platform in a highly fragmented industry under the direction of an experienced management team that has significant industry expertise. Management expects to take advantage of several strategies that are more accessible as a result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increased size and geographic scale, including continuing a national marketing strategy to attract new patients and referral sources, increasing our volume of out-of-state referrals, providing a broader range of services to new and existing patients and clients and selectively pursuing opportunities to expand our facility and bed count in the U.S. through acquisitions, wholly-owned de novo facilities, joint ventures and bed additions in existing facilities.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19, 2021, we completed the U.K. Sale pursuant to a Share Purchase Agreement in which we sold all of the securities of AHC-</w:t>
      </w:r>
    </w:p>
    <w:p>
      <w:pPr>
        <w:spacing w:after="0" w:line="27" w:lineRule="exact"/>
        <w:rPr>
          <w:sz w:val="20"/>
          <w:szCs w:val="20"/>
          <w:color w:val="auto"/>
        </w:rPr>
      </w:pPr>
    </w:p>
    <w:p>
      <w:pPr>
        <w:ind w:right="60" w:firstLine="8"/>
        <w:spacing w:after="0" w:line="252" w:lineRule="auto"/>
        <w:tabs>
          <w:tab w:leader="none" w:pos="3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Jersey Limited, a private limited liability company incorporated in Jersey and a subsidiary of the Company, which constituted the entirety of our U.K. operations. The U.K. Sale resulted in approximately $1,525 million of gross proceeds before deducting the settlement of existing foreign currency hedging liabilities of $85 million based on the current GBP to USD exchange rate, cash retained by the buyer and transaction costs. We used the net proceeds of approximately $1,425 million (excluding cash retained by the buyer) along with cash from the balance sheet to reduce debt by $1,640 million during the first quarter of 2021. As a result of the U.K. Sale, we reported, for all periods presented, results of operations and cash flows of the U.K. operations as discontinued operations in the accompanying financial statements.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November 7, 2022, we acquired four CTCs located in Georgia from Brand New Start.</w:t>
      </w:r>
    </w:p>
    <w:p>
      <w:pPr>
        <w:spacing w:after="0" w:line="117" w:lineRule="exact"/>
        <w:rPr>
          <w:sz w:val="20"/>
          <w:szCs w:val="20"/>
          <w:color w:val="auto"/>
        </w:rPr>
      </w:pPr>
    </w:p>
    <w:p>
      <w:pPr>
        <w:jc w:val="both"/>
        <w:ind w:right="60" w:firstLine="562"/>
        <w:spacing w:after="0" w:line="266" w:lineRule="auto"/>
        <w:rPr>
          <w:sz w:val="20"/>
          <w:szCs w:val="20"/>
          <w:color w:val="auto"/>
        </w:rPr>
      </w:pPr>
      <w:r>
        <w:rPr>
          <w:rFonts w:ascii="Times New Roman" w:cs="Times New Roman" w:eastAsia="Times New Roman" w:hAnsi="Times New Roman"/>
          <w:sz w:val="18"/>
          <w:szCs w:val="18"/>
          <w:color w:val="auto"/>
        </w:rPr>
        <w:t>On December 31, 2021, we acquired the equity of CenterPointe for cash consideration of approximately $140 million. The acquisition was funded through a combination of cash on hand and a $70.0 million draw on the Revolving Facility. At the time of the acquisition, CenterPointe operated four acute inpatient hospitals with 306 beds and ten outpatient locations primarily in Missouri.</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illustrates our consolidated results of operations for the respective periods shown (dollars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2,610,399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2,314,394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2,089,929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1,243,804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158,013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136,739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120,489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Supplies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Rents and leases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38,519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262,272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provider relief fund</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(21,451)</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(17,900)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(32,819)</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76,993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impairment</w:t>
            </w:r>
          </w:p>
        </w:tc>
        <w:tc>
          <w:tcPr>
            <w:tcW w:w="146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36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2,236,256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85.7%</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2,038,634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88.0%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1,906,132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before income taxes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374,143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275,760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183,797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67,557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1"/>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operations, net of taxes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(12,641)</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(812,390)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195,562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(669,199)</w:t>
            </w: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1"/>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(6,894)</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(4,927)</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(2,933)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5"/>
        </w:trPr>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Acadia</w:t>
            </w: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Healthcare Company, Inc.</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273,139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190,635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(672,132)</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We are encouraged by the favorable trends in our business and believe we are well positioned to capitalize on the expected growth in demand for behavioral health services. As with many other healthcare providers and other industries across the country, we are currently dealing with a tight labor market. While we experienced higher wage inflation in 2022 compared to previous years, we believe the diversity of our markets and service lines and our proactive focus helps us manage through this environment. We remain focused on ensuring that we have the level of staff to meet the demand in our markets across our 39 states and Puerto Rico.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percent changes in same facility operating data for our continuing operations for the years ended December 31, 2022 and 2021 compared to the previous years:</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4740" w:type="dxa"/>
            <w:vAlign w:val="bottom"/>
          </w:tcPr>
          <w:p>
            <w:pPr>
              <w:spacing w:after="0"/>
              <w:rPr>
                <w:sz w:val="19"/>
                <w:szCs w:val="19"/>
                <w:color w:val="auto"/>
              </w:rPr>
            </w:pPr>
          </w:p>
        </w:tc>
        <w:tc>
          <w:tcPr>
            <w:tcW w:w="1220" w:type="dxa"/>
            <w:vAlign w:val="bottom"/>
            <w:tcBorders>
              <w:top w:val="single" w:sz="8" w:color="auto"/>
            </w:tcBorders>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940" w:type="dxa"/>
            <w:vAlign w:val="bottom"/>
            <w:tcBorders>
              <w:top w:val="single" w:sz="8" w:color="auto"/>
            </w:tcBorders>
            <w:gridSpan w:val="3"/>
          </w:tcPr>
          <w:p>
            <w:pPr>
              <w:jc w:val="center"/>
              <w:ind w:left="9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9"/>
                <w:szCs w:val="19"/>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Same Facility Results (a)</w:t>
            </w:r>
          </w:p>
        </w:tc>
        <w:tc>
          <w:tcPr>
            <w:tcW w:w="1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 growth</w:t>
            </w:r>
          </w:p>
        </w:tc>
        <w:tc>
          <w:tcPr>
            <w:tcW w:w="122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rPr>
              <w:t>9.2%</w:t>
            </w:r>
          </w:p>
        </w:tc>
        <w:tc>
          <w:tcPr>
            <w:tcW w:w="2940" w:type="dxa"/>
            <w:vAlign w:val="bottom"/>
            <w:gridSpan w:val="3"/>
          </w:tcPr>
          <w:p>
            <w:pPr>
              <w:jc w:val="center"/>
              <w:ind w:left="935"/>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Patient days growth</w:t>
            </w:r>
          </w:p>
        </w:tc>
        <w:tc>
          <w:tcPr>
            <w:tcW w:w="1220" w:type="dxa"/>
            <w:vAlign w:val="bottom"/>
            <w:shd w:val="clear" w:color="auto" w:fill="CFF0FC"/>
          </w:tcPr>
          <w:p>
            <w:pPr>
              <w:jc w:val="center"/>
              <w:ind w:left="552"/>
              <w:spacing w:after="0"/>
              <w:rPr>
                <w:sz w:val="20"/>
                <w:szCs w:val="20"/>
                <w:color w:val="auto"/>
              </w:rPr>
            </w:pPr>
            <w:r>
              <w:rPr>
                <w:rFonts w:ascii="Times New Roman" w:cs="Times New Roman" w:eastAsia="Times New Roman" w:hAnsi="Times New Roman"/>
                <w:sz w:val="18"/>
                <w:szCs w:val="18"/>
                <w:color w:val="auto"/>
              </w:rPr>
              <w:t>2.5%</w:t>
            </w:r>
          </w:p>
        </w:tc>
        <w:tc>
          <w:tcPr>
            <w:tcW w:w="2940" w:type="dxa"/>
            <w:vAlign w:val="bottom"/>
            <w:gridSpan w:val="3"/>
            <w:shd w:val="clear" w:color="auto" w:fill="CFF0FC"/>
          </w:tcPr>
          <w:p>
            <w:pPr>
              <w:jc w:val="center"/>
              <w:ind w:left="935"/>
              <w:spacing w:after="0"/>
              <w:rPr>
                <w:sz w:val="20"/>
                <w:szCs w:val="20"/>
                <w:color w:val="auto"/>
              </w:rPr>
            </w:pPr>
            <w:r>
              <w:rPr>
                <w:rFonts w:ascii="Times New Roman" w:cs="Times New Roman" w:eastAsia="Times New Roman" w:hAnsi="Times New Roman"/>
                <w:sz w:val="18"/>
                <w:szCs w:val="18"/>
                <w:color w:val="auto"/>
                <w:w w:val="95"/>
              </w:rPr>
              <w:t>4.3%</w:t>
            </w:r>
          </w:p>
        </w:tc>
        <w:tc>
          <w:tcPr>
            <w:tcW w:w="80" w:type="dxa"/>
            <w:vAlign w:val="bottom"/>
            <w:shd w:val="clear" w:color="auto" w:fill="CFF0FC"/>
          </w:tcPr>
          <w:p>
            <w:pPr>
              <w:spacing w:after="0"/>
              <w:rPr>
                <w:sz w:val="19"/>
                <w:szCs w:val="19"/>
                <w:color w:val="auto"/>
              </w:rPr>
            </w:pPr>
          </w:p>
        </w:tc>
      </w:tr>
      <w:tr>
        <w:trPr>
          <w:trHeight w:val="229"/>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Admissions growth</w:t>
            </w:r>
          </w:p>
        </w:tc>
        <w:tc>
          <w:tcPr>
            <w:tcW w:w="122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rPr>
              <w:t>(1.0)%</w:t>
            </w:r>
          </w:p>
        </w:tc>
        <w:tc>
          <w:tcPr>
            <w:tcW w:w="2940" w:type="dxa"/>
            <w:vAlign w:val="bottom"/>
            <w:gridSpan w:val="3"/>
          </w:tcPr>
          <w:p>
            <w:pPr>
              <w:jc w:val="center"/>
              <w:ind w:left="935"/>
              <w:spacing w:after="0"/>
              <w:rPr>
                <w:sz w:val="20"/>
                <w:szCs w:val="20"/>
                <w:color w:val="auto"/>
              </w:rPr>
            </w:pPr>
            <w:r>
              <w:rPr>
                <w:rFonts w:ascii="Times New Roman" w:cs="Times New Roman" w:eastAsia="Times New Roman" w:hAnsi="Times New Roman"/>
                <w:sz w:val="18"/>
                <w:szCs w:val="18"/>
                <w:color w:val="auto"/>
                <w:w w:val="95"/>
              </w:rPr>
              <w:t>3.5%</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Average length of stay change (b)</w:t>
            </w:r>
          </w:p>
        </w:tc>
        <w:tc>
          <w:tcPr>
            <w:tcW w:w="1220" w:type="dxa"/>
            <w:vAlign w:val="bottom"/>
            <w:shd w:val="clear" w:color="auto" w:fill="CFF0FC"/>
          </w:tcPr>
          <w:p>
            <w:pPr>
              <w:jc w:val="center"/>
              <w:ind w:left="552"/>
              <w:spacing w:after="0"/>
              <w:rPr>
                <w:sz w:val="20"/>
                <w:szCs w:val="20"/>
                <w:color w:val="auto"/>
              </w:rPr>
            </w:pPr>
            <w:r>
              <w:rPr>
                <w:rFonts w:ascii="Times New Roman" w:cs="Times New Roman" w:eastAsia="Times New Roman" w:hAnsi="Times New Roman"/>
                <w:sz w:val="18"/>
                <w:szCs w:val="18"/>
                <w:color w:val="auto"/>
              </w:rPr>
              <w:t>3.6%</w:t>
            </w:r>
          </w:p>
        </w:tc>
        <w:tc>
          <w:tcPr>
            <w:tcW w:w="2940" w:type="dxa"/>
            <w:vAlign w:val="bottom"/>
            <w:gridSpan w:val="3"/>
            <w:shd w:val="clear" w:color="auto" w:fill="CFF0FC"/>
          </w:tcPr>
          <w:p>
            <w:pPr>
              <w:jc w:val="center"/>
              <w:ind w:left="935"/>
              <w:spacing w:after="0"/>
              <w:rPr>
                <w:sz w:val="20"/>
                <w:szCs w:val="20"/>
                <w:color w:val="auto"/>
              </w:rPr>
            </w:pPr>
            <w:r>
              <w:rPr>
                <w:rFonts w:ascii="Times New Roman" w:cs="Times New Roman" w:eastAsia="Times New Roman" w:hAnsi="Times New Roman"/>
                <w:sz w:val="18"/>
                <w:szCs w:val="18"/>
                <w:color w:val="auto"/>
                <w:w w:val="95"/>
              </w:rPr>
              <w:t>0.8%</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 per patient day growth</w:t>
            </w:r>
          </w:p>
        </w:tc>
        <w:tc>
          <w:tcPr>
            <w:tcW w:w="122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rPr>
              <w:t>6.5%</w:t>
            </w:r>
          </w:p>
        </w:tc>
        <w:tc>
          <w:tcPr>
            <w:tcW w:w="2940" w:type="dxa"/>
            <w:vAlign w:val="bottom"/>
            <w:gridSpan w:val="3"/>
          </w:tcPr>
          <w:p>
            <w:pPr>
              <w:jc w:val="center"/>
              <w:ind w:left="935"/>
              <w:spacing w:after="0"/>
              <w:rPr>
                <w:sz w:val="20"/>
                <w:szCs w:val="20"/>
                <w:color w:val="auto"/>
              </w:rPr>
            </w:pPr>
            <w:r>
              <w:rPr>
                <w:rFonts w:ascii="Times New Roman" w:cs="Times New Roman" w:eastAsia="Times New Roman" w:hAnsi="Times New Roman"/>
                <w:sz w:val="18"/>
                <w:szCs w:val="18"/>
                <w:color w:val="auto"/>
                <w:w w:val="95"/>
              </w:rPr>
              <w:t>6.3%</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Adjusted EBITDA margin change (c)</w:t>
            </w:r>
          </w:p>
        </w:tc>
        <w:tc>
          <w:tcPr>
            <w:tcW w:w="12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70 bps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150 bps</w:t>
            </w:r>
          </w:p>
        </w:tc>
      </w:tr>
      <w:tr>
        <w:trPr>
          <w:trHeight w:val="211"/>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 margin excluding income</w:t>
            </w: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from provider relief fund (d)</w:t>
            </w: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60 bps</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220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85725</wp:posOffset>
            </wp:positionV>
            <wp:extent cx="12515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18" w:lineRule="exact"/>
        <w:rPr>
          <w:sz w:val="20"/>
          <w:szCs w:val="20"/>
          <w:color w:val="auto"/>
        </w:rPr>
      </w:pPr>
    </w:p>
    <w:p>
      <w:pPr>
        <w:ind w:left="1860" w:right="1100" w:hanging="367"/>
        <w:spacing w:after="0" w:line="261" w:lineRule="auto"/>
        <w:tabs>
          <w:tab w:leader="none" w:pos="1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for the periods presented include facilities we have operated more than one year and exclude certain closed services.</w:t>
      </w:r>
    </w:p>
    <w:p>
      <w:pPr>
        <w:ind w:left="1860" w:hanging="367"/>
        <w:spacing w:after="0"/>
        <w:tabs>
          <w:tab w:leader="none" w:pos="1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length of stay is defined as patient days divided by admissions.</w:t>
      </w:r>
    </w:p>
    <w:p>
      <w:pPr>
        <w:spacing w:after="0" w:line="9" w:lineRule="exact"/>
        <w:rPr>
          <w:rFonts w:ascii="Times New Roman" w:cs="Times New Roman" w:eastAsia="Times New Roman" w:hAnsi="Times New Roman"/>
          <w:sz w:val="18"/>
          <w:szCs w:val="18"/>
          <w:color w:val="auto"/>
        </w:rPr>
      </w:pPr>
    </w:p>
    <w:p>
      <w:pPr>
        <w:ind w:left="1860" w:right="960" w:hanging="367"/>
        <w:spacing w:after="0" w:line="265" w:lineRule="auto"/>
        <w:tabs>
          <w:tab w:leader="none" w:pos="1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is defined as income before provision for income taxes, equity-based compensation expense, debt extinguishment costs, loss on impairment, transaction-related expenses, interest expense and depreciation and amortization. Management uses Adjusted EBITDA as an analytical indicator to measure performance and to develop strategic objectives and operating plans. Adjusted EBITDA is commonly used as an analytical indicator within the healthcare industry, and also serves as a measure of leverage capacity and debt service ability. Adjusted EBITDA should not be considered as a measure of financial performance under GAAP, and the items excluded from Adjusted EBITDA are significant components in understanding and assessing financial performance. Because Adjusted EBITDA is not a measurement determined in accordance with GAAP and is thus susceptible to varying calculations, Adjusted EBITDA, as presented, may not be comparable to other similarly titled measures of other companies.</w:t>
      </w:r>
    </w:p>
    <w:p>
      <w:pPr>
        <w:spacing w:after="0" w:line="1" w:lineRule="exact"/>
        <w:rPr>
          <w:rFonts w:ascii="Times New Roman" w:cs="Times New Roman" w:eastAsia="Times New Roman" w:hAnsi="Times New Roman"/>
          <w:sz w:val="17"/>
          <w:szCs w:val="17"/>
          <w:color w:val="auto"/>
        </w:rPr>
      </w:pPr>
    </w:p>
    <w:p>
      <w:pPr>
        <w:ind w:left="1860" w:right="960" w:hanging="367"/>
        <w:spacing w:after="0" w:line="260" w:lineRule="auto"/>
        <w:tabs>
          <w:tab w:leader="none" w:pos="1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2022, 2021 and 2020, excludes income from provider relief fund of $21.5 million, $17.9 million and $32.8 million,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the Year Ended December 31, 2021</w:t>
      </w:r>
    </w:p>
    <w:p>
      <w:pPr>
        <w:spacing w:after="0" w:line="119"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increased $296.0 million, or 12.8%, to $2,610.4 million for the year ended December 31, 2022 from $2,314.4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2021. Same facility revenue increased by $210.9 million, or 9.2%, for the year ended December 31, 2022 compared to the year ended December 31, 2021, resulting from same facility growth in patient days of 2.5%, an increase in same facility revenue per day of 6.5% and an increase in the average length of stay of 3.6%. Consistent with the same facility patient day growth in 2021, the growth in same facility patient days for the year ended December 31, 2022 compared to the year ended December 31, 2021 resulted from the addition of beds to our existing facilities and ongoing demand for our services.</w:t>
      </w:r>
    </w:p>
    <w:p>
      <w:pPr>
        <w:spacing w:after="0" w:line="74" w:lineRule="exact"/>
        <w:rPr>
          <w:sz w:val="20"/>
          <w:szCs w:val="20"/>
          <w:color w:val="auto"/>
        </w:rPr>
      </w:pPr>
    </w:p>
    <w:p>
      <w:pPr>
        <w:ind w:right="8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Salaries, wages and benefits. </w:t>
      </w:r>
      <w:r>
        <w:rPr>
          <w:rFonts w:ascii="Times New Roman" w:cs="Times New Roman" w:eastAsia="Times New Roman" w:hAnsi="Times New Roman"/>
          <w:sz w:val="18"/>
          <w:szCs w:val="18"/>
          <w:color w:val="auto"/>
        </w:rPr>
        <w:t>Salaries, wages and benefits (“SWB”) expense was $1,393.4 million for the year ended December 31, 2022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$1,243.8 million for the year ended December 31, 2021, an increase of $149.6 million. SWB expense included $29.6 million and $37.5 million of equity-based compensation expense for the years ended December 31, 2022 and 2021, respectively. Excluding equity-based compensation expense, SWB expense was $1,363.8 million, or 52.2% of revenue, for the year ended December 31, 2022, compared to $1,206.3 million, or 52.1% of revenue, for the year ended December 31, 2021. Same facility SWB expense was $1,208.4 million for the year ended December 31, 2022, or 48.3% of revenue, compared to $1,112.4 million for the year ended December 31, 2021, or 48.5% of revenue.</w:t>
      </w:r>
    </w:p>
    <w:p>
      <w:pPr>
        <w:spacing w:after="0" w:line="182" w:lineRule="exact"/>
        <w:rPr>
          <w:sz w:val="20"/>
          <w:szCs w:val="20"/>
          <w:color w:val="auto"/>
        </w:rPr>
      </w:pPr>
    </w:p>
    <w:p>
      <w:pPr>
        <w:ind w:right="6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Professional fees were $158.0 million for the year ended December 31, 2022, or 6.1% of revenue, compared to $136.7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2021, or 5.9% of revenue. Same facility professional fees were $132.6 million for the year ended December 31, 2022, or 5.3% of revenue, compared to $124.1 million, for the year ended December 31, 2021, or 5.4% of revenue.</w:t>
      </w:r>
    </w:p>
    <w:p>
      <w:pPr>
        <w:spacing w:after="0" w:line="173" w:lineRule="exact"/>
        <w:rPr>
          <w:sz w:val="20"/>
          <w:szCs w:val="20"/>
          <w:color w:val="auto"/>
        </w:rPr>
      </w:pPr>
    </w:p>
    <w:p>
      <w:pPr>
        <w:ind w:right="20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Supplies. </w:t>
      </w:r>
      <w:r>
        <w:rPr>
          <w:rFonts w:ascii="Times New Roman" w:cs="Times New Roman" w:eastAsia="Times New Roman" w:hAnsi="Times New Roman"/>
          <w:sz w:val="18"/>
          <w:szCs w:val="18"/>
          <w:color w:val="auto"/>
        </w:rPr>
        <w:t>Supplies expense was $100.2 million for the year ended December 31, 2022, or 3.8% of revenue, compared to $90.7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2021, or 3.9% of revenue. Same facility supplies expense was $94.7 million for the year ended December 31, 2022, or 3.8% of revenue, compared to $89.8 million for the year ended December 31, 2021, or 3.9% of revenue.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3" w:lineRule="exact"/>
        <w:rPr>
          <w:sz w:val="20"/>
          <w:szCs w:val="20"/>
          <w:color w:val="auto"/>
        </w:rPr>
      </w:pPr>
    </w:p>
    <w:p>
      <w:pPr>
        <w:ind w:right="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Rents and leases. </w:t>
      </w:r>
      <w:r>
        <w:rPr>
          <w:rFonts w:ascii="Times New Roman" w:cs="Times New Roman" w:eastAsia="Times New Roman" w:hAnsi="Times New Roman"/>
          <w:sz w:val="18"/>
          <w:szCs w:val="18"/>
          <w:color w:val="auto"/>
        </w:rPr>
        <w:t>Rents and leases were $45.5 million for the year ended December 31, 2022, or 1.7% of revenue, compared to $38.5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2021, or 1.7% of revenue. Same facility rents and leases were $37.0 million for the year ended December 31, 2022, or 1.5% of revenue, compared to $35.0 million for the year ended December 31, 2021, or 1.5% of revenue.</w:t>
      </w:r>
    </w:p>
    <w:p>
      <w:pPr>
        <w:spacing w:after="0" w:line="173" w:lineRule="exact"/>
        <w:rPr>
          <w:sz w:val="20"/>
          <w:szCs w:val="20"/>
          <w:color w:val="auto"/>
        </w:rPr>
      </w:pPr>
    </w:p>
    <w:p>
      <w:pPr>
        <w:ind w:right="840" w:firstLine="51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Other operating expenses consisted primarily of purchased services, utilities, insurance, travel and repairs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expenses. Other operating expenses were $349.3 million for the year ended December 31, 2022, or 13.4% of revenue, compared to</w:t>
      </w:r>
    </w:p>
    <w:p>
      <w:pPr>
        <w:ind w:right="60"/>
        <w:spacing w:after="0" w:line="260" w:lineRule="auto"/>
        <w:rPr>
          <w:sz w:val="20"/>
          <w:szCs w:val="20"/>
          <w:color w:val="auto"/>
        </w:rPr>
      </w:pPr>
      <w:r>
        <w:rPr>
          <w:rFonts w:ascii="Times New Roman" w:cs="Times New Roman" w:eastAsia="Times New Roman" w:hAnsi="Times New Roman"/>
          <w:sz w:val="18"/>
          <w:szCs w:val="18"/>
          <w:color w:val="auto"/>
        </w:rPr>
        <w:t>$301.3 million for the year ended December 31, 2021, or 13.0% of revenue. Same facility other operating expenses were $314.9 million for the year ended December 31, 2022, or 12.6% of revenue, compared to $290.0 million for the year ended December 31, 2021, or 12.6% of revenue.</w:t>
      </w:r>
    </w:p>
    <w:p>
      <w:pPr>
        <w:spacing w:after="0" w:line="179" w:lineRule="exact"/>
        <w:rPr>
          <w:sz w:val="20"/>
          <w:szCs w:val="20"/>
          <w:color w:val="auto"/>
        </w:rPr>
      </w:pPr>
    </w:p>
    <w:p>
      <w:pPr>
        <w:ind w:right="4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from provider relief fund. </w:t>
      </w:r>
      <w:r>
        <w:rPr>
          <w:rFonts w:ascii="Times New Roman" w:cs="Times New Roman" w:eastAsia="Times New Roman" w:hAnsi="Times New Roman"/>
          <w:sz w:val="18"/>
          <w:szCs w:val="18"/>
          <w:color w:val="auto"/>
        </w:rPr>
        <w:t>For the year ended December 31, 2022, we recorded $21.5 million of income from provider relief fund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PHSSE Fund and ARP funds received in 2021 and 2022. For the year ended December 31, 2021, we recorded $17.9 million of income from provider relief fund related to PHSSE Fund funds received in 2021 and 2020.</w:t>
      </w:r>
    </w:p>
    <w:p>
      <w:pPr>
        <w:spacing w:after="0" w:line="173" w:lineRule="exact"/>
        <w:rPr>
          <w:sz w:val="20"/>
          <w:szCs w:val="20"/>
          <w:color w:val="auto"/>
        </w:rPr>
      </w:pPr>
    </w:p>
    <w:p>
      <w:pPr>
        <w:ind w:right="50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$117.8 million for the year ended December 31, 2022, or 4.5%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compared to $106.7 million for the year ended December 31, 2021, or 4.6% of revenue.</w:t>
      </w:r>
    </w:p>
    <w:p>
      <w:pPr>
        <w:spacing w:after="0" w:line="1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$69.8 million for the year ended December 31, 2022 compared to $77.0 million for the year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The decrease in interest expense was primarily the result of a significant reduction to outstanding debt in connection with the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w:t>
      </w:r>
    </w:p>
    <w:p>
      <w:pPr>
        <w:spacing w:after="0" w:line="205" w:lineRule="exact"/>
        <w:rPr>
          <w:sz w:val="20"/>
          <w:szCs w:val="20"/>
          <w:color w:val="auto"/>
        </w:rPr>
      </w:pPr>
    </w:p>
    <w:p>
      <w:pPr>
        <w:jc w:val="both"/>
        <w:ind w:right="24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Debt extinguishment costs. </w:t>
      </w:r>
      <w:r>
        <w:rPr>
          <w:rFonts w:ascii="Times New Roman" w:cs="Times New Roman" w:eastAsia="Times New Roman" w:hAnsi="Times New Roman"/>
          <w:sz w:val="18"/>
          <w:szCs w:val="18"/>
          <w:color w:val="auto"/>
        </w:rPr>
        <w:t>Debt extinguishment costs were $24.7 million for the year ended December 31, 2021 and represented $6.3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charges and $18.4 million of non-cash charges in connection with the redemption of the 5.625% Senior Notes and the 6.500% Senior Notes and the termination of the Prior Credit Facility.</w:t>
      </w:r>
    </w:p>
    <w:p>
      <w:pPr>
        <w:spacing w:after="0" w:line="173"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on impairment. </w:t>
      </w:r>
      <w:r>
        <w:rPr>
          <w:rFonts w:ascii="Times New Roman" w:cs="Times New Roman" w:eastAsia="Times New Roman" w:hAnsi="Times New Roman"/>
          <w:sz w:val="18"/>
          <w:szCs w:val="18"/>
          <w:color w:val="auto"/>
        </w:rPr>
        <w:t>Loss on impairment was $24.3 million for the year ended December 31, 2021. During the second quarter of 2021, we opened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260-bed replacement facility in Pennsylvania and recorded a non-cash property impairment charge of $23.2 million for the existing facility. Additionally, during the third quarter of 2021, we recorded a $1.1 million non-cash property impairment charge for one facility in Louisiana resulting from hurricane damage.</w:t>
      </w:r>
    </w:p>
    <w:p>
      <w:pPr>
        <w:spacing w:after="0" w:line="180"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Transaction-related expenses. </w:t>
      </w:r>
      <w:r>
        <w:rPr>
          <w:rFonts w:ascii="Times New Roman" w:cs="Times New Roman" w:eastAsia="Times New Roman" w:hAnsi="Times New Roman"/>
          <w:sz w:val="18"/>
          <w:szCs w:val="18"/>
          <w:color w:val="auto"/>
        </w:rPr>
        <w:t>Transaction-related expenses were $23.8 million for the year ended December 31, 2022 compared to $12.8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2021. Transaction-related expenses represent legal, accounting, termination, restructuring, management transition, acquisition and other similar costs incurred in the respective periods, as summarized below (in thousands):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49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transition costs</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Termination and restructuring costs</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8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accounting and other acquisition-related costs</w:t>
            </w:r>
          </w:p>
        </w:tc>
        <w:tc>
          <w:tcPr>
            <w:tcW w:w="1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80" w:type="dxa"/>
            <w:vAlign w:val="bottom"/>
            <w:shd w:val="clear" w:color="auto" w:fill="CFF0FC"/>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12,778</w:t>
            </w:r>
          </w:p>
        </w:tc>
        <w:tc>
          <w:tcPr>
            <w:tcW w:w="8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Loss from discontinued operations for the year ended December 31, 2021 was $12.6 million.</w:t>
      </w:r>
    </w:p>
    <w:p>
      <w:pPr>
        <w:spacing w:after="0" w:line="117" w:lineRule="exact"/>
        <w:rPr>
          <w:sz w:val="20"/>
          <w:szCs w:val="20"/>
          <w:color w:val="auto"/>
        </w:rPr>
      </w:pPr>
    </w:p>
    <w:p>
      <w:pPr>
        <w:ind w:right="2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For the year ended December 31, 2022, the provision for income taxes was $94.1 million, reflecting an effective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25.2%, compared to $67.6 million, reflecting an effective tax rate of 24.5%, for the year ended December 31, 2021.</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compared to the Year Ended December 31, 2020</w:t>
      </w:r>
    </w:p>
    <w:p>
      <w:pPr>
        <w:spacing w:after="0" w:line="14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increased $224.5 million, or 10.7%, to $2,314.4 million for the year ended December 31, 2021 from $2,089.9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2020. Same facility revenue increased by $225.6 million, or 10.9%, for the year ended December 31, 2021 compared to the year ended December 31, 2020, resulting from same facility growth in patient days of 4.3% and an increase in same facility revenue per day of 6.3%. Consistent with the same facility patient day growth in 2020, the growth in same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facility patient days for the year ended December 31, 2021 compared to the year ended December 31, 2020 resulted from the addition of beds to our existing facilities and ongoing demand for our services.</w:t>
      </w:r>
    </w:p>
    <w:p>
      <w:pPr>
        <w:spacing w:after="0" w:line="52"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Salaries, wages and benefits. </w:t>
      </w:r>
      <w:r>
        <w:rPr>
          <w:rFonts w:ascii="Times New Roman" w:cs="Times New Roman" w:eastAsia="Times New Roman" w:hAnsi="Times New Roman"/>
          <w:sz w:val="18"/>
          <w:szCs w:val="18"/>
          <w:color w:val="auto"/>
        </w:rPr>
        <w:t>SWB expense was $1,243.8 million for the year ended December 31, 2021 compared to $1,154.5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2020, an increase of $89.3 million. SWB expense included $37.5 million and $22.5 million of equity-based compensation expense for the years ended December 31, 2021 and 2020, respectively. Excluding equity-based compensation expense, SWB expense was $1,206.3 million, or 52.1% of revenue, for the year ended December 31, 2021, compared to $1,132.0 million, or 54.2% of revenue, for the year ended December 31, 2020. Same facility SWB expense was $1,115.0 million for the year ended December 31, 2021, or 48.5% of revenue, compared to $1,049.0 million for the year ended December 31, 2020, or 50.6% of revenue.</w:t>
      </w:r>
    </w:p>
    <w:p>
      <w:pPr>
        <w:spacing w:after="0" w:line="74" w:lineRule="exact"/>
        <w:rPr>
          <w:sz w:val="20"/>
          <w:szCs w:val="20"/>
          <w:color w:val="auto"/>
        </w:rPr>
      </w:pPr>
    </w:p>
    <w:p>
      <w:pPr>
        <w:ind w:right="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Professional fees were $136.7 million for the year ended December 31, 2021, or 5.9% of revenue, compared to $120.5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2020, or 5.8% of revenue. Same facility professional fees were $123.3 million for the year ended December 31, 2021, or 5.4% of revenue, compared to $108.0 million, for the year ended December 31, 2020, or 5.2% of revenue.</w:t>
      </w:r>
    </w:p>
    <w:p>
      <w:pPr>
        <w:spacing w:after="0" w:line="173" w:lineRule="exact"/>
        <w:rPr>
          <w:sz w:val="20"/>
          <w:szCs w:val="20"/>
          <w:color w:val="auto"/>
        </w:rPr>
      </w:pPr>
    </w:p>
    <w:p>
      <w:pPr>
        <w:ind w:right="24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Supplies. </w:t>
      </w:r>
      <w:r>
        <w:rPr>
          <w:rFonts w:ascii="Times New Roman" w:cs="Times New Roman" w:eastAsia="Times New Roman" w:hAnsi="Times New Roman"/>
          <w:sz w:val="18"/>
          <w:szCs w:val="18"/>
          <w:color w:val="auto"/>
        </w:rPr>
        <w:t>Supplies expense was $90.7 million for the year ended December 31, 2021, or 3.9% of revenue, compared to $87.2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2020, or 4.2% of revenue. Same facility supplies expense was $89.7 million for the year ended December 31, 2021, or 3.9% of revenue, compared to $86.6 million for the year ended December 31, 2020, or 4.2% of revenue.</w:t>
      </w:r>
    </w:p>
    <w:p>
      <w:pPr>
        <w:spacing w:after="0" w:line="173" w:lineRule="exact"/>
        <w:rPr>
          <w:sz w:val="20"/>
          <w:szCs w:val="20"/>
          <w:color w:val="auto"/>
        </w:rPr>
      </w:pPr>
    </w:p>
    <w:p>
      <w:pPr>
        <w:ind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Rents and leases. </w:t>
      </w:r>
      <w:r>
        <w:rPr>
          <w:rFonts w:ascii="Times New Roman" w:cs="Times New Roman" w:eastAsia="Times New Roman" w:hAnsi="Times New Roman"/>
          <w:sz w:val="18"/>
          <w:szCs w:val="18"/>
          <w:color w:val="auto"/>
        </w:rPr>
        <w:t>Rents and leases were $38.5 million for the year ended December 31, 2021, or 1.7% of revenue, compared to $37.4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2020, or 1.8% of revenue. Same facility rents and leases were $34.5 million for the year ended December 31, 2021, or 1.5% of revenue, compared to $34.1 million for the year ended December 31, 2020, or 1.6% of revenue.</w:t>
      </w:r>
    </w:p>
    <w:p>
      <w:pPr>
        <w:spacing w:after="0" w:line="173"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Other operating expenses consisted primarily of purchased services, utilities, insurance, travel and repairs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expenses. Other operating expenses were $301.3 million for the year ended December 31, 2021, or 13.0% of revenue, compared to $262.3 million for the year ended December 31, 2020, or 12.5% of revenue. Same facility other operating expenses were $286.2 million for the year ended December 31, 2021, or 12.4% of revenue, compared to $256.0 million for the year ended December 31, 2020, or 12.3% of revenue.</w:t>
      </w:r>
    </w:p>
    <w:p>
      <w:pPr>
        <w:spacing w:after="0" w:line="180"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from provider relief fund. </w:t>
      </w:r>
      <w:r>
        <w:rPr>
          <w:rFonts w:ascii="Times New Roman" w:cs="Times New Roman" w:eastAsia="Times New Roman" w:hAnsi="Times New Roman"/>
          <w:sz w:val="18"/>
          <w:szCs w:val="18"/>
          <w:color w:val="auto"/>
        </w:rPr>
        <w:t>For the year ended December 31, 2021, we recorded $17.9 million of income from provider relief fund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PHSSE Fund funds received in 2021 and 2020. For the year ended December 31, 2020, we recorded $32.8 million of income from provider relief fund related to $34.9 million of PHSSE Fund funds received from April through December 2020. Our recognition of this income in the fourth quarter of 2020 was based on revised guidance in the CAA enacted in December 2020.</w:t>
      </w:r>
    </w:p>
    <w:p>
      <w:pPr>
        <w:spacing w:after="0" w:line="180" w:lineRule="exact"/>
        <w:rPr>
          <w:sz w:val="20"/>
          <w:szCs w:val="20"/>
          <w:color w:val="auto"/>
        </w:rPr>
      </w:pPr>
    </w:p>
    <w:p>
      <w:pPr>
        <w:ind w:right="46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$106.7 million for the year ended December 31, 2021, or 4.6%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compared to $95.3 million for the year ended December 31, 2020, or 4.6% of revenue.</w:t>
      </w:r>
    </w:p>
    <w:p>
      <w:pPr>
        <w:spacing w:after="0" w:line="158" w:lineRule="exact"/>
        <w:rPr>
          <w:sz w:val="20"/>
          <w:szCs w:val="20"/>
          <w:color w:val="auto"/>
        </w:rPr>
      </w:pPr>
    </w:p>
    <w:p>
      <w:pPr>
        <w:ind w:right="30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$77.0 million for the year ended December 31, 2021 compared to $158.1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The decrease in interest expense was primarily the result of a significant reduction to outstanding debt in connection with the U.K. Sale.</w:t>
      </w:r>
    </w:p>
    <w:p>
      <w:pPr>
        <w:spacing w:after="0" w:line="17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Debt extinguishment costs. </w:t>
      </w:r>
      <w:r>
        <w:rPr>
          <w:rFonts w:ascii="Times New Roman" w:cs="Times New Roman" w:eastAsia="Times New Roman" w:hAnsi="Times New Roman"/>
          <w:sz w:val="18"/>
          <w:szCs w:val="18"/>
          <w:color w:val="auto"/>
        </w:rPr>
        <w:t>Debt extinguishment costs were $24.7 million for the year ended December 31, 2021 and represented $6.3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charges and $18.4 million of non-cash charges in connection with the redemption of the 5.625% Senior Notes and the 6.500% Senior Notes and the termination of the Prior Credit Facility. Debt extinguishment costs were $7.2 million for the year ended December 31, 2020 and represented $1.4 million of cash charges and $5.8 million of non-cash charges recorded in connection with the redemption of the 6.125% Senior Notes and the 5.125% Senior Notes, the issuance of the 5.000% Senior Notes and the Fourth Repricing Facilities Amendment.</w:t>
      </w:r>
    </w:p>
    <w:p>
      <w:pPr>
        <w:spacing w:after="0" w:line="183"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on impairment. </w:t>
      </w:r>
      <w:r>
        <w:rPr>
          <w:rFonts w:ascii="Times New Roman" w:cs="Times New Roman" w:eastAsia="Times New Roman" w:hAnsi="Times New Roman"/>
          <w:sz w:val="18"/>
          <w:szCs w:val="18"/>
          <w:color w:val="auto"/>
        </w:rPr>
        <w:t>Loss on impairment was $24.3 million for the year ended December 31, 2021. During the second quarter of 2021, we opened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260-bed replacement facility in Pennsylvania and recorded a non-cash property impairment charge of $23.2 million for the existing facility. Additionally, during the third quarter of 2021, we recorded a $1.1 million non-cash property impairment charge for one facility in Louisiana resulting from hurricane damage. Loss on impairment of $4.8 million for the year end December</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31, 2020 represents a non-cash long-lived asset impairment charge of $4.2 million and $0.6 million related to indefinite-lived asset impairment related to closed facilities in the U.S.</w:t>
      </w:r>
    </w:p>
    <w:p>
      <w:pPr>
        <w:spacing w:after="0" w:line="160" w:lineRule="exact"/>
        <w:rPr>
          <w:sz w:val="20"/>
          <w:szCs w:val="20"/>
          <w:color w:val="auto"/>
        </w:rPr>
      </w:pPr>
    </w:p>
    <w:p>
      <w:pPr>
        <w:ind w:right="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Transaction-related expenses. </w:t>
      </w:r>
      <w:r>
        <w:rPr>
          <w:rFonts w:ascii="Times New Roman" w:cs="Times New Roman" w:eastAsia="Times New Roman" w:hAnsi="Times New Roman"/>
          <w:sz w:val="18"/>
          <w:szCs w:val="18"/>
          <w:color w:val="auto"/>
        </w:rPr>
        <w:t>Transaction-related expenses were $12.8 million for the year ended December 31, 2021 compared to $11.7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2020. Transaction-related expenses represent legal, accounting, termination, restructuring, strategic review and other similar costs incurred in the respective periods, as summarized below (in thousands):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49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accounting and other acquisition-related costs</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80" w:type="dxa"/>
            <w:vAlign w:val="bottom"/>
            <w:shd w:val="clear" w:color="auto" w:fill="CFF0FC"/>
          </w:tcPr>
          <w:p>
            <w:pPr>
              <w:spacing w:after="0"/>
              <w:rPr>
                <w:sz w:val="19"/>
                <w:szCs w:val="19"/>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Termination and restructuring costs</w:t>
            </w:r>
          </w:p>
        </w:tc>
        <w:tc>
          <w:tcPr>
            <w:tcW w:w="1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8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12,778</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6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Loss from discontinued operations for the year ended December 31, 2021 was $12.6 million compared to loss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discontinued operations of $812.4 million for the year ended December 31, 2020. The year ended December 31, 2020 included a loss on sale of $867.3 million related to the U.K. operations and a non-cash long-lived asset impairment charge of $20.2 million related to the decision to close certain U.K. elderly care facilities.</w:t>
      </w:r>
    </w:p>
    <w:p>
      <w:pPr>
        <w:spacing w:after="0" w:line="72"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For the year ended December 31, 2021, the provision for income taxes was $67.6 million, reflecting an effective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24.5%, compared to $40.6 million, reflecting an effective tax rate of 22.1%, for the year ended December 31, 2020. The increase in the effective tax rate for the year ended December 31, 2021 was primarily attributable to our recognition of a deferred tax liability as a result of a change in our previous permanent reinvestment assertion and non-recurring impacts of U.S. and U.K. tax legislation enacted in 2020.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Cash provided by continuing operating activities for the year ended December 31, 2022 was $380.6 million compared to $374.2 million for the year ended December 31, 2021. Operating cash flows for the year ended December 31, 2022 included net government relief funds paid of approximately $39.1 million, which consisted of $19.4 million of payroll tax deferral payments and repayment of $20.1 million of Medicare advance payments offset by net receipts of $0.4 million of provider relief fund payments. Operating cash flows were impacted by an increase in earnings, a reduction in cash paid for interest and an increase in tax payments during the year ended December 31, 2022. Operating cash flows for the year ended December 31, 2021 included government relief funds paid of approximately $38.1 million, which consisted of $19.4 million of payroll tax deferral payments and repayment of $25.1 million of Medicare advance payments, offset by net receipts of $6.4 million of provider relief fund payments. Days sales outstanding at December 31, 2022 was 44 compared to 42 at December 31, 2021.</w:t>
      </w:r>
    </w:p>
    <w:p>
      <w:pPr>
        <w:spacing w:after="0" w:line="19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Cash used in continuing investing activities for the year ended December 31, 2022 was $305.8 million compared to cash provided by continuing investing activities of $1,013.1 million for the year ended December 31, 2021. Cash used in continuing investing activities for the year ended December 31, 2022 primarily consisted of payments of $296.1 million of cash paid for capital expenditures, $9.5 million of cash paid for acquisitions and $7.2 million of cash paid for other, offset by proceeds from the sale of property and equipment of $7.1 million. Cash paid for capital expenditures for the year ended December 31, 2022 was $296.1 million, consisting of routine or maintenance capital expenditures of $60.5 million and expansion capital expenditures of $235.6 million. We define expansion capital expenditures as those that increase the capacity of our facilities or otherwise enhance revenue. Routine or maintenance capital expenditures, including information technology capital expenditures, were approximately 2% of revenue for the year ended December 31, 2022. Cash provided by continuing investing activities for the year ended December 31, 2021 primarily consisted of proceeds from the U.K. Sale of $1,511.0 million, proceeds from the sale of property and equipment of $3.5 million offset by $244.8 million of cash paid for capital expenditures, $139.0 million of cash paid for acquisitions, $84.8 million of settlement of foreign currency derivatives, $31.4 million of cash paid for purchase of finance lease and $1.4 million of cash paid for other. Cash paid for capital expenditures for the year ended December 31, 2021 was $244.8 million, consisting of routine or maintenance capital expenditures of $41.8 million and expansion capital expenditures of $203.0 million.</w:t>
      </w:r>
    </w:p>
    <w:p>
      <w:pPr>
        <w:spacing w:after="0" w:line="190"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Cash used in continuing financing activities for the year ended December 31, 2022 was $110.9 million compared to $1,636.5 million for the year ended December 31, 2021. Cash used in continuing financing activities for the year ended December 31, 2022 primarily consisted of principal payments on revolving credit facility of $95.0 million, principal payments on long-term debt of $18.6 million, repurchase of shares for payroll tax witholdings, net of proceeds from stock option exercises of $6.2 million, acquisition of ownership interests from noncontrolling partners of $5.5 million and distributions to noncontrolling partners in joint ventures of $1.0 million, offset by contributions from noncontrolling partners in joint ventures of $15.4 million and other of $0.1 million. Cash</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used in continuing financing activities for the year ended December 31, 2021 primarily consisted of repayment of long-term debt of $2,227.9 million, principal payments on revolving credit facility of $330.0 million, principal payments on long-term debt of $8.0 million, payment of debt issuance costs of $8.0 million, other of $6.9 million and distributions to noncontrolling partners in joint ventures of $1.6 million, offset by borrowing on long-term debt of $425.0 million, borrowings on revolving credit facility of $500.0 million, repurchase of shares for payroll tax withholdings, net of proceeds from stock option exercises of $16.3 million and contributions from noncontrolling partners in joint ventures of $4.5 million.</w:t>
      </w:r>
    </w:p>
    <w:p>
      <w:pPr>
        <w:spacing w:after="0" w:line="183"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We had total available cash and cash equivalents of $97.6 million, $133.8 million and $378.7 million at December 31, 2022, 2021 and 2020, respectively, of which approximately $3.7 million, $20.1 million and $17.0 million was held by our foreign subsidiaries, respectively. Our strategic plan does not require the repatriation of foreign cash in order to fund our operations in the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Credit Facility</w:t>
      </w:r>
    </w:p>
    <w:p>
      <w:pPr>
        <w:spacing w:after="0" w:line="121"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We entered into a credit agreement establishing the New Credit Facility on March 17, 2021. The New Credit Facility provides for a $600.0 million Revolving Facility and a $425.0 million Term Loan Facility with each maturing on March 17, 2026 unless extended in accordance with the terms of the New Credit Facility. The Revolving Facility further provides for (i) up to $20.0 million to be utilized for the issuance of letters of credit and (ii) the availability of a swingline facility under which we may borrow up to $20.0 million.</w:t>
      </w:r>
    </w:p>
    <w:p>
      <w:pPr>
        <w:spacing w:after="0" w:line="72"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As a part of the closing of the New Credit Facility on March 17, 2021, we (i) refinanced and terminated the Prior Credit Facility and (ii) financed the redemption of all of the outstanding 5.625% Senior Notes.</w:t>
      </w:r>
    </w:p>
    <w:p>
      <w:pPr>
        <w:spacing w:after="0" w:line="54"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We had $521.6 million of availability under the Revolving Facility and had standby letters of credit outstanding of $3.4 million related to security for the payment of claims required by our workers’ compensation insurance program at December 31, 2022.</w:t>
      </w:r>
    </w:p>
    <w:p>
      <w:pPr>
        <w:spacing w:after="0" w:line="54"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During the third quarter of 2021, we repaid $60.0 million of the initial $160.0 million balance outstanding on the Revolving Facility. During the fourth quarter of 2021, we had a draw of $70.0 million on the Revolving Facility related to the CenterPointe acquisition. During the year ended December 31, 2022, we repaid $95.0 million of the balance outstanding on the Revolving Facility.</w:t>
      </w:r>
    </w:p>
    <w:p>
      <w:pPr>
        <w:spacing w:after="0" w:line="68"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The New Credit Facility requires quarterly principal repayments for the Term Loan Facility of $5.3 million for March 31, 2023 to March 31, 2024, $8.0 million for June 30, 2024 to March 31, 2025, $10.6 million for June 30, 2025 to December 31, 2025, with the remaining principal balance of the Term Loan Facility due on the maturity date of March 17, 2026.</w:t>
      </w:r>
    </w:p>
    <w:p>
      <w:pPr>
        <w:spacing w:after="0" w:line="6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have the ability to increase the amount of the Senior Facilities, which may take the form of increases to the Revolving Facility or the Term Loan Facility or the issuance of one or more incremental term loan facilities (collectively, the “Incremental Facilities”), upon obtaining additional commitments from new or existing lenders and the satisfaction of customary conditions precedent for such Incremental Facilities. Such Incremental Facilities may not exceed the sum of (i) the greater of $480.0 million and an amount equal to 100% of the Consolidated EBITDA (as defined in the New Credit Facility) of the Company and its Restricted Subsidiaries (as defined in the New Credit Facility) (as determined for the four fiscal quarter period most recently ended for which financial statements are available), and (ii) additional amounts so long as, after giving effect thereto, the Consolidated Senior Secured Net Leverage Ratio (as defined in the New Credit Facility) does not exceed 3.5 to 1.0.</w:t>
      </w:r>
    </w:p>
    <w:p>
      <w:pPr>
        <w:spacing w:after="0" w:line="8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Subject to certain exceptions, substantially all of our existing and subsequently acquired or organized direct or indirect wholly-owned U.S. subsidiaries are required to guarantee the repayment of our obligations under the New Credit Facility. Borrowings under the Senior Facilities bear interest at a floating rate, which will initially be, at our option, either (i) adjusted LIBOR plus 1.375% or (ii) an alternative base rate plus 0.375% (in each case, subject to adjustment based on the Company’s consolidated total net leverage ratio). An unused fee initially set at 0.20% per annum (subject to adjustment based on the Company’s consolidated total net leverage ratio) is payable quarterly in arrears based on the actual daily undrawn portion of the commitments in respect of the Revolving Facility.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rates and the unused line fee on unused commitments related to the Senior Facilities are based upon the following pricing tiers: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 Tier</w:t>
            </w:r>
          </w:p>
        </w:tc>
        <w:tc>
          <w:tcPr>
            <w:tcW w:w="2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Eurodollar</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Base Rate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040" w:type="dxa"/>
            <w:vAlign w:val="bottom"/>
            <w:tcBorders>
              <w:bottom w:val="single" w:sz="8" w:color="CFF0FC"/>
            </w:tcBorders>
            <w:vMerge w:val="continue"/>
          </w:tcPr>
          <w:p>
            <w:pPr>
              <w:spacing w:after="0"/>
              <w:rPr>
                <w:sz w:val="15"/>
                <w:szCs w:val="15"/>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12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Rate Loans</w:t>
            </w:r>
          </w:p>
        </w:tc>
        <w:tc>
          <w:tcPr>
            <w:tcW w:w="30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300" w:type="dxa"/>
            <w:vAlign w:val="bottom"/>
            <w:tcBorders>
              <w:bottom w:val="single" w:sz="8" w:color="CFF0FC"/>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w:t>
            </w:r>
          </w:p>
        </w:tc>
        <w:tc>
          <w:tcPr>
            <w:tcW w:w="2540" w:type="dxa"/>
            <w:vAlign w:val="bottom"/>
            <w:shd w:val="clear" w:color="auto" w:fill="CFF0FC"/>
          </w:tcPr>
          <w:p>
            <w:pPr>
              <w:jc w:val="center"/>
              <w:spacing w:after="0"/>
              <w:rPr>
                <w:sz w:val="20"/>
                <w:szCs w:val="20"/>
                <w:color w:val="auto"/>
              </w:rPr>
            </w:pPr>
            <w:r>
              <w:rPr>
                <w:rFonts w:ascii="Calibri" w:cs="Calibri" w:eastAsia="Calibri" w:hAnsi="Calibri"/>
                <w:sz w:val="18"/>
                <w:szCs w:val="18"/>
                <w:color w:val="auto"/>
                <w:w w:val="99"/>
              </w:rPr>
              <w:t xml:space="preserve">≥ </w:t>
            </w:r>
            <w:r>
              <w:rPr>
                <w:rFonts w:ascii="Times New Roman" w:cs="Times New Roman" w:eastAsia="Times New Roman" w:hAnsi="Times New Roman"/>
                <w:sz w:val="18"/>
                <w:szCs w:val="18"/>
                <w:color w:val="auto"/>
                <w:w w:val="99"/>
              </w:rPr>
              <w:t>4.50:1.0</w:t>
            </w:r>
          </w:p>
        </w:tc>
        <w:tc>
          <w:tcPr>
            <w:tcW w:w="1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2.250%</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1.250%</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0.350%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 xml:space="preserve">&lt;4.50:1.0 but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3.75:1.0</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w:t>
            </w:r>
          </w:p>
        </w:tc>
        <w:tc>
          <w:tcPr>
            <w:tcW w:w="26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&lt;3.75:1.0 but ≥ 3.00:1.0</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1.750%</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0.750%</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0.250%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&lt;3.00:1.0 but ≥ 2.25:1.0</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0.500%</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w:t>
            </w:r>
          </w:p>
        </w:tc>
        <w:tc>
          <w:tcPr>
            <w:tcW w:w="2540" w:type="dxa"/>
            <w:vAlign w:val="bottom"/>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rPr>
              <w:t>&lt;2.25:1.0</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1.375%</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0.375%</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5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54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The New Credit Facility contains customary representations and affirmative and negative covenants, including limitations on the Company’s and its subsidiaries’ ability to incur additional debt, grant or permit additional liens, make investments and acquisitions, merge or consolidate with others, dispose of assets, pay dividends and distributions, pay junior indebtedness and enter into affiliate transactions, in each case, subject to customary exceptions. In addition, the New Credit Facility contains financial covenants requiring the Company on a consolidated basis to maintain, as of the last day of any consecutive four fiscal quarter period, a consolidated total net leverage ratio of not more than 5.0 to 1.0 and an interest coverage ratio of at least 3.0 to 1.0. The New Credit Facility also includes events of default customary for facilities of this type and upon the occurrence of such events of default, among other things, all outstanding loans under the Senior Facilities may be accelerated and/or the lenders’ commitments terminated. At December 31, 2022, the Company was in compliance with such covenants.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Credit Facility</w:t>
      </w:r>
    </w:p>
    <w:p>
      <w:pPr>
        <w:spacing w:after="0" w:line="121" w:lineRule="exact"/>
        <w:rPr>
          <w:sz w:val="20"/>
          <w:szCs w:val="20"/>
          <w:color w:val="auto"/>
        </w:rPr>
      </w:pPr>
    </w:p>
    <w:p>
      <w:pPr>
        <w:ind w:right="500" w:firstLine="510"/>
        <w:spacing w:after="0" w:line="266" w:lineRule="auto"/>
        <w:rPr>
          <w:sz w:val="20"/>
          <w:szCs w:val="20"/>
          <w:color w:val="auto"/>
        </w:rPr>
      </w:pPr>
      <w:r>
        <w:rPr>
          <w:rFonts w:ascii="Times New Roman" w:cs="Times New Roman" w:eastAsia="Times New Roman" w:hAnsi="Times New Roman"/>
          <w:sz w:val="18"/>
          <w:szCs w:val="18"/>
          <w:color w:val="auto"/>
        </w:rPr>
        <w:t>We entered into a credit agreement establishing a senior secured credit facility (the “Senior Secured Credit Facility”) on April 1, 2011. On December 31, 2012, we entered into an amended and restated credit agreement establishing the Prior Credit Facility, which amended and restated the Senior Secured Credit Facility. We amended the Prior Credit Facility from time to time as described in our prior filings with the SEC.</w:t>
      </w:r>
    </w:p>
    <w:p>
      <w:pPr>
        <w:spacing w:after="0" w:line="68"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On April 21, 2020, we entered into the Thirteenth Amendment to the Prior Credit Facility. The Thirteenth Amendment amended the Consolidated Leverage Ratio in the prior covenant to increase such leverage ratio for the rest of 2020.</w:t>
      </w:r>
    </w:p>
    <w:p>
      <w:pPr>
        <w:spacing w:after="0" w:line="54"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On November 13, 2020, we entered into the Fourth Repricing Facilities Amendment to the Prior Credit Facility. The Fourth Repricing Facilities Amendment extended the maturity date of each of the prior revolving line of credit and the TLA Facility from November 30, 2021 to November 30, 2022. The Fourth Repricing Facilities Amendment also (1) replaced the revolving line of credit in an aggregate committed amount of $500.0 million with an aggregate committed amount of approximately $459.0 million and (2) replaced the TLA Facility aggregate outstanding principal amount of approximately $352.4 million with an aggregate principal amount of approximately $318.9 million. The interest rate margin applicable to both facilities remained unchanged from the prior facilities, and the commitment fee applicable to the new revolving line of credit also remained unchanged from the prior revolving line of credit. In connection with the Fourth Repricing Facilities Amendment, we recorded a debt extinguishment charge of $1.0 million, including the write-off of discount and deferred financing costs, which was recorded in debt extinguishment costs in the consolidated statement of operations at December 31, 2020.</w:t>
      </w:r>
    </w:p>
    <w:p>
      <w:pPr>
        <w:spacing w:after="0" w:line="80"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On January 5, 2021, we made a voluntary payment of $105.0 million on the Tranche B-4 Facility. On January 19, 2021, we used a portion of the net proceeds from the U.K. Sale to repay the outstanding balances of $311.7 million of the TLA Facility and $767.9 million of the Tranche B-4 Facility. As a part of the closing of the New Credit Facility on March 17, 2021, we refinanced and terminated the Prior Credit Facility. At March 31, 2021, in connection with the termination of the Prior Credit Facility, we recorded a debt extinguishment charge of $10.9 million, including the write-off of discount and deferred financing costs, which was recorded in debt extinguishment costs in the consolidated statement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5.500% Senior Notes due 2028</w:t>
      </w:r>
    </w:p>
    <w:p>
      <w:pPr>
        <w:spacing w:after="0" w:line="121" w:lineRule="exact"/>
        <w:rPr>
          <w:sz w:val="20"/>
          <w:szCs w:val="20"/>
          <w:color w:val="auto"/>
        </w:rPr>
      </w:pPr>
    </w:p>
    <w:p>
      <w:pPr>
        <w:ind w:right="500" w:firstLine="510"/>
        <w:spacing w:after="0" w:line="282" w:lineRule="auto"/>
        <w:rPr>
          <w:sz w:val="20"/>
          <w:szCs w:val="20"/>
          <w:color w:val="auto"/>
        </w:rPr>
      </w:pPr>
      <w:r>
        <w:rPr>
          <w:rFonts w:ascii="Times New Roman" w:cs="Times New Roman" w:eastAsia="Times New Roman" w:hAnsi="Times New Roman"/>
          <w:sz w:val="18"/>
          <w:szCs w:val="18"/>
          <w:color w:val="auto"/>
        </w:rPr>
        <w:t>On June 24, 2020, we issued $450.0 million of the 5.500% Senior Notes due 2028. The 5.500% Senior Notes mature on July 1, 2028 and bear interest at a rate of 5.500% per annum, payable semi-annually in arrears on January 1 and July 1 of each year, commencing on January 1, 2021.</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5.000% Senior Notes due 2029</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On October 14, 2020, we issued $475.0 million of the 5.000% Senior Notes. The 5.000% Senior Notes mature on April 15, 2029 and bear interest at a rate of 5.000% per annum, payable semi-annually in arrears on April 15 and October 15 of each year, commencing on April 15, 2021. We used the net proceeds of the 5.000% Senior Notes to prepay approximately $453.3 million of the outstanding borrowings on the Tranche B-3 Facility and used the remaining net proceeds for general corporate purposes and to pay related fees and expenses in connection with the offering. In connection with the 5.000% Senior Notes, we recorded a debt extinguishment charge of $2.9 million, including the write-off of discount and deferred financing costs of the Tranche B-3 Facility, which was recorded in debt extinguishment costs in the consolidated statement of operations for the year ended December 31, 2020.</w:t>
      </w:r>
    </w:p>
    <w:p>
      <w:pPr>
        <w:spacing w:after="0" w:line="7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indentures governing the Senior Notes contain covenants that, among other things, limit our ability and the ability of our restricted subsidiaries to: (i) pay dividends, redeem stock or make other distributions or investments; (ii) incur additional debt or issue certain preferred stock; (iii) transfer or sell assets; (iv) engage in certain transactions with affiliates; (v) create restrictions on dividends or other payments by the restricted subsidiaries; (vi) merge, consolidate or sell substantially all of our assets; and (vii) create liens on assets.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right="620" w:firstLine="510"/>
        <w:spacing w:after="0" w:line="282" w:lineRule="auto"/>
        <w:rPr>
          <w:sz w:val="20"/>
          <w:szCs w:val="20"/>
          <w:color w:val="auto"/>
        </w:rPr>
      </w:pPr>
      <w:r>
        <w:rPr>
          <w:rFonts w:ascii="Times New Roman" w:cs="Times New Roman" w:eastAsia="Times New Roman" w:hAnsi="Times New Roman"/>
          <w:sz w:val="18"/>
          <w:szCs w:val="18"/>
          <w:color w:val="auto"/>
        </w:rPr>
        <w:t>The Senior Notes issued by us are guaranteed by each of our subsidiaries that guaranteed our obligations under the New Credit Facility. The guarantees are full and unconditional and joint and several.</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may redeem the Senior Notes at our option, in whole or part, at the dates and amounts set forth in the indentures.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5.625% Senior Notes due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February 11, 2015, we issued $375.0 million of the 5.625% Senior Notes. On September 21, 2015, we issued $275.0 million of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5.625% Senior Notes. The additional notes formed a single class of debt securities with the 5.625% Senior Notes issued in February 2015. Giving effect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issuance, we had outstanding an aggregate of $650.0 million of the 5.625% Senior Notes. The 5.625% Senior Notes were to mature on February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bear interest at a rate of 5.625% per annum, payable semi-annually in arrears on February 15 and August 15 of each year. On March 17, 2021,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redeemed the 5.625% Senior Notes.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6.500% Senior Notes due 2024</w:t>
      </w:r>
    </w:p>
    <w:p>
      <w:pPr>
        <w:spacing w:after="0" w:line="121"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On February 16, 2016, we issued $390.0 million of the 6.500% Senior Notes. The 6.500% Senior Notes were to mature on March 1, 2024 and bear interest at a rate of 6.500% per annum, payable semi-annually in arrears on March 1 and September 1 of each year, beginning on September 1, 2016. On March 1, 2021, we redeemed the 6.500% Senior Notes.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5.625% Senior Notes and 6.500% Senior Notes</w:t>
      </w:r>
    </w:p>
    <w:p>
      <w:pPr>
        <w:spacing w:after="0" w:line="121"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On January 29, 2021, we issued conditional notices of full redemption providing for the redemption in full of $650 million of the 5.625% Senior Notes and $390 million of the 6.500% Senior Notes to the holders of such notes.</w:t>
      </w:r>
    </w:p>
    <w:p>
      <w:pPr>
        <w:spacing w:after="0" w:line="54"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On March 1, 2021, we satisfied and discharged the indentures governing the 6.500% Senior Notes. In connection with the redemption of the 6.500% Senior Notes, we recorded debt extinguishment costs of $10.5 million, including $6.3 million cash paid for breakage costs and the write-off of deferred financing costs of $4.2 million in the consolidated statement of operations.</w:t>
      </w:r>
    </w:p>
    <w:p>
      <w:pPr>
        <w:spacing w:after="0" w:line="68" w:lineRule="exact"/>
        <w:rPr>
          <w:sz w:val="20"/>
          <w:szCs w:val="20"/>
          <w:color w:val="auto"/>
        </w:rPr>
      </w:pPr>
    </w:p>
    <w:p>
      <w:pPr>
        <w:jc w:val="both"/>
        <w:ind w:right="460" w:firstLine="510"/>
        <w:spacing w:after="0" w:line="266" w:lineRule="auto"/>
        <w:rPr>
          <w:sz w:val="20"/>
          <w:szCs w:val="20"/>
          <w:color w:val="auto"/>
        </w:rPr>
      </w:pPr>
      <w:r>
        <w:rPr>
          <w:rFonts w:ascii="Times New Roman" w:cs="Times New Roman" w:eastAsia="Times New Roman" w:hAnsi="Times New Roman"/>
          <w:sz w:val="18"/>
          <w:szCs w:val="18"/>
          <w:color w:val="auto"/>
        </w:rPr>
        <w:t>On March 17, 2021, we satisfied and discharged the indentures governing the 5.625% Senior Notes. In connection with the redemption of the 5.625% Senior Notes, we recorded debt extinguishment costs of $3.3 million, including the write-off of deferred financing and premiums costs in the consolidated statement of operations.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6.125% Senior Notes due 2021</w:t>
      </w:r>
    </w:p>
    <w:p>
      <w:pPr>
        <w:spacing w:after="0" w:line="121"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On March 12, 2013, we issued $150.0 million of the 6.125% Senior Notes. The 6.125% Senior Notes were to mature on March 15, 2021 and bear interest at a rate of 6.125% per annum, payable semi-annually in arrears on March 15 and September 15 of each year. On June 24, 2020, we redeemed the 6.125% Senior Notes.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5.125% Senior Notes due 2022</w:t>
      </w:r>
    </w:p>
    <w:p>
      <w:pPr>
        <w:spacing w:after="0" w:line="121" w:lineRule="exact"/>
        <w:rPr>
          <w:sz w:val="20"/>
          <w:szCs w:val="20"/>
          <w:color w:val="auto"/>
        </w:rPr>
      </w:pPr>
    </w:p>
    <w:p>
      <w:pPr>
        <w:jc w:val="both"/>
        <w:ind w:right="160" w:firstLine="510"/>
        <w:spacing w:after="0" w:line="266" w:lineRule="auto"/>
        <w:rPr>
          <w:sz w:val="20"/>
          <w:szCs w:val="20"/>
          <w:color w:val="auto"/>
        </w:rPr>
      </w:pPr>
      <w:r>
        <w:rPr>
          <w:rFonts w:ascii="Times New Roman" w:cs="Times New Roman" w:eastAsia="Times New Roman" w:hAnsi="Times New Roman"/>
          <w:sz w:val="18"/>
          <w:szCs w:val="18"/>
          <w:color w:val="auto"/>
        </w:rPr>
        <w:t>On July 1, 2014, we issued $300.0 million of the 5.125% Senior Notes. The 5.125% Senior Notes were to mature on July 1, 2022 and bear interest at a rate of 5.125% per annum, payable semi-annually in arrears on January 1 and July 1 of each year. On June 24, 2020, we redeemed the 5.125% Senior Notes.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6.125% Senior Notes and 5.125% Senior Notes</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On June 10, 2020, we issued conditional notices of full redemption providing for the redemption in full of the 6.125% Senior Notes and the 5.125% Senior Notes on the Redemption Date, in each case at the Redemption Price. On June 24, 2020, we satisfied and discharged the indentures governing the</w:t>
      </w:r>
    </w:p>
    <w:p>
      <w:pPr>
        <w:ind w:right="120"/>
        <w:spacing w:after="0" w:line="250" w:lineRule="auto"/>
        <w:rPr>
          <w:sz w:val="20"/>
          <w:szCs w:val="20"/>
          <w:color w:val="auto"/>
        </w:rPr>
      </w:pPr>
      <w:r>
        <w:rPr>
          <w:rFonts w:ascii="Times New Roman" w:cs="Times New Roman" w:eastAsia="Times New Roman" w:hAnsi="Times New Roman"/>
          <w:sz w:val="18"/>
          <w:szCs w:val="18"/>
          <w:color w:val="auto"/>
        </w:rPr>
        <w:t>6.125% Senior Notes and the 5.125% Senior Notes by irrevocably depositing with a trustee sufficient funds equal to the Redemption Price for the 6.125% Senior Notes and the 5.125% Senior Notes and otherwise complying with the terms in the indentures relating to the satisfaction and discharge of the</w:t>
      </w:r>
    </w:p>
    <w:p>
      <w:pPr>
        <w:spacing w:after="0" w:line="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6.125% Senior Notes and the 5.125% Senior Notes. In connection with the redemption of the 6.125% Senior Notes and the 5.125% Senior Notes, we recorded a debt extinguishment charge of $3.3 million, including the write-off of the deferred financing and other costs in the consolidated statement of operations for the year ended December 31, 2020.</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debt</w:t>
      </w:r>
    </w:p>
    <w:p>
      <w:pPr>
        <w:spacing w:after="0" w:line="121" w:lineRule="exact"/>
        <w:rPr>
          <w:sz w:val="20"/>
          <w:szCs w:val="20"/>
          <w:color w:val="auto"/>
        </w:rPr>
      </w:pPr>
    </w:p>
    <w:p>
      <w:pPr>
        <w:ind w:right="780" w:firstLine="51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we repaid other long-term debt of $3.3 million, which is reflected in financing activities in the consolidated statement of cash flows.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contractual obligations (dollars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11"/>
                <w:szCs w:val="11"/>
                <w:color w:val="auto"/>
              </w:rPr>
            </w:pPr>
          </w:p>
        </w:tc>
        <w:tc>
          <w:tcPr>
            <w:tcW w:w="8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(a)</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97,302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216,197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481,468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973,000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1,767,967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(b)</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obligations and commitments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131,110</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273,007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515,368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1,057,474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9030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59" w:lineRule="exact"/>
        <w:rPr>
          <w:sz w:val="20"/>
          <w:szCs w:val="20"/>
          <w:color w:val="auto"/>
        </w:rPr>
      </w:pPr>
    </w:p>
    <w:p>
      <w:pPr>
        <w:ind w:left="500" w:right="100" w:hanging="492"/>
        <w:spacing w:after="0" w:line="261"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required principal and interest payments. The projected interest payments reflect interest rates in place on our variable-rate debt at December 31, 2022.</w:t>
      </w: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exclude variable components of lease payments.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At December 31, 2022, we had standby letters of credit outstanding of $3.4 million related to security for the payment of claims as required by our workers’ compensation insurance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interest expense is sensitive to changes in market interest rates. Our long-term debt outstanding at December 31, 2022 was composed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$914.3 million of fixed-rate debt and $450.2 million of variable-rate debt with interest based on LIBOR plus an applicable margin. Based on our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at December 31, 2022, a hypothetical 1% increase in interest rates would decrease our pretax income on an annual basis by approximately $4.5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99"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We expect our variable-rate debt to transition from LIBOR plus an appliable margin to the Secured Overnight Financing Rate (“SOFR”) during 2023. SOFR was chosen as the recommended risk-free reference rate by the Alternative Reference Rates Committee and is a broad measure of the cost of borrowing cash overnight collateralized by U.S. Treasury securities. The Federal Reserve Bank of New York started to publish SOFR in April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U.S. In preparing our financial statements, we are required to make estimates and assumptions that affect the reported amounts of assets, liabilities, revenue, and expenses included in the financial statements. Estimates are based on historical experience and other available information, the results of which form the basis of such estimates. While management believes our estimation processes are reasonable, actual results could differ from our estimates. The following accounting policies are considered critical to the portrayal of our financial condition and operating performance and involve highly subjective and complex assumptions and assessments:</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Revenue and Accounts Receivable</w:t>
      </w:r>
    </w:p>
    <w:p>
      <w:pPr>
        <w:spacing w:after="0" w:line="121"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Our revenue is primarily derived from services rendered to patients for inpatient psychiatric and substance abuse care, outpatient psychiatric care and adolescent residential treatment. We receive payments from the following sources for services rendered in our facilities: (i) state governments under their respective Medicaid and other programs; (ii) commercial insurers; (iii) the federal government under the Medicare program administered by CMS; and (iv) individual patients and clients. We determine the transaction price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on historical collection experience.</w:t>
      </w:r>
    </w:p>
    <w:p>
      <w:pPr>
        <w:spacing w:after="0" w:line="79"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We derive a significant portion of our revenue from Medicare, Medicaid and other payors that receive discounts from established billing rates. The Medicare and Medicaid regulations and various managed care contracts under which these discounts must be calculated are complex, subject to interpretation and adjustment, and may include multiple reimbursement mechanisms for different types of services provided in the Company’s inpatient facilities and cost settlement provisions. Management estimates the transaction price on a payor-specific basis given its interpretation of the applicable regulations or contract terms. The services authorized and provided and related reimbursement are often subject to interpretation that could result in payments that differ from our estimates. Additionally, updated regulations and contract renegotiations occur frequently, necessitating regular review and assessment of the estimation process by management.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Settlements under cost reimbursement agreements with third-party payors are estimated and recorded in the period in which the related services are rendered and are adjusted in future periods as final settlements are determined. Final determination of amounts earned under the Medicare and Medicaid programs often occurs in subsequent years because of audits by such programs, rights of appeal and the application of numerous technical provisions. In the opinion of management, adequate provision has been made for any adjustments and final settlements. However, there can be no assurance that any such adjustments and final settlements will not have a material effect on the Company’s financial condition or results of operations. Our cost report payables were $13.7 million and $6.5 million as of December 31, 2022 and 2021, respectively, and were included in other current liabilities on the consolidated balance sheet. The net adjustments to estimated cost report settlements resulted in an increase to revenue of $0.1 million for the year ended December 31, 2022, compared to decreases to revenue of $5.4 million and $1.3 million for the years ended December 31, 2021 and 2020, respectively.</w:t>
      </w:r>
    </w:p>
    <w:p>
      <w:pPr>
        <w:spacing w:after="0" w:line="192"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by payor type and as a percentage of revenue for continuing operations for the years ended December 31, 2022, 2021 and 2020 (in thousands):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788,895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684,292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596,698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394,227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364,598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330,070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Medicaid</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1,319,600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1,147,884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1,037,852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Self-Pay</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2,610,399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2,314,394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2,089,929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a summary of our aging of accounts receivable at December 31, 2022 and 2021: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0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30-90</w:t>
            </w:r>
          </w:p>
        </w:tc>
        <w:tc>
          <w:tcPr>
            <w:tcW w:w="2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90-150</w:t>
            </w: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&gt;150</w:t>
            </w: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7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6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Medicaid</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31.7%</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Self-Pay</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7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00" w:type="dxa"/>
            <w:vAlign w:val="bottom"/>
            <w:vMerge w:val="continue"/>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62.6%</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7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6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17.2%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441"/>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0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0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30-90</w:t>
            </w:r>
          </w:p>
        </w:tc>
        <w:tc>
          <w:tcPr>
            <w:tcW w:w="280" w:type="dxa"/>
            <w:vAlign w:val="bottom"/>
            <w:tcBorders>
              <w:bottom w:val="single" w:sz="8" w:color="CFF0FC"/>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90-150</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&gt;150</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7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6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Medicaid</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7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Self-Pay</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7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00" w:type="dxa"/>
            <w:vAlign w:val="bottom"/>
            <w:vMerge w:val="continue"/>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61.4%</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7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6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19.0%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are subject to medical malpractice and other lawsuits due to the nature of the services we provide. A portion of our professional liability risks are insured through a wholly-owned insurance subsidiary providing coverage for up to $10.0 million per claim through August 31, 2022 and $5.0 million and $10.0 million for certain other claims thereafter. We have obtained reinsurance coverage from a third party to cover claims in excess of those limits. The reinsurance policy has a coverage limit of $75.0 million or $70.0 million for certain other claims in the aggregate. Our reinsurance receivables are recognized consistent with the related liabilities and include known claims and any incurred but not reported claims that are covered by current insurance policies in place. The reserve for professional and general liability risks was estimated based on historical claims, prior settlements and judgments, demographic factors, industry trends, severity factors, and other actuarial assumptions. The estimated accrual for professional and general liabilities could be significantly affected should current and future occurrences differ from historical claim trends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expectations. While claims are monitored closely when estimating professional and general liability accruals, the complexity of the claims and wide range of potential outcomes often hampers timely adjustments to the assumptions used in these estimates. We recorded an unfavorable adjustment of $5.9 million to our estimated liability for self-insured professional and general liability claims during the year ended December 31, 2022, relating to the settlement or expected settlement of certain prior year claims relating primarily to the 2017 to 2018 period. The professional and general liability reserve was</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$103.6 million at December 31, 2022, of which $12.1 million was included in other accrued liabilities and $91.5 million was included in other long-term liabilities. The professional and general liability reserve was $87.8 million at December 31, 2021, of which $11.9 million was included in other accrued liabilities and $75.9 million was included in other long-term liabilities. We estimate receivables for the portion of professional and general liability reserves that are recoverable under our insurance policies. Such receivable was $37.8 million at December 31, 2022, of which $10.2 million was included in other current assets and $27.6 million was included in other assets, and such receivable was $37.9 million at December 31, 2021, of which $10.8 million was included in other current assets and $27.1 million was included in other assets.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statutory workers’ compensation program is fully insured with a $0.5 million deductible per accident. The workers’ compensation liability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$24.2 million at December 31, 2022, of which $12.0 million was included in accrued salaries and benefits and $12.2 million was included in other long-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liabilities, and such liability was $23.6 million at December 31, 2021, of which $12.0 million was included in accrued salaries and benefits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 million was included in other long-term liabilities. The reserve for workers compensation claims was based upon independent actuarial estimates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amounts that will be paid to claimants. Management believes that adequate provisions have been made for workers’ compensation and professional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general liability risk exposures.</w:t>
      </w:r>
    </w:p>
    <w:p>
      <w:pPr>
        <w:spacing w:after="0" w:line="3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and Other Long-Lived Assets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calculated on the straight-line basis over the estimated useful lives of the assets, which typically range from 10 to 50 years for buildings and improvements, three to seven years for equipment and the shorter of the lease term or estimated useful lives for leasehold improvements. When assets are sold or retired, the corresponding cost and accumulated depreciation are removed from the related accounts and any gain or loss is recorded in the period of sale or retirement. Repair and maintenance costs are expensed as incurred. Depreciation expense was $117.8 million, $106.7 million and $95.3 million for the years ended December 31, 2022, 2021 and 2020, respectively.</w:t>
      </w:r>
    </w:p>
    <w:p>
      <w:pPr>
        <w:spacing w:after="0" w:line="183"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carrying values of long-lived assets are reviewed for possible impairment whenever events, circumstances or operating results indicate that the carrying amount of an asset may not be recoverable. If this review indicates that the asset will not be recoverable, as determined based upon the undiscounted cash flows of the operating asset over the remaining useful life, the carrying value of the asset will be reduced to its estimated fair value. Fair value estimates are based on independent appraisals, market values of comparable assets or internal evaluations of future net cash flows. During the second quarter of 2021, we opened a 260-bed replacement facility in Pennsylvania and recorded a non-cash property impairment charge of $23.2 million for the existing facility. Additionally, during the third quarter of 2021, we recorded a $1.1 million non-cash property impairment charge for one facility in Louisiana resulting from hurricane damage.</w:t>
      </w:r>
    </w:p>
    <w:p>
      <w:pPr>
        <w:spacing w:after="0" w:line="189" w:lineRule="exact"/>
        <w:rPr>
          <w:sz w:val="20"/>
          <w:szCs w:val="20"/>
          <w:color w:val="auto"/>
        </w:rPr>
      </w:pPr>
    </w:p>
    <w:p>
      <w:pPr>
        <w:ind w:right="320" w:firstLine="510"/>
        <w:spacing w:after="0" w:line="261" w:lineRule="auto"/>
        <w:rPr>
          <w:sz w:val="20"/>
          <w:szCs w:val="20"/>
          <w:color w:val="auto"/>
        </w:rPr>
      </w:pPr>
      <w:r>
        <w:rPr>
          <w:rFonts w:ascii="Times New Roman" w:cs="Times New Roman" w:eastAsia="Times New Roman" w:hAnsi="Times New Roman"/>
          <w:sz w:val="18"/>
          <w:szCs w:val="18"/>
          <w:color w:val="auto"/>
        </w:rPr>
        <w:t>We performed an impairment review of long-lived assets in the fourth quarter of 2022 and 2021 and recorded no impairment. The impairment review of long-lived assets in the fourth quarter of 2020 indicated the carrying amounts of certain of our long-lived assets may not be recoverable. This created a non-cash impairment of $4.2 million for the year ended December 31, 2020, which was recorded in loss on impairment on our consolidated statements of operations.</w:t>
      </w:r>
    </w:p>
    <w:p>
      <w:pPr>
        <w:spacing w:after="0" w:line="2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21" w:lineRule="exact"/>
        <w:rPr>
          <w:sz w:val="20"/>
          <w:szCs w:val="20"/>
          <w:color w:val="auto"/>
        </w:rPr>
      </w:pPr>
    </w:p>
    <w:p>
      <w:pPr>
        <w:ind w:firstLine="468"/>
        <w:spacing w:after="0" w:line="266" w:lineRule="auto"/>
        <w:rPr>
          <w:sz w:val="20"/>
          <w:szCs w:val="20"/>
          <w:color w:val="auto"/>
        </w:rPr>
      </w:pPr>
      <w:r>
        <w:rPr>
          <w:rFonts w:ascii="Times New Roman" w:cs="Times New Roman" w:eastAsia="Times New Roman" w:hAnsi="Times New Roman"/>
          <w:sz w:val="18"/>
          <w:szCs w:val="18"/>
          <w:color w:val="auto"/>
        </w:rPr>
        <w:t>Our goodwill and other indefinite-lived intangible assets, which consist of licenses and accreditations, trade names and certificates of need intangible assets that are not amortized, are evaluated for impairment annually during the fourth quarter or more frequently if events indicate the carrying value of a reporting unit may not be recoverable.</w:t>
      </w:r>
    </w:p>
    <w:p>
      <w:pPr>
        <w:spacing w:after="0" w:line="68" w:lineRule="exact"/>
        <w:rPr>
          <w:sz w:val="20"/>
          <w:szCs w:val="20"/>
          <w:color w:val="auto"/>
        </w:rPr>
      </w:pPr>
    </w:p>
    <w:p>
      <w:pPr>
        <w:ind w:right="60" w:firstLine="562"/>
        <w:spacing w:after="0" w:line="282" w:lineRule="auto"/>
        <w:rPr>
          <w:sz w:val="20"/>
          <w:szCs w:val="20"/>
          <w:color w:val="auto"/>
        </w:rPr>
      </w:pPr>
      <w:r>
        <w:rPr>
          <w:rFonts w:ascii="Times New Roman" w:cs="Times New Roman" w:eastAsia="Times New Roman" w:hAnsi="Times New Roman"/>
          <w:sz w:val="18"/>
          <w:szCs w:val="18"/>
          <w:color w:val="auto"/>
        </w:rPr>
        <w:t>As of our annual impairment tests on October 1, 2022 and October 1, 2021, we had one reporting unit, behavioral health services. The fair value of our behavioral health services reporting unit substantially exceeded its carrying value, and therefore no impairment was recorded.</w:t>
      </w:r>
    </w:p>
    <w:p>
      <w:pPr>
        <w:spacing w:after="0" w:line="54" w:lineRule="exact"/>
        <w:rPr>
          <w:sz w:val="20"/>
          <w:szCs w:val="20"/>
          <w:color w:val="auto"/>
        </w:rPr>
      </w:pPr>
    </w:p>
    <w:p>
      <w:pPr>
        <w:ind w:right="100" w:firstLine="562"/>
        <w:spacing w:after="0" w:line="266" w:lineRule="auto"/>
        <w:rPr>
          <w:sz w:val="20"/>
          <w:szCs w:val="20"/>
          <w:color w:val="auto"/>
        </w:rPr>
      </w:pPr>
      <w:r>
        <w:rPr>
          <w:rFonts w:ascii="Times New Roman" w:cs="Times New Roman" w:eastAsia="Times New Roman" w:hAnsi="Times New Roman"/>
          <w:sz w:val="18"/>
          <w:szCs w:val="18"/>
          <w:color w:val="auto"/>
        </w:rPr>
        <w:t>During the second quarter of 2021, we sold one outpatient facility for $4.3 million and recorded a write down of $1.8 million of goodwill and $0.2 million of intangible assets related to the disposition. During the fourth quarter of 2021, we sold one outpatient facility for $1.5 million and recorded a write down of $0.7 million of goodwill and $0.1 million of intangibles related to the disposition.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our annual impairment test on October 1, 2020, we had two operating segments for segment reporting purposes, U.S. facilities and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each of which represented a reporting unit for purposes of our goodwill impairment test.</w:t>
      </w:r>
    </w:p>
    <w:p>
      <w:pPr>
        <w:spacing w:after="0" w:line="99" w:lineRule="exact"/>
        <w:rPr>
          <w:sz w:val="20"/>
          <w:szCs w:val="20"/>
          <w:color w:val="auto"/>
        </w:rPr>
      </w:pPr>
    </w:p>
    <w:p>
      <w:pPr>
        <w:ind w:right="40" w:firstLine="468"/>
        <w:spacing w:after="0" w:line="273" w:lineRule="auto"/>
        <w:rPr>
          <w:sz w:val="20"/>
          <w:szCs w:val="20"/>
          <w:color w:val="auto"/>
        </w:rPr>
      </w:pPr>
      <w:r>
        <w:rPr>
          <w:rFonts w:ascii="Times New Roman" w:cs="Times New Roman" w:eastAsia="Times New Roman" w:hAnsi="Times New Roman"/>
          <w:sz w:val="17"/>
          <w:szCs w:val="17"/>
          <w:color w:val="auto"/>
        </w:rPr>
        <w:t>Our annual goodwill impairment and other indefinite-lived intangible assets test performed as of October 1, 2020 considered recent financial performance, including the impacts of COVID-19 on certain portions of the U.K. business. The 2020 impairment test of the U.K. facilities indicated carrying value of the reporting unit exceeded the estimated fair value and resulted in a non-cash loss on impairment of the remaining goodwill of the U.K. facilities of $356.2 million. The non-cash loss on impairment is included in loss on sale within discontinued operations in the consolidated statement of operations. As of our impairment test on October 1, 2020, the fair value of our U.S facilities reporting unit substantially exceeded its carrying value, and therefore no impairment was recorded. Additionally, for the year ended December 31, 2020, we recorded a non-cash impairment charge of $0.6 million related to indefinite-lived assets related to closed facilities in the U.S., which is included in loss on impairment in the consolidated statement of operations.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deferred income taxes reflect the net tax effects of temporary differences between the carrying amounts of assets and liabilities for financial reporting purposes and the amounts used for income tax purposes and net operating loss and tax credit carryforwards. The amount of deferred taxes on these temporary differences is determined using the tax rates that are expected to apply in the period when the asset is realized or the liability is settled, as applicable, based on tax rates and laws in the respective tax jurisdiction enacted as of the balance sheet date.</w:t>
      </w:r>
    </w:p>
    <w:p>
      <w:pPr>
        <w:spacing w:after="0" w:line="183"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We review our deferred tax assets for recoverability and establish a valuation allowance based on historical taxable income, projected future taxable income, applicable tax strategies, and the expected timing of the reversals of existing temporary differences. A valuation allowance is provided when it is more likely than not that some portion or all of the deferred tax assets will not be realized.</w:t>
      </w:r>
    </w:p>
    <w:p>
      <w:pPr>
        <w:spacing w:after="0" w:line="176"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We report a liability for unrecognized tax benefits resulting from uncertain tax positions taken or expected to be taken in a tax return. We recognize interest and penalties, if any, related to unrecognized tax benefits in income tax expense.</w:t>
      </w:r>
    </w:p>
    <w:p>
      <w:pPr>
        <w:spacing w:after="0" w:line="16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established accruals for taxes and associated interest that may become payable in future years as a result of audits by tax authorities. We accrue for tax contingencies when it is more likely than not that a liability to a taxing authority has been incurred and the amount of the contingency can be reasonably estimated. We believe that the positions taken on previously filed tax returns are reasonable and have not established tax and interest reserves in recognition that various taxing authorities may challenge the positions taken by us resulting in additional liabilities for taxes and interest. These amounts are reviewed as circumstances warrant and adjusted as events occur that affect our potential liability for additional taxes, such as lapsing of applicable statutes of limitations, conclusion of tax audits, additional exposure based on current calculations, identification of new issues, release of administrative guidance, or rendering of a court decision affecting a particular tax issue.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620" w:firstLine="510"/>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provided under the caption “Market Risk” under “Item 7.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with respect to this Item is contained in our consolidated financial statements beginning on Page F-1 of this Annual Report on Form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conducted an evaluation,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have concluded that our disclosure controls and procedures are effective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on Internal Control Over Financial Reporting</w:t>
      </w:r>
    </w:p>
    <w:p>
      <w:pPr>
        <w:spacing w:after="0" w:line="12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have included a report of management’s assessment of the design and operating effectiveness of our internal controls as part of this report. Our independent registered public accounting firm also reported on the effectiveness of internal control over financial reporting. Management’s report and the independent registered public accounting firm’s report are included in our consolidated financial statements beginning on page F-1 of this report under the captions entitled “Management’s Report on Internal Control Over Financial Reporting” and “Report of Independent Registered Public Accounting Firm.”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December 31, 2022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The information with respect to our directors set forth under the caption “Election of Directors” in our Definitive Proxy Statement for the Annual Meeting of Stockholders to be held May 18, 2023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Risk Committee</w:t>
      </w:r>
    </w:p>
    <w:p>
      <w:pPr>
        <w:spacing w:after="0" w:line="12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The information with respect to our Audit and Risk Committee and our audit committee financial experts serving on the Audit and Risk Committee is set forth under the caption “Corporate Governance – Committees of the Board of Directors – Audit and Risk Committee” in our Definitive Proxy Statement for the Annual Meeting of Stockholders to be held May 18, 2023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The information with respect to our executive officers set forth under the caption “Management – Executive Officers” in our Definitive Proxy Statement for the Annual Meeting of Stockholders to be held May 18, 2023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Compliance</w:t>
      </w:r>
    </w:p>
    <w:p>
      <w:pPr>
        <w:spacing w:after="0" w:line="121"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 information with respect to compliance with Section 16(a) of the Exchange Act set forth under the caption “Security Ownership of Certain Beneficial Owners and Management—Delinquent Section 16(a) Reports” in our Definitive Proxy Statement for the Annual Meeting of Stockholders to be held May 18, 2023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Nominees</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 information with respect to the procedures by which stockholders may recommend nominees to the board of directors set forth under the caption “Corporate Governance – Nomination of Directors – Nominations by Our Stockholders” in our Definitive Proxy Statement for the Annual Meeting of Stockholders to be held May 18, 2023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Documents</w:t>
      </w:r>
    </w:p>
    <w:p>
      <w:pPr>
        <w:spacing w:after="0" w:line="12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officers and employees and a Code of Ethics for Senior Financial Officers. These documents, as well as the charters of the Audit and Risk Committee, Compensation Committee, Compliance Committee, and Nominating and Governance Committee, are available on our website at www.acadiahealthcare.com on the Investors webpage under the caption “Corporate Governance.” Upon the written request of any person, we will furnish, without charge, a copy of any of these documents. Requests should be directed to Acadia Healthcare Company, Inc., 6100 Tower Circle, Suite 1000, Franklin, Tennessee 37067, Attention: Christopher L. Howard, Esq. We intend to disclose any amendments to our Code of Ethics and any waiver from a provision of our code, as required by the SEC, on our website.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The information with respect to the compensation of our executive officers set forth under the captions “Executive Compensation” and “Compensation Discussion and Analysis” and the information set forth under the captions “Director Compensation,” “Corporate Governance – Compensation Committee Interlocks and Insider Participation,” and “Compensation Committee Report” in our Definitive Proxy Statement for the Annual Meeting of Stockholders to be held May 18, 2023 is incorporated herein by reference.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information with respect to security ownership of certain beneficial owners and management and related stockholder matters set forth under the caption “Security Ownership of Certain Beneficial Owners and Management” in our Definitive Proxy Statement for the Annual Meeting of Stockholders to be held May 18, 2023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9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at December 31, 2022 with respect to compensation plans (including individual compensation arrangements) under which shares of Common Stock are authorized for issuance: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040" w:type="dxa"/>
            <w:vAlign w:val="bottom"/>
            <w:gridSpan w:val="3"/>
            <w:vMerge w:val="continue"/>
          </w:tcPr>
          <w:p>
            <w:pPr>
              <w:spacing w:after="0"/>
              <w:rPr>
                <w:sz w:val="12"/>
                <w:szCs w:val="12"/>
                <w:color w:val="auto"/>
              </w:rPr>
            </w:pPr>
          </w:p>
        </w:tc>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0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0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Plans (a)</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140" w:type="dxa"/>
            <w:vAlign w:val="bottom"/>
            <w:tcBorders>
              <w:top w:val="single" w:sz="8" w:color="CFF0FC"/>
            </w:tcBorders>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64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 (b)</w:t>
            </w:r>
          </w:p>
        </w:tc>
        <w:tc>
          <w:tcPr>
            <w:tcW w:w="214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3,298,279 (c)</w:t>
            </w:r>
          </w:p>
        </w:tc>
        <w:tc>
          <w:tcPr>
            <w:tcW w:w="11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36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3,133,811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2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3,298,279</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3,133,811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to be issued upon exercise of outstanding options and vesting of outstanding restricted stock units.</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issued or available for issuance under the Acadia Healthcare Company, Inc. Incentive Compensation Plan.</w:t>
      </w:r>
    </w:p>
    <w:p>
      <w:pPr>
        <w:spacing w:after="0" w:line="9" w:lineRule="exact"/>
        <w:rPr>
          <w:rFonts w:ascii="Times New Roman" w:cs="Times New Roman" w:eastAsia="Times New Roman" w:hAnsi="Times New Roman"/>
          <w:sz w:val="18"/>
          <w:szCs w:val="18"/>
          <w:color w:val="auto"/>
        </w:rPr>
      </w:pPr>
    </w:p>
    <w:p>
      <w:pPr>
        <w:ind w:left="500" w:right="180" w:hanging="492"/>
        <w:spacing w:after="0" w:line="260"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1,273,800 shares that may be issued upon vesting of outstanding restricted stock units that vest over three years, assuming that maximum performance goals are attained in all three years.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information with respect to certain relationships and related transactions and director independence set forth under the captions “Certain Relationships and Related Transactions” and “Corporate Governance – Independence of the Board of Directors” in our Definitive Proxy Statement for the Annual Meeting of Stockholders to be held May 18, 2023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The information with respect to the fees paid to and services provided by our principal accountants set forth under the caption “Ratification of Appointment of Independent Registered Public Accounting Firm” in our Definitive Proxy Statement for the Annual Meeting of Stockholders to be held May 18, 2023 is incorporated herein by reference.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760" w:hanging="242"/>
        <w:spacing w:after="0"/>
        <w:tabs>
          <w:tab w:leader="none" w:pos="7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required to be included in Part II, Item 8, Financial Statements and Supplementary Data, begin on Page F-1 and are submitted as a separate section of this report.</w:t>
      </w:r>
    </w:p>
    <w:p>
      <w:pPr>
        <w:spacing w:after="0" w:line="52" w:lineRule="exact"/>
        <w:rPr>
          <w:sz w:val="20"/>
          <w:szCs w:val="20"/>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are not required, or because the required information is included in the consolidated financial statements or notes in this report.</w:t>
      </w:r>
    </w:p>
    <w:p>
      <w:pPr>
        <w:spacing w:after="0" w:line="52" w:lineRule="exact"/>
        <w:rPr>
          <w:sz w:val="20"/>
          <w:szCs w:val="20"/>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1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3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340" w:type="dxa"/>
            <w:vAlign w:val="bottom"/>
            <w:tcBorders>
              <w:bottom w:val="single" w:sz="8" w:color="auto"/>
            </w:tcBorders>
            <w:gridSpan w:val="17"/>
          </w:tcPr>
          <w:p>
            <w:pPr>
              <w:ind w:left="6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60" w:type="dxa"/>
            <w:vAlign w:val="bottom"/>
          </w:tcPr>
          <w:p>
            <w:pPr>
              <w:spacing w:after="0"/>
              <w:rPr>
                <w:sz w:val="20"/>
                <w:szCs w:val="20"/>
                <w:color w:val="auto"/>
              </w:rPr>
            </w:pPr>
          </w:p>
        </w:tc>
      </w:tr>
      <w:tr>
        <w:trPr>
          <w:trHeight w:val="290"/>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4"/>
                <w:szCs w:val="24"/>
                <w:color w:val="auto"/>
              </w:rPr>
            </w:pPr>
          </w:p>
        </w:tc>
        <w:tc>
          <w:tcPr>
            <w:tcW w:w="9780" w:type="dxa"/>
            <w:vAlign w:val="bottom"/>
            <w:gridSpan w:val="23"/>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Put and Call Option Deed, dated as of December 30, 2020, by and between RemedcoUK Limited and the Company. (a)</w:t>
              </w:r>
            </w:hyperlink>
          </w:p>
        </w:tc>
        <w:tc>
          <w:tcPr>
            <w:tcW w:w="60" w:type="dxa"/>
            <w:vAlign w:val="bottom"/>
          </w:tcPr>
          <w:p>
            <w:pPr>
              <w:spacing w:after="0"/>
              <w:rPr>
                <w:sz w:val="24"/>
                <w:szCs w:val="24"/>
                <w:color w:val="auto"/>
              </w:rPr>
            </w:pPr>
          </w:p>
        </w:tc>
      </w:tr>
      <w:tr>
        <w:trPr>
          <w:trHeight w:val="426"/>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4"/>
                <w:szCs w:val="24"/>
                <w:color w:val="auto"/>
              </w:rPr>
            </w:pPr>
          </w:p>
        </w:tc>
        <w:tc>
          <w:tcPr>
            <w:tcW w:w="858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Share Purchase Agreement, dated as of January 7, 2021, by and between RemedcoUK Limited and the Company. (a)</w:t>
              </w:r>
            </w:hyperlink>
          </w:p>
        </w:tc>
        <w:tc>
          <w:tcPr>
            <w:tcW w:w="1200" w:type="dxa"/>
            <w:vAlign w:val="bottom"/>
            <w:gridSpan w:val="10"/>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4"/>
                <w:szCs w:val="24"/>
                <w:color w:val="auto"/>
              </w:rPr>
            </w:pPr>
          </w:p>
        </w:tc>
        <w:tc>
          <w:tcPr>
            <w:tcW w:w="9780" w:type="dxa"/>
            <w:vAlign w:val="bottom"/>
            <w:gridSpan w:val="23"/>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Amended and Restated Certificate of Incorporation, as filed on October 28, 2011 with the Secretary of State of the State of Delaware,</w:t>
              </w:r>
            </w:hyperlink>
          </w:p>
        </w:tc>
        <w:tc>
          <w:tcPr>
            <w:tcW w:w="6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as amended by the Certificate of Amendment filed on May 25, 2017. (b)</w:t>
              </w:r>
            </w:hyperlink>
          </w:p>
        </w:tc>
        <w:tc>
          <w:tcPr>
            <w:tcW w:w="18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9780" w:type="dxa"/>
            <w:vAlign w:val="bottom"/>
            <w:gridSpan w:val="23"/>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Amended and Restated Bylaws of the Company, as amended May 25, 2017. (b)</w:t>
              </w:r>
            </w:hyperlink>
          </w:p>
        </w:tc>
        <w:tc>
          <w:tcPr>
            <w:tcW w:w="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4"/>
                <w:szCs w:val="24"/>
                <w:color w:val="auto"/>
              </w:rPr>
            </w:pPr>
          </w:p>
        </w:tc>
        <w:tc>
          <w:tcPr>
            <w:tcW w:w="9780" w:type="dxa"/>
            <w:vAlign w:val="bottom"/>
            <w:gridSpan w:val="23"/>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Indenture, dated June 24, 2020, by and among the Company, the guarantors party thereto and U.S. Bank National Association, as</w:t>
              </w:r>
            </w:hyperlink>
          </w:p>
        </w:tc>
        <w:tc>
          <w:tcPr>
            <w:tcW w:w="6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77">
              <w:r>
                <w:rPr>
                  <w:rFonts w:ascii="Times New Roman" w:cs="Times New Roman" w:eastAsia="Times New Roman" w:hAnsi="Times New Roman"/>
                  <w:sz w:val="18"/>
                  <w:szCs w:val="18"/>
                  <w:color w:val="0000EE"/>
                  <w:w w:val="96"/>
                </w:rPr>
                <w:t>Trustee. (c)</w:t>
              </w:r>
            </w:hyperlink>
          </w:p>
        </w:tc>
        <w:tc>
          <w:tcPr>
            <w:tcW w:w="8460" w:type="dxa"/>
            <w:vAlign w:val="bottom"/>
            <w:tcBorders>
              <w:top w:val="single" w:sz="8" w:color="0000EE"/>
            </w:tcBorders>
            <w:gridSpan w:val="15"/>
          </w:tcPr>
          <w:p>
            <w:pPr>
              <w:spacing w:after="0"/>
              <w:rPr>
                <w:sz w:val="17"/>
                <w:szCs w:val="17"/>
                <w:color w:val="auto"/>
              </w:rPr>
            </w:pPr>
          </w:p>
        </w:tc>
        <w:tc>
          <w:tcPr>
            <w:tcW w:w="500" w:type="dxa"/>
            <w:vAlign w:val="bottom"/>
            <w:gridSpan w:val="7"/>
          </w:tcPr>
          <w:p>
            <w:pPr>
              <w:spacing w:after="0"/>
              <w:rPr>
                <w:sz w:val="17"/>
                <w:szCs w:val="17"/>
                <w:color w:val="auto"/>
              </w:rPr>
            </w:pPr>
          </w:p>
        </w:tc>
        <w:tc>
          <w:tcPr>
            <w:tcW w:w="60" w:type="dxa"/>
            <w:vAlign w:val="bottom"/>
          </w:tcPr>
          <w:p>
            <w:pPr>
              <w:spacing w:after="0"/>
              <w:rPr>
                <w:sz w:val="17"/>
                <w:szCs w:val="17"/>
                <w:color w:val="auto"/>
              </w:rPr>
            </w:pPr>
          </w:p>
        </w:tc>
      </w:tr>
      <w:tr>
        <w:trPr>
          <w:trHeight w:val="425"/>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24"/>
                <w:szCs w:val="24"/>
                <w:color w:val="auto"/>
              </w:rPr>
            </w:pPr>
          </w:p>
        </w:tc>
        <w:tc>
          <w:tcPr>
            <w:tcW w:w="9780" w:type="dxa"/>
            <w:vAlign w:val="bottom"/>
            <w:gridSpan w:val="23"/>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5.500% Senior Note due 2028 (included as Exhibit A1 in Exhibit 4.1)</w:t>
              </w:r>
            </w:hyperlink>
            <w:r>
              <w:rPr>
                <w:rFonts w:ascii="Times New Roman" w:cs="Times New Roman" w:eastAsia="Times New Roman" w:hAnsi="Times New Roman"/>
                <w:sz w:val="18"/>
                <w:szCs w:val="18"/>
                <w:u w:val="single" w:color="auto"/>
                <w:color w:val="000000"/>
              </w:rPr>
              <w:t>.</w:t>
            </w:r>
          </w:p>
        </w:tc>
        <w:tc>
          <w:tcPr>
            <w:tcW w:w="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24"/>
                <w:szCs w:val="24"/>
                <w:color w:val="auto"/>
              </w:rPr>
            </w:pPr>
          </w:p>
        </w:tc>
        <w:tc>
          <w:tcPr>
            <w:tcW w:w="95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Indenture, dated October 14, 2020, by and among the Company, the guarantors party thereto and U.S. Bank National Association, as</w:t>
              </w:r>
            </w:hyperlink>
          </w:p>
        </w:tc>
        <w:tc>
          <w:tcPr>
            <w:tcW w:w="24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80" w:type="dxa"/>
            <w:vAlign w:val="bottom"/>
            <w:gridSpan w:val="23"/>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Trustee. (d)</w:t>
              </w:r>
            </w:hyperlink>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4"/>
                <w:szCs w:val="24"/>
                <w:color w:val="auto"/>
              </w:rPr>
            </w:pPr>
          </w:p>
        </w:tc>
        <w:tc>
          <w:tcPr>
            <w:tcW w:w="9780" w:type="dxa"/>
            <w:vAlign w:val="bottom"/>
            <w:gridSpan w:val="23"/>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5.000% Senior Note due 2029 (included as Exhibit A1 in Exhibit 4.3).</w:t>
              </w:r>
            </w:hyperlink>
          </w:p>
        </w:tc>
        <w:tc>
          <w:tcPr>
            <w:tcW w:w="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24"/>
                <w:szCs w:val="24"/>
                <w:color w:val="auto"/>
              </w:rPr>
            </w:pPr>
          </w:p>
        </w:tc>
        <w:tc>
          <w:tcPr>
            <w:tcW w:w="89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Amended and Restated Stockholders Agreement, dated as of October 29, 2014, by and among the Company and each of the</w:t>
              </w:r>
            </w:hyperlink>
          </w:p>
        </w:tc>
        <w:tc>
          <w:tcPr>
            <w:tcW w:w="86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79">
              <w:r>
                <w:rPr>
                  <w:rFonts w:ascii="Times New Roman" w:cs="Times New Roman" w:eastAsia="Times New Roman" w:hAnsi="Times New Roman"/>
                  <w:sz w:val="18"/>
                  <w:szCs w:val="18"/>
                  <w:color w:val="0000EE"/>
                  <w:w w:val="98"/>
                </w:rPr>
                <w:t>stockholders named therein. (e)</w:t>
              </w:r>
            </w:hyperlink>
          </w:p>
        </w:tc>
        <w:tc>
          <w:tcPr>
            <w:tcW w:w="7520" w:type="dxa"/>
            <w:vAlign w:val="bottom"/>
            <w:gridSpan w:val="20"/>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24"/>
                <w:szCs w:val="24"/>
                <w:color w:val="auto"/>
              </w:rPr>
            </w:pPr>
          </w:p>
        </w:tc>
        <w:tc>
          <w:tcPr>
            <w:tcW w:w="7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Specimen Common Stock Certificate to be issued to holders of the Company’s Common Stock. (f)</w:t>
              </w:r>
            </w:hyperlink>
          </w:p>
        </w:tc>
        <w:tc>
          <w:tcPr>
            <w:tcW w:w="2680" w:type="dxa"/>
            <w:vAlign w:val="bottom"/>
            <w:gridSpan w:val="12"/>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24"/>
                <w:szCs w:val="24"/>
                <w:color w:val="auto"/>
              </w:rPr>
            </w:pPr>
          </w:p>
        </w:tc>
        <w:tc>
          <w:tcPr>
            <w:tcW w:w="97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Third Amended and Restated Registration Rights Agreement, dated as of December 31, 2015, by and among the Company and each of</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80" w:type="dxa"/>
            <w:vAlign w:val="bottom"/>
            <w:gridSpan w:val="23"/>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the parties named therein. (g)</w:t>
              </w:r>
            </w:hyperlink>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4"/>
                <w:szCs w:val="24"/>
                <w:color w:val="auto"/>
              </w:rPr>
            </w:pPr>
          </w:p>
        </w:tc>
        <w:tc>
          <w:tcPr>
            <w:tcW w:w="9780" w:type="dxa"/>
            <w:vAlign w:val="bottom"/>
            <w:gridSpan w:val="23"/>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Joinder, dated February 16, 2016, to the Third Amended and Restated Registration Rights Agreement dated as of December 31, 2015,</w:t>
              </w:r>
            </w:hyperlink>
          </w:p>
        </w:tc>
        <w:tc>
          <w:tcPr>
            <w:tcW w:w="6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by and among the Company and each of the parties named therein. (h)</w:t>
              </w:r>
            </w:hyperlink>
          </w:p>
        </w:tc>
        <w:tc>
          <w:tcPr>
            <w:tcW w:w="4560" w:type="dxa"/>
            <w:vAlign w:val="bottom"/>
            <w:tcBorders>
              <w:top w:val="single" w:sz="8" w:color="0000EE"/>
            </w:tcBorders>
            <w:gridSpan w:val="14"/>
          </w:tcPr>
          <w:p>
            <w:pPr>
              <w:spacing w:after="0"/>
              <w:rPr>
                <w:sz w:val="17"/>
                <w:szCs w:val="17"/>
                <w:color w:val="auto"/>
              </w:rPr>
            </w:pPr>
          </w:p>
        </w:tc>
        <w:tc>
          <w:tcPr>
            <w:tcW w:w="1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24"/>
                <w:szCs w:val="24"/>
                <w:color w:val="auto"/>
              </w:rPr>
            </w:pPr>
          </w:p>
        </w:tc>
        <w:tc>
          <w:tcPr>
            <w:tcW w:w="31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Description of the Company’s Securities (i).</w:t>
              </w:r>
            </w:hyperlink>
          </w:p>
        </w:tc>
        <w:tc>
          <w:tcPr>
            <w:tcW w:w="6600" w:type="dxa"/>
            <w:vAlign w:val="bottom"/>
            <w:gridSpan w:val="18"/>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4"/>
                <w:szCs w:val="24"/>
                <w:color w:val="auto"/>
              </w:rPr>
            </w:pPr>
          </w:p>
        </w:tc>
        <w:tc>
          <w:tcPr>
            <w:tcW w:w="95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Credit Agreement, dated as of March 17, 2021, among the Company, certain subsidiaries of the Company, as guarantors, the several</w:t>
              </w:r>
            </w:hyperlink>
          </w:p>
        </w:tc>
        <w:tc>
          <w:tcPr>
            <w:tcW w:w="280" w:type="dxa"/>
            <w:vAlign w:val="bottom"/>
            <w:gridSpan w:val="6"/>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80" w:type="dxa"/>
            <w:vAlign w:val="bottom"/>
            <w:gridSpan w:val="23"/>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banks and other financial institutions as may from time to time become parties thereunder as lenders, and Bank of America, N.A., as</w:t>
              </w:r>
            </w:hyperlink>
          </w:p>
        </w:tc>
        <w:tc>
          <w:tcPr>
            <w:tcW w:w="6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Administrative Agent and Swingline Lender. (j)</w:t>
              </w:r>
            </w:hyperlink>
          </w:p>
        </w:tc>
        <w:tc>
          <w:tcPr>
            <w:tcW w:w="6080" w:type="dxa"/>
            <w:vAlign w:val="bottom"/>
            <w:tcBorders>
              <w:top w:val="single" w:sz="8" w:color="0000EE"/>
            </w:tcBorders>
            <w:gridSpan w:val="12"/>
          </w:tcPr>
          <w:p>
            <w:pPr>
              <w:spacing w:after="0"/>
              <w:rPr>
                <w:sz w:val="17"/>
                <w:szCs w:val="17"/>
                <w:color w:val="auto"/>
              </w:rPr>
            </w:pPr>
          </w:p>
        </w:tc>
        <w:tc>
          <w:tcPr>
            <w:tcW w:w="26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4"/>
                <w:szCs w:val="24"/>
                <w:color w:val="auto"/>
              </w:rPr>
            </w:pPr>
          </w:p>
        </w:tc>
        <w:tc>
          <w:tcPr>
            <w:tcW w:w="91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Security and Pledge Agreement, dated as of March 17, 2021, among the Company, the other obligors party thereto and Bank of</w:t>
              </w:r>
            </w:hyperlink>
          </w:p>
        </w:tc>
        <w:tc>
          <w:tcPr>
            <w:tcW w:w="620" w:type="dxa"/>
            <w:vAlign w:val="bottom"/>
            <w:gridSpan w:val="8"/>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America, N.A., as Administrative Agent. (j)</w:t>
              </w:r>
            </w:hyperlink>
          </w:p>
        </w:tc>
        <w:tc>
          <w:tcPr>
            <w:tcW w:w="6620" w:type="dxa"/>
            <w:vAlign w:val="bottom"/>
            <w:gridSpan w:val="19"/>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8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24"/>
                <w:szCs w:val="24"/>
                <w:color w:val="auto"/>
              </w:rPr>
            </w:pPr>
          </w:p>
        </w:tc>
        <w:tc>
          <w:tcPr>
            <w:tcW w:w="9780" w:type="dxa"/>
            <w:vAlign w:val="bottom"/>
            <w:gridSpan w:val="23"/>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Employment Agreement, dated as of January 19, 2021, by and between Acadia Management Company, Inc. and Debra K. Osteen. (k)</w:t>
              </w:r>
            </w:hyperlink>
          </w:p>
        </w:tc>
        <w:tc>
          <w:tcPr>
            <w:tcW w:w="60" w:type="dxa"/>
            <w:vAlign w:val="bottom"/>
          </w:tcPr>
          <w:p>
            <w:pPr>
              <w:spacing w:after="0"/>
              <w:rPr>
                <w:sz w:val="24"/>
                <w:szCs w:val="24"/>
                <w:color w:val="auto"/>
              </w:rPr>
            </w:pPr>
          </w:p>
        </w:tc>
      </w:tr>
      <w:tr>
        <w:trPr>
          <w:trHeight w:val="574"/>
        </w:trPr>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60" w:type="dxa"/>
            <w:vAlign w:val="bottom"/>
            <w:tcBorders>
              <w:top w:val="single" w:sz="8" w:color="0000EE"/>
            </w:tcBorders>
            <w:gridSpan w:val="7"/>
          </w:tcPr>
          <w:p>
            <w:pPr>
              <w:ind w:left="414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26"/>
        </w:trPr>
        <w:tc>
          <w:tcPr>
            <w:tcW w:w="1280" w:type="dxa"/>
            <w:vAlign w:val="bottom"/>
            <w:tcBorders>
              <w:top w:val="single" w:sz="8" w:color="0000EE"/>
            </w:tcBorders>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Amendment to Employment Agreement, dated December 22, 2021, by and between Acadia Management Company, Inc. and Debra K.</w:t>
              </w:r>
            </w:hyperlink>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89">
              <w:r>
                <w:rPr>
                  <w:rFonts w:ascii="Times New Roman" w:cs="Times New Roman" w:eastAsia="Times New Roman" w:hAnsi="Times New Roman"/>
                  <w:sz w:val="18"/>
                  <w:szCs w:val="18"/>
                  <w:color w:val="0000EE"/>
                  <w:w w:val="97"/>
                </w:rPr>
                <w:t>Osteen. (l)</w:t>
              </w:r>
            </w:hyperlink>
          </w:p>
        </w:tc>
        <w:tc>
          <w:tcPr>
            <w:tcW w:w="8920" w:type="dxa"/>
            <w:vAlign w:val="bottom"/>
            <w:tcBorders>
              <w:top w:val="single" w:sz="8" w:color="0000EE"/>
            </w:tcBorders>
            <w:gridSpan w:val="25"/>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318"/>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†10.5</w:t>
            </w:r>
          </w:p>
        </w:tc>
        <w:tc>
          <w:tcPr>
            <w:tcW w:w="94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Side Letter to Employment Agreement, dated January 31, 2022, by and between Acadia Management Company, Inc. and Debra K.</w:t>
              </w:r>
            </w:hyperlink>
          </w:p>
        </w:tc>
        <w:tc>
          <w:tcPr>
            <w:tcW w:w="42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90">
              <w:r>
                <w:rPr>
                  <w:rFonts w:ascii="Times New Roman" w:cs="Times New Roman" w:eastAsia="Times New Roman" w:hAnsi="Times New Roman"/>
                  <w:sz w:val="18"/>
                  <w:szCs w:val="18"/>
                  <w:color w:val="0000EE"/>
                  <w:w w:val="97"/>
                </w:rPr>
                <w:t>Osteen. (l)</w:t>
              </w:r>
            </w:hyperlink>
          </w:p>
        </w:tc>
        <w:tc>
          <w:tcPr>
            <w:tcW w:w="9080" w:type="dxa"/>
            <w:vAlign w:val="bottom"/>
            <w:gridSpan w:val="27"/>
          </w:tcPr>
          <w:p>
            <w:pPr>
              <w:spacing w:after="0"/>
              <w:rPr>
                <w:sz w:val="17"/>
                <w:szCs w:val="17"/>
                <w:color w:val="auto"/>
              </w:rPr>
            </w:pPr>
          </w:p>
        </w:tc>
      </w:tr>
      <w:tr>
        <w:trPr>
          <w:trHeight w:val="426"/>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†10.6</w:t>
            </w:r>
          </w:p>
        </w:tc>
        <w:tc>
          <w:tcPr>
            <w:tcW w:w="95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Consultant Services Agreement, dated April 11, 2022 by and between Acadia Management Company, Inc. and Debra K. Osteen. (m)</w:t>
              </w:r>
            </w:hyperlink>
          </w:p>
        </w:tc>
        <w:tc>
          <w:tcPr>
            <w:tcW w:w="280" w:type="dxa"/>
            <w:vAlign w:val="bottom"/>
            <w:gridSpan w:val="3"/>
          </w:tcPr>
          <w:p>
            <w:pPr>
              <w:spacing w:after="0"/>
              <w:rPr>
                <w:sz w:val="24"/>
                <w:szCs w:val="24"/>
                <w:color w:val="auto"/>
              </w:rPr>
            </w:pPr>
          </w:p>
        </w:tc>
      </w:tr>
      <w:tr>
        <w:trPr>
          <w:trHeight w:val="425"/>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†10.7</w:t>
            </w:r>
          </w:p>
        </w:tc>
        <w:tc>
          <w:tcPr>
            <w:tcW w:w="97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Employment Agreement, dated March 31, 2022, among the Company, Acadia Management Company, Inc. and Christopher H. Hunter.</w:t>
              </w:r>
            </w:hyperlink>
          </w:p>
        </w:tc>
        <w:tc>
          <w:tcPr>
            <w:tcW w:w="14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2"/>
              </w:rPr>
            </w:pPr>
            <w:hyperlink r:id="rId92">
              <w:r>
                <w:rPr>
                  <w:rFonts w:ascii="Times New Roman" w:cs="Times New Roman" w:eastAsia="Times New Roman" w:hAnsi="Times New Roman"/>
                  <w:sz w:val="18"/>
                  <w:szCs w:val="18"/>
                  <w:color w:val="0000EE"/>
                  <w:w w:val="92"/>
                </w:rPr>
                <w:t>(m)</w:t>
              </w:r>
            </w:hyperlink>
          </w:p>
        </w:tc>
        <w:tc>
          <w:tcPr>
            <w:tcW w:w="9580" w:type="dxa"/>
            <w:vAlign w:val="bottom"/>
            <w:gridSpan w:val="29"/>
          </w:tcPr>
          <w:p>
            <w:pPr>
              <w:spacing w:after="0"/>
              <w:rPr>
                <w:sz w:val="17"/>
                <w:szCs w:val="17"/>
                <w:color w:val="auto"/>
              </w:rPr>
            </w:pPr>
          </w:p>
        </w:tc>
      </w:tr>
      <w:tr>
        <w:trPr>
          <w:trHeight w:val="426"/>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†10.8</w:t>
            </w:r>
          </w:p>
        </w:tc>
        <w:tc>
          <w:tcPr>
            <w:tcW w:w="95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Amended and Restated Employment Agreement, dated April 7, 2014, among the Company, Acadia Management Company, Inc. and</w:t>
              </w:r>
            </w:hyperlink>
          </w:p>
        </w:tc>
        <w:tc>
          <w:tcPr>
            <w:tcW w:w="3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Christopher L. Howard. (n)</w:t>
              </w:r>
            </w:hyperlink>
          </w:p>
        </w:tc>
      </w:tr>
      <w:tr>
        <w:trPr>
          <w:trHeight w:val="20"/>
        </w:trPr>
        <w:tc>
          <w:tcPr>
            <w:tcW w:w="140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r>
      <w:tr>
        <w:trPr>
          <w:trHeight w:val="318"/>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†10.9</w:t>
            </w:r>
          </w:p>
        </w:tc>
        <w:tc>
          <w:tcPr>
            <w:tcW w:w="9840" w:type="dxa"/>
            <w:vAlign w:val="bottom"/>
            <w:gridSpan w:val="30"/>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Employment Agreement, dated April 7, 2014, by and among the Company, Acadia Management Company, Inc. and David M.</w:t>
              </w:r>
            </w:hyperlink>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Duckworth. (n)</w:t>
              </w:r>
            </w:hyperlink>
          </w:p>
        </w:tc>
        <w:tc>
          <w:tcPr>
            <w:tcW w:w="760" w:type="dxa"/>
            <w:vAlign w:val="bottom"/>
            <w:gridSpan w:val="9"/>
          </w:tcPr>
          <w:p>
            <w:pPr>
              <w:spacing w:after="0"/>
              <w:rPr>
                <w:sz w:val="17"/>
                <w:szCs w:val="17"/>
                <w:color w:val="auto"/>
              </w:rPr>
            </w:pPr>
          </w:p>
        </w:tc>
      </w:tr>
      <w:tr>
        <w:trPr>
          <w:trHeight w:val="20"/>
        </w:trPr>
        <w:tc>
          <w:tcPr>
            <w:tcW w:w="140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r>
      <w:tr>
        <w:trPr>
          <w:trHeight w:val="318"/>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†10.10</w:t>
            </w:r>
          </w:p>
        </w:tc>
        <w:tc>
          <w:tcPr>
            <w:tcW w:w="93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Employment Agreement, dated July 31, 2019, by and between Acadia Management Company, Inc. and John S. Hollinsworth. (o)</w:t>
              </w:r>
            </w:hyperlink>
          </w:p>
        </w:tc>
        <w:tc>
          <w:tcPr>
            <w:tcW w:w="540" w:type="dxa"/>
            <w:vAlign w:val="bottom"/>
            <w:gridSpan w:val="8"/>
          </w:tcPr>
          <w:p>
            <w:pPr>
              <w:spacing w:after="0"/>
              <w:rPr>
                <w:sz w:val="24"/>
                <w:szCs w:val="24"/>
                <w:color w:val="auto"/>
              </w:rPr>
            </w:pPr>
          </w:p>
        </w:tc>
      </w:tr>
      <w:tr>
        <w:trPr>
          <w:trHeight w:val="426"/>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†10.11</w:t>
            </w:r>
          </w:p>
        </w:tc>
        <w:tc>
          <w:tcPr>
            <w:tcW w:w="9840" w:type="dxa"/>
            <w:vAlign w:val="bottom"/>
            <w:gridSpan w:val="30"/>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Employment Agreement, dated August 6, 2019, by and between Acadia Management Company, Inc. and Laurence L. Harrod. (p)</w:t>
              </w:r>
            </w:hyperlink>
          </w:p>
        </w:tc>
      </w:tr>
      <w:tr>
        <w:trPr>
          <w:trHeight w:val="425"/>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†10.12</w:t>
            </w:r>
          </w:p>
        </w:tc>
        <w:tc>
          <w:tcPr>
            <w:tcW w:w="666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Acadia Healthcare Company, Inc. Incentive Compensation Plan, effective May 23, 2013. (q)</w:t>
              </w:r>
            </w:hyperlink>
          </w:p>
        </w:tc>
        <w:tc>
          <w:tcPr>
            <w:tcW w:w="2660" w:type="dxa"/>
            <w:vAlign w:val="bottom"/>
            <w:tcBorders>
              <w:top w:val="single" w:sz="8" w:color="0000EE"/>
            </w:tcBorders>
            <w:gridSpan w:val="8"/>
          </w:tcPr>
          <w:p>
            <w:pPr>
              <w:spacing w:after="0"/>
              <w:rPr>
                <w:sz w:val="24"/>
                <w:szCs w:val="24"/>
                <w:color w:val="auto"/>
              </w:rPr>
            </w:pPr>
          </w:p>
        </w:tc>
        <w:tc>
          <w:tcPr>
            <w:tcW w:w="520" w:type="dxa"/>
            <w:vAlign w:val="bottom"/>
            <w:gridSpan w:val="7"/>
          </w:tcPr>
          <w:p>
            <w:pPr>
              <w:spacing w:after="0"/>
              <w:rPr>
                <w:sz w:val="24"/>
                <w:szCs w:val="24"/>
                <w:color w:val="auto"/>
              </w:rPr>
            </w:pPr>
          </w:p>
        </w:tc>
      </w:tr>
      <w:tr>
        <w:trPr>
          <w:trHeight w:val="318"/>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†10.13</w:t>
            </w:r>
          </w:p>
        </w:tc>
        <w:tc>
          <w:tcPr>
            <w:tcW w:w="9840" w:type="dxa"/>
            <w:vAlign w:val="bottom"/>
            <w:gridSpan w:val="30"/>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First Amendment, effective May 19, 2016, to the Acadia Healthcare Company, Inc. Incentive Compensation Plan. (r)</w:t>
              </w:r>
            </w:hyperlink>
          </w:p>
        </w:tc>
      </w:tr>
      <w:tr>
        <w:trPr>
          <w:trHeight w:val="20"/>
        </w:trPr>
        <w:tc>
          <w:tcPr>
            <w:tcW w:w="140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r>
      <w:tr>
        <w:trPr>
          <w:trHeight w:val="318"/>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†10.14</w:t>
            </w:r>
          </w:p>
        </w:tc>
        <w:tc>
          <w:tcPr>
            <w:tcW w:w="9840" w:type="dxa"/>
            <w:vAlign w:val="bottom"/>
            <w:gridSpan w:val="30"/>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Second Amendment, effective May 6, 2021, to the Acadia Healthcare Company, Inc. Incentive Compensation Plan. (s)</w:t>
              </w:r>
            </w:hyperlink>
          </w:p>
        </w:tc>
      </w:tr>
      <w:tr>
        <w:trPr>
          <w:trHeight w:val="425"/>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†10.15</w:t>
            </w:r>
          </w:p>
        </w:tc>
        <w:tc>
          <w:tcPr>
            <w:tcW w:w="32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Form of Restricted Stock Unit Agreement. (t)</w:t>
              </w:r>
            </w:hyperlink>
          </w:p>
        </w:tc>
        <w:tc>
          <w:tcPr>
            <w:tcW w:w="5260" w:type="dxa"/>
            <w:vAlign w:val="bottom"/>
            <w:tcBorders>
              <w:top w:val="single" w:sz="8" w:color="0000EE"/>
            </w:tcBorders>
            <w:gridSpan w:val="10"/>
          </w:tcPr>
          <w:p>
            <w:pPr>
              <w:spacing w:after="0"/>
              <w:rPr>
                <w:sz w:val="24"/>
                <w:szCs w:val="24"/>
                <w:color w:val="auto"/>
              </w:rPr>
            </w:pPr>
          </w:p>
        </w:tc>
        <w:tc>
          <w:tcPr>
            <w:tcW w:w="1300" w:type="dxa"/>
            <w:vAlign w:val="bottom"/>
            <w:gridSpan w:val="12"/>
          </w:tcPr>
          <w:p>
            <w:pPr>
              <w:spacing w:after="0"/>
              <w:rPr>
                <w:sz w:val="24"/>
                <w:szCs w:val="24"/>
                <w:color w:val="auto"/>
              </w:rPr>
            </w:pPr>
          </w:p>
        </w:tc>
      </w:tr>
      <w:tr>
        <w:trPr>
          <w:trHeight w:val="318"/>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†10.16</w:t>
            </w:r>
          </w:p>
        </w:tc>
        <w:tc>
          <w:tcPr>
            <w:tcW w:w="34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Form of Incentive Stock Option Agreement. (u)</w:t>
              </w:r>
            </w:hyperlink>
          </w:p>
        </w:tc>
        <w:tc>
          <w:tcPr>
            <w:tcW w:w="6400" w:type="dxa"/>
            <w:vAlign w:val="bottom"/>
            <w:gridSpan w:val="21"/>
          </w:tcPr>
          <w:p>
            <w:pPr>
              <w:spacing w:after="0"/>
              <w:rPr>
                <w:sz w:val="24"/>
                <w:szCs w:val="24"/>
                <w:color w:val="auto"/>
              </w:rPr>
            </w:pPr>
          </w:p>
        </w:tc>
      </w:tr>
      <w:tr>
        <w:trPr>
          <w:trHeight w:val="318"/>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†10.17</w:t>
            </w:r>
          </w:p>
        </w:tc>
        <w:tc>
          <w:tcPr>
            <w:tcW w:w="3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of Non-Qualified Stock Option Agreement. (u)</w:t>
              </w:r>
            </w:hyperlink>
          </w:p>
        </w:tc>
        <w:tc>
          <w:tcPr>
            <w:tcW w:w="6020" w:type="dxa"/>
            <w:vAlign w:val="bottom"/>
            <w:gridSpan w:val="19"/>
          </w:tcPr>
          <w:p>
            <w:pPr>
              <w:spacing w:after="0"/>
              <w:rPr>
                <w:sz w:val="24"/>
                <w:szCs w:val="24"/>
                <w:color w:val="auto"/>
              </w:rPr>
            </w:pPr>
          </w:p>
        </w:tc>
      </w:tr>
      <w:tr>
        <w:trPr>
          <w:trHeight w:val="318"/>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†10.18</w:t>
            </w:r>
          </w:p>
        </w:tc>
        <w:tc>
          <w:tcPr>
            <w:tcW w:w="29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Form of Restricted Stock Agreement. (t)</w:t>
              </w:r>
            </w:hyperlink>
          </w:p>
        </w:tc>
        <w:tc>
          <w:tcPr>
            <w:tcW w:w="6920" w:type="dxa"/>
            <w:vAlign w:val="bottom"/>
            <w:gridSpan w:val="23"/>
          </w:tcPr>
          <w:p>
            <w:pPr>
              <w:spacing w:after="0"/>
              <w:rPr>
                <w:sz w:val="24"/>
                <w:szCs w:val="24"/>
                <w:color w:val="auto"/>
              </w:rPr>
            </w:pPr>
          </w:p>
        </w:tc>
      </w:tr>
      <w:tr>
        <w:trPr>
          <w:trHeight w:val="318"/>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†10.19</w:t>
            </w:r>
          </w:p>
        </w:tc>
        <w:tc>
          <w:tcPr>
            <w:tcW w:w="36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Form of Stock Appreciation Rights Agreement. (u)</w:t>
              </w:r>
            </w:hyperlink>
          </w:p>
        </w:tc>
        <w:tc>
          <w:tcPr>
            <w:tcW w:w="6160" w:type="dxa"/>
            <w:vAlign w:val="bottom"/>
            <w:gridSpan w:val="20"/>
          </w:tcPr>
          <w:p>
            <w:pPr>
              <w:spacing w:after="0"/>
              <w:rPr>
                <w:sz w:val="24"/>
                <w:szCs w:val="24"/>
                <w:color w:val="auto"/>
              </w:rPr>
            </w:pPr>
          </w:p>
        </w:tc>
      </w:tr>
      <w:tr>
        <w:trPr>
          <w:trHeight w:val="318"/>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†10.20</w:t>
            </w:r>
          </w:p>
        </w:tc>
        <w:tc>
          <w:tcPr>
            <w:tcW w:w="9840" w:type="dxa"/>
            <w:vAlign w:val="bottom"/>
            <w:gridSpan w:val="30"/>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Acadia Healthcare Company, Inc. Nonqualified Deferred Compensation Plan, effective February 1, 2013. (v)</w:t>
              </w:r>
            </w:hyperlink>
          </w:p>
        </w:tc>
      </w:tr>
      <w:tr>
        <w:trPr>
          <w:trHeight w:val="318"/>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†10.21</w:t>
            </w:r>
          </w:p>
        </w:tc>
        <w:tc>
          <w:tcPr>
            <w:tcW w:w="582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Nonmanagement Director Compensation Program, effective January 1, 2013. (v)</w:t>
              </w:r>
            </w:hyperlink>
          </w:p>
        </w:tc>
        <w:tc>
          <w:tcPr>
            <w:tcW w:w="2020" w:type="dxa"/>
            <w:vAlign w:val="bottom"/>
            <w:tcBorders>
              <w:top w:val="single" w:sz="8" w:color="0000EE"/>
            </w:tcBorders>
            <w:gridSpan w:val="2"/>
          </w:tcPr>
          <w:p>
            <w:pPr>
              <w:spacing w:after="0"/>
              <w:rPr>
                <w:sz w:val="24"/>
                <w:szCs w:val="24"/>
                <w:color w:val="auto"/>
              </w:rPr>
            </w:pPr>
          </w:p>
        </w:tc>
        <w:tc>
          <w:tcPr>
            <w:tcW w:w="2000" w:type="dxa"/>
            <w:vAlign w:val="bottom"/>
            <w:gridSpan w:val="14"/>
          </w:tcPr>
          <w:p>
            <w:pPr>
              <w:spacing w:after="0"/>
              <w:rPr>
                <w:sz w:val="24"/>
                <w:szCs w:val="24"/>
                <w:color w:val="auto"/>
              </w:rPr>
            </w:pPr>
          </w:p>
        </w:tc>
      </w:tr>
      <w:tr>
        <w:trPr>
          <w:trHeight w:val="317"/>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87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Form of Indemnification Agreement (for directors and officers affiliated with Waud Capital Partners or Bain Capital). (w)</w:t>
              </w:r>
            </w:hyperlink>
          </w:p>
        </w:tc>
        <w:tc>
          <w:tcPr>
            <w:tcW w:w="1080" w:type="dxa"/>
            <w:vAlign w:val="bottom"/>
            <w:gridSpan w:val="11"/>
          </w:tcPr>
          <w:p>
            <w:pPr>
              <w:spacing w:after="0"/>
              <w:rPr>
                <w:sz w:val="24"/>
                <w:szCs w:val="24"/>
                <w:color w:val="auto"/>
              </w:rPr>
            </w:pPr>
          </w:p>
        </w:tc>
      </w:tr>
      <w:tr>
        <w:trPr>
          <w:trHeight w:val="318"/>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90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Form of Indemnification Agreement (for directors and officers not affiliated with Waud Capital Partners or Bain Capital). (w)</w:t>
              </w:r>
            </w:hyperlink>
          </w:p>
        </w:tc>
        <w:tc>
          <w:tcPr>
            <w:tcW w:w="800" w:type="dxa"/>
            <w:vAlign w:val="bottom"/>
            <w:gridSpan w:val="10"/>
          </w:tcPr>
          <w:p>
            <w:pPr>
              <w:spacing w:after="0"/>
              <w:rPr>
                <w:sz w:val="24"/>
                <w:szCs w:val="24"/>
                <w:color w:val="auto"/>
              </w:rPr>
            </w:pPr>
          </w:p>
        </w:tc>
      </w:tr>
      <w:tr>
        <w:trPr>
          <w:trHeight w:val="318"/>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98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Subsidiaries of the Company.</w:t>
            </w: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r>
      <w:tr>
        <w:trPr>
          <w:trHeight w:val="318"/>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98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List of Subsidiary Guarantors and Issuers of Guaranteed Securities.</w:t>
            </w:r>
          </w:p>
        </w:tc>
      </w:tr>
      <w:tr>
        <w:trPr>
          <w:trHeight w:val="318"/>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43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480" w:type="dxa"/>
            <w:vAlign w:val="bottom"/>
            <w:tcBorders>
              <w:top w:val="single" w:sz="8" w:color="0000EE"/>
            </w:tcBorders>
          </w:tcPr>
          <w:p>
            <w:pPr>
              <w:spacing w:after="0"/>
              <w:rPr>
                <w:sz w:val="24"/>
                <w:szCs w:val="24"/>
                <w:color w:val="auto"/>
              </w:rPr>
            </w:pPr>
          </w:p>
        </w:tc>
        <w:tc>
          <w:tcPr>
            <w:tcW w:w="5000" w:type="dxa"/>
            <w:vAlign w:val="bottom"/>
            <w:gridSpan w:val="17"/>
          </w:tcPr>
          <w:p>
            <w:pPr>
              <w:spacing w:after="0"/>
              <w:rPr>
                <w:sz w:val="24"/>
                <w:szCs w:val="24"/>
                <w:color w:val="auto"/>
              </w:rPr>
            </w:pPr>
          </w:p>
        </w:tc>
      </w:tr>
      <w:tr>
        <w:trPr>
          <w:trHeight w:val="318"/>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8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Rule 13a-14(a) Certification of the Chief Executive Officer of the Company pursuant to Section 302 of the Sarbanes-Oxley Act of</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3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17"/>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8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Rule 13a-14(a) Certification of the Chief Financial Officer of the Company pursuant to Section 302 of the Sarbanes-Oxley Act of</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3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18"/>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98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Section 1350 Certification of Chief Executive Officer of the Company pursuant to Section 906 of the Sarbanes-Oxley Act of 2002.</w:t>
            </w:r>
          </w:p>
        </w:tc>
      </w:tr>
      <w:tr>
        <w:trPr>
          <w:trHeight w:val="574"/>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Borders>
              <w:top w:val="single" w:sz="8" w:color="0000EE"/>
            </w:tcBorders>
            <w:gridSpan w:val="12"/>
          </w:tcPr>
          <w:p>
            <w:pPr>
              <w:ind w:left="4140"/>
              <w:spacing w:after="0"/>
              <w:rPr>
                <w:sz w:val="20"/>
                <w:szCs w:val="20"/>
                <w:color w:val="auto"/>
              </w:rPr>
            </w:pPr>
            <w:r>
              <w:rPr>
                <w:rFonts w:ascii="Times New Roman" w:cs="Times New Roman" w:eastAsia="Times New Roman" w:hAnsi="Times New Roman"/>
                <w:sz w:val="18"/>
                <w:szCs w:val="18"/>
                <w:color w:val="auto"/>
              </w:rPr>
              <w:t>55</w:t>
            </w:r>
          </w:p>
        </w:tc>
        <w:tc>
          <w:tcPr>
            <w:tcW w:w="4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360" w:type="dxa"/>
            <w:vAlign w:val="bottom"/>
          </w:tcPr>
          <w:p>
            <w:pPr>
              <w:spacing w:after="0"/>
              <w:rPr>
                <w:sz w:val="17"/>
                <w:szCs w:val="17"/>
                <w:color w:val="auto"/>
              </w:rPr>
            </w:pPr>
          </w:p>
        </w:tc>
      </w:tr>
      <w:tr>
        <w:trPr>
          <w:trHeight w:val="425"/>
        </w:trPr>
        <w:tc>
          <w:tcPr>
            <w:tcW w:w="1280" w:type="dxa"/>
            <w:vAlign w:val="bottom"/>
            <w:tcBorders>
              <w:top w:val="single" w:sz="8" w:color="0000EE"/>
            </w:tcBorders>
          </w:tcPr>
          <w:p>
            <w:pPr>
              <w:ind w:left="26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9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Section 1350 Certification of Chief Financial Officer of the Company pursuant to Section 906 of the Sarbanes-Oxley Act of 2002.</w:t>
            </w:r>
          </w:p>
        </w:tc>
      </w:tr>
      <w:tr>
        <w:trPr>
          <w:trHeight w:val="340"/>
        </w:trPr>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101.INS**</w:t>
            </w: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101.SCH**</w:t>
            </w: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101.CAL**</w:t>
            </w: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338"/>
        </w:trPr>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101.DEF**</w:t>
            </w: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101.LAB**</w:t>
            </w: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r>
      <w:tr>
        <w:trPr>
          <w:trHeight w:val="338"/>
        </w:trPr>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101.PRE**</w:t>
            </w: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bl>
    <w:p>
      <w:pPr>
        <w:spacing w:after="0" w:line="103" w:lineRule="exact"/>
        <w:rPr>
          <w:sz w:val="20"/>
          <w:szCs w:val="20"/>
          <w:color w:val="auto"/>
        </w:rPr>
      </w:pPr>
    </w:p>
    <w:p>
      <w:pPr>
        <w:ind w:left="1400" w:hanging="1318"/>
        <w:spacing w:after="0" w:line="282" w:lineRule="auto"/>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2022, has been formatted in Inline XBRL.</w:t>
      </w:r>
    </w:p>
    <w:p>
      <w:pPr>
        <w:spacing w:after="0" w:line="81" w:lineRule="exact"/>
        <w:rPr>
          <w:sz w:val="20"/>
          <w:szCs w:val="20"/>
          <w:color w:val="auto"/>
        </w:rPr>
      </w:pPr>
    </w:p>
    <w:p>
      <w:pPr>
        <w:ind w:left="1400" w:hanging="1318"/>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-127635</wp:posOffset>
            </wp:positionV>
            <wp:extent cx="8312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7" w:lineRule="exact"/>
        <w:rPr>
          <w:sz w:val="20"/>
          <w:szCs w:val="20"/>
          <w:color w:val="auto"/>
        </w:rPr>
      </w:pPr>
    </w:p>
    <w:p>
      <w:pPr>
        <w:ind w:left="1400" w:hanging="1318"/>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400" w:right="380" w:hanging="1318"/>
        <w:spacing w:after="0" w:line="254" w:lineRule="auto"/>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XBRL related information in Exhibit 101 to this Annual Report on Form 10-K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spacing w:after="0" w:line="1" w:lineRule="exact"/>
        <w:rPr>
          <w:sz w:val="20"/>
          <w:szCs w:val="20"/>
          <w:color w:val="auto"/>
        </w:rPr>
      </w:pPr>
    </w:p>
    <w:p>
      <w:pPr>
        <w:ind w:left="1400" w:right="200" w:hanging="1318"/>
        <w:spacing w:after="0" w:line="250"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Annual Report on Form 10-K for the year ended December 31, 2020 (File No. 001-35331).</w:t>
      </w:r>
    </w:p>
    <w:p>
      <w:pPr>
        <w:ind w:left="1400" w:hanging="1318"/>
        <w:spacing w:after="0"/>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May 25, 2017 (File No. 001-35331).</w:t>
      </w:r>
    </w:p>
    <w:p>
      <w:pPr>
        <w:spacing w:after="0" w:line="9" w:lineRule="exact"/>
        <w:rPr>
          <w:rFonts w:ascii="Times New Roman" w:cs="Times New Roman" w:eastAsia="Times New Roman" w:hAnsi="Times New Roman"/>
          <w:sz w:val="18"/>
          <w:szCs w:val="18"/>
          <w:color w:val="auto"/>
        </w:rPr>
      </w:pPr>
    </w:p>
    <w:p>
      <w:pPr>
        <w:ind w:left="1400" w:hanging="1318"/>
        <w:spacing w:after="0"/>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June 24, 2020 (File No. 001-35331).</w:t>
      </w:r>
    </w:p>
    <w:p>
      <w:pPr>
        <w:spacing w:after="0" w:line="22" w:lineRule="exact"/>
        <w:rPr>
          <w:rFonts w:ascii="Times New Roman" w:cs="Times New Roman" w:eastAsia="Times New Roman" w:hAnsi="Times New Roman"/>
          <w:sz w:val="18"/>
          <w:szCs w:val="18"/>
          <w:color w:val="auto"/>
        </w:rPr>
      </w:pPr>
    </w:p>
    <w:p>
      <w:pPr>
        <w:ind w:left="1400" w:right="340" w:hanging="1318"/>
        <w:spacing w:after="0" w:line="258"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October 14, 2020 (File No. 001-35331).</w:t>
      </w:r>
    </w:p>
    <w:p>
      <w:pPr>
        <w:ind w:left="1400" w:right="340" w:hanging="1318"/>
        <w:spacing w:after="0" w:line="250"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October 30, 2014 (File No. 001-35331).</w:t>
      </w:r>
    </w:p>
    <w:p>
      <w:pPr>
        <w:ind w:left="1400" w:hanging="1318"/>
        <w:spacing w:after="0" w:line="250"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registration statement on Form S-1, as amended (File No. 333-175523), originally filed with the SEC on November 23, 2011.</w:t>
      </w:r>
    </w:p>
    <w:p>
      <w:pPr>
        <w:ind w:left="1400" w:right="460" w:hanging="1318"/>
        <w:spacing w:after="0" w:line="250"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January 4, 2016 (File No. 001-35331).</w:t>
      </w:r>
    </w:p>
    <w:p>
      <w:pPr>
        <w:ind w:left="1400" w:right="280" w:hanging="1318"/>
        <w:spacing w:after="0" w:line="250"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February 16, 2016 (File No. 001-35331).</w:t>
      </w:r>
    </w:p>
    <w:p>
      <w:pPr>
        <w:ind w:left="1400" w:right="200" w:hanging="1318"/>
        <w:spacing w:after="0" w:line="250"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Annual Report on Form 10-K for the year ended December 31, 2020 (File No. 001-35331).</w:t>
      </w:r>
    </w:p>
    <w:p>
      <w:pPr>
        <w:ind w:left="1400" w:right="240" w:hanging="1318"/>
        <w:spacing w:after="0" w:line="250"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10-Q for the three months ended March 31, 2021 (File No. 001-35331).</w:t>
      </w:r>
    </w:p>
    <w:p>
      <w:pPr>
        <w:ind w:left="1400" w:right="360" w:hanging="1318"/>
        <w:spacing w:after="0" w:line="250"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January 22, 2021 (File No. 001-35331).</w:t>
      </w:r>
    </w:p>
    <w:p>
      <w:pPr>
        <w:ind w:left="1400" w:right="360" w:hanging="1318"/>
        <w:spacing w:after="0" w:line="250"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February 1, 2022 (File No. 001-35331).</w:t>
      </w:r>
    </w:p>
    <w:p>
      <w:pPr>
        <w:ind w:left="1400" w:right="100" w:hanging="1318"/>
        <w:spacing w:after="0" w:line="250"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Quarterly Report on Form 10-Q for the three months ended March 31, 2022 (File No. 001-35331).</w:t>
      </w:r>
    </w:p>
    <w:p>
      <w:pPr>
        <w:ind w:left="1400" w:hanging="1318"/>
        <w:spacing w:after="0"/>
        <w:tabs>
          <w:tab w:leader="none" w:pos="14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exhibits filed with the Company’s Current Report on Form 8-K filed April 11, 2014 (File No. 001-35331).</w:t>
      </w:r>
    </w:p>
    <w:p>
      <w:pPr>
        <w:spacing w:after="0" w:line="20" w:lineRule="exact"/>
        <w:rPr>
          <w:rFonts w:ascii="Times New Roman" w:cs="Times New Roman" w:eastAsia="Times New Roman" w:hAnsi="Times New Roman"/>
          <w:sz w:val="17"/>
          <w:szCs w:val="17"/>
          <w:color w:val="auto"/>
        </w:rPr>
      </w:pPr>
    </w:p>
    <w:p>
      <w:pPr>
        <w:ind w:left="1400" w:right="140" w:hanging="1318"/>
        <w:spacing w:after="0" w:line="258"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Amendment No. 1 to the Current Report on Form 8-K filed August 6, 2019 (File No. 001-35331).</w:t>
      </w:r>
    </w:p>
    <w:p>
      <w:pPr>
        <w:ind w:left="1400" w:right="500" w:hanging="1318"/>
        <w:spacing w:after="0" w:line="250"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August 6, 2019 (File No. 001-35331).</w:t>
      </w:r>
    </w:p>
    <w:p>
      <w:pPr>
        <w:ind w:left="1400" w:right="180" w:hanging="1318"/>
        <w:spacing w:after="0" w:line="250"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registration statement on Form S-8 filed July 30, 2013 (File No. 333-190232).</w:t>
      </w:r>
    </w:p>
    <w:p>
      <w:pPr>
        <w:ind w:left="1400" w:right="240" w:hanging="1318"/>
        <w:spacing w:after="0" w:line="260"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Quarterly Report on Form 10-Q for the three months ended June 30, 2016 (File No. 001-35331).</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1400" w:hanging="1318"/>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the Company’s Definitive Proxy Statement filed March 24, 2021 (File No. 001-35331).</w:t>
      </w:r>
    </w:p>
    <w:p>
      <w:pPr>
        <w:spacing w:after="0" w:line="27" w:lineRule="exact"/>
        <w:rPr>
          <w:rFonts w:ascii="Times New Roman" w:cs="Times New Roman" w:eastAsia="Times New Roman" w:hAnsi="Times New Roman"/>
          <w:sz w:val="18"/>
          <w:szCs w:val="18"/>
          <w:color w:val="auto"/>
        </w:rPr>
      </w:pPr>
    </w:p>
    <w:p>
      <w:pPr>
        <w:ind w:left="1400" w:right="240" w:hanging="1318"/>
        <w:spacing w:after="0" w:line="258" w:lineRule="auto"/>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10-Q for the three months ended March 31, 2018 (File No. 001-35331).</w:t>
      </w:r>
    </w:p>
    <w:p>
      <w:pPr>
        <w:ind w:left="1400" w:hanging="1318"/>
        <w:spacing w:after="0" w:line="250" w:lineRule="auto"/>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registration statement on Form S-4, as amended (File No. 333-175523), originally filed with the SEC on July 13, 2011.</w:t>
      </w:r>
    </w:p>
    <w:p>
      <w:pPr>
        <w:ind w:left="1400" w:right="100" w:hanging="1318"/>
        <w:spacing w:after="0" w:line="250" w:lineRule="auto"/>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Quarterly Report on Form 10-Q for the three months ended March 31, 2013 (File No. 001-35331).</w:t>
      </w:r>
    </w:p>
    <w:p>
      <w:pPr>
        <w:ind w:left="1400" w:right="260" w:hanging="1318"/>
        <w:spacing w:after="0" w:line="260" w:lineRule="auto"/>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November 1, 2011 (File No. 001-35331).</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Acadia Healthcare Company, Inc.</w:t>
      </w:r>
    </w:p>
    <w:p>
      <w:pPr>
        <w:spacing w:after="0" w:line="2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By:/s/ CHRISTOPHER H. HUNTER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26035</wp:posOffset>
            </wp:positionV>
            <wp:extent cx="35579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Christopher H. Hunter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28, 2023</w:t>
      </w:r>
    </w:p>
    <w:p>
      <w:pPr>
        <w:spacing w:after="0" w:line="225"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90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48"/>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H. HUNTER</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Christopher H. Hunter</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w:t>
            </w:r>
          </w:p>
        </w:tc>
        <w:tc>
          <w:tcPr>
            <w:tcW w:w="1800" w:type="dxa"/>
            <w:vAlign w:val="bottom"/>
          </w:tcPr>
          <w:p>
            <w:pPr>
              <w:spacing w:after="0"/>
              <w:rPr>
                <w:sz w:val="19"/>
                <w:szCs w:val="19"/>
                <w:color w:val="auto"/>
              </w:rPr>
            </w:pPr>
          </w:p>
        </w:tc>
      </w:tr>
      <w:tr>
        <w:trPr>
          <w:trHeight w:val="42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M. DUCKWORTH</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M. Duckworth</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00" w:type="dxa"/>
            <w:vAlign w:val="bottom"/>
          </w:tcPr>
          <w:p>
            <w:pPr>
              <w:spacing w:after="0"/>
              <w:rPr>
                <w:sz w:val="19"/>
                <w:szCs w:val="19"/>
                <w:color w:val="auto"/>
              </w:rPr>
            </w:pPr>
          </w:p>
        </w:tc>
      </w:tr>
      <w:tr>
        <w:trPr>
          <w:trHeight w:val="42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REEVE B. WAUD</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Reeve B. Waud</w:t>
            </w:r>
          </w:p>
        </w:tc>
        <w:tc>
          <w:tcPr>
            <w:tcW w:w="49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/s/JASON R. BERNHARD</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Jason R. Bernhard</w:t>
            </w:r>
          </w:p>
        </w:tc>
        <w:tc>
          <w:tcPr>
            <w:tcW w:w="49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 PEROT BISSELL</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 Perot Bissell</w:t>
            </w:r>
          </w:p>
        </w:tc>
        <w:tc>
          <w:tcPr>
            <w:tcW w:w="49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J. FUCCI</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J. Fucci</w:t>
            </w:r>
          </w:p>
        </w:tc>
        <w:tc>
          <w:tcPr>
            <w:tcW w:w="49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VICKY B. GREGG</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Vicky B. Gregg</w:t>
            </w:r>
          </w:p>
        </w:tc>
        <w:tc>
          <w:tcPr>
            <w:tcW w:w="49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F. GRIECO</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F. Grieco</w:t>
            </w:r>
          </w:p>
        </w:tc>
        <w:tc>
          <w:tcPr>
            <w:tcW w:w="49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R. KELLY</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R. Kelly</w:t>
            </w:r>
          </w:p>
        </w:tc>
        <w:tc>
          <w:tcPr>
            <w:tcW w:w="49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WADE D. MIQUELON</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Wade D. Miquelon</w:t>
            </w:r>
          </w:p>
        </w:tc>
        <w:tc>
          <w:tcPr>
            <w:tcW w:w="49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DEBRA K. OSTEEN</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Debra K. Osteen</w:t>
            </w:r>
          </w:p>
        </w:tc>
        <w:tc>
          <w:tcPr>
            <w:tcW w:w="49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M. PETRIE</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M. Petrie</w:t>
            </w:r>
          </w:p>
        </w:tc>
        <w:tc>
          <w:tcPr>
            <w:tcW w:w="490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Management’s Report on Internal Control Over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(PCAOB: 42)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Consolidated Balance Sheets at December 31, 2022 and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Consolidated Statements of Operations for the years ended December 31, 2022, 2021 and 2020</w:t>
      </w:r>
    </w:p>
    <w:p>
      <w:pPr>
        <w:spacing w:after="0" w:line="23" w:lineRule="exact"/>
        <w:rPr>
          <w:sz w:val="20"/>
          <w:szCs w:val="20"/>
          <w:color w:val="auto"/>
        </w:rPr>
      </w:pPr>
    </w:p>
    <w:p>
      <w:pPr>
        <w:ind w:right="1720"/>
        <w:spacing w:after="0" w:line="266" w:lineRule="auto"/>
        <w:rPr>
          <w:sz w:val="20"/>
          <w:szCs w:val="20"/>
          <w:color w:val="auto"/>
        </w:rPr>
      </w:pPr>
      <w:r>
        <w:rPr>
          <w:rFonts w:ascii="Times New Roman" w:cs="Times New Roman" w:eastAsia="Times New Roman" w:hAnsi="Times New Roman"/>
          <w:sz w:val="18"/>
          <w:szCs w:val="18"/>
          <w:u w:val="single" w:color="auto"/>
          <w:color w:val="0000EE"/>
        </w:rPr>
        <w:t>Consolidated Statements of Comprehensive Income (Loss) for the years ended December 31, 2022, 2021 and 2020 Consolidated Statements of Equity for the years ended December 31, 2022, 2021 and 2020</w:t>
      </w:r>
    </w:p>
    <w:p>
      <w:pPr>
        <w:ind w:right="3080"/>
        <w:spacing w:after="0" w:line="292" w:lineRule="auto"/>
        <w:rPr>
          <w:sz w:val="20"/>
          <w:szCs w:val="20"/>
          <w:color w:val="auto"/>
        </w:rPr>
      </w:pPr>
      <w:r>
        <w:rPr>
          <w:rFonts w:ascii="Times New Roman" w:cs="Times New Roman" w:eastAsia="Times New Roman" w:hAnsi="Times New Roman"/>
          <w:sz w:val="18"/>
          <w:szCs w:val="18"/>
          <w:u w:val="single" w:color="auto"/>
          <w:color w:val="0000EE"/>
        </w:rPr>
        <w:t>Consolidated Statements of Cash Flows for the years ended December 31, 2022, 2021 and 2020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7620</wp:posOffset>
            </wp:positionV>
            <wp:extent cx="4203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420370" cy="825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2">
            <w:col w:w="10000" w:space="720"/>
            <w:col w:w="52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at December 31, 2022 based on the framework in Internal Control—Integrated Framework issued by the Committee of Sponsoring Organizations of the Treadway Commission (2013 framework) (COSO). Based on that evaluation, our management concluded that our internal control over financial reporting was effective at December 31, 2022.</w:t>
      </w:r>
    </w:p>
    <w:p>
      <w:pPr>
        <w:spacing w:after="0" w:line="187"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Our accompanying consolidated financial statements have been audited by the independent registered public accounting firm of Ernst &amp; Young LLP. Reports of the independent registered public accounting firm, including the independent registered public accounting firm’s report on our internal control over financial reporting, are included in this report.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Healthcare Company,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Acadia Healthcare Company, Inc.’s internal control over financial reporting as of December 31, 2022, based on criteria established in Internal Control—Integrated Framework issued by the Committee of Sponsoring Organizations of the Treadway Commission (2013 framework) (the COSO criteria). In our opinion, Acadia Healthcare Company, Inc. (the Company) maintained, in all material respects, effective internal control over financial reporting as of December 31, 2022, based on the COSO criteria.</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Acadia Healthcare Company, Inc. as of December 31, 2022 and 2021, and the related consolidated statements of operations, comprehensive income (loss), equity and cash flows for each of the three years in the period ended December 31, 2022, and the related notes and our report dated February 28, 2023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 Acadia Healthcare Company,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Acadia Healthcare Company, Inc. (the Company) as of December 31, 2022 and 2021, the related consolidated statements of operations, comprehensive income (loss),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ind w:left="1860" w:right="440" w:hanging="1848"/>
        <w:spacing w:after="0" w:line="257" w:lineRule="auto"/>
        <w:rPr>
          <w:sz w:val="20"/>
          <w:szCs w:val="20"/>
          <w:color w:val="auto"/>
        </w:rPr>
      </w:pPr>
      <w:r>
        <w:rPr>
          <w:rFonts w:ascii="Times New Roman" w:cs="Times New Roman" w:eastAsia="Times New Roman" w:hAnsi="Times New Roman"/>
          <w:sz w:val="18"/>
          <w:szCs w:val="18"/>
          <w:i w:val="1"/>
          <w:iCs w:val="1"/>
          <w:color w:val="auto"/>
        </w:rPr>
        <w:t>Description of the Matter</w:t>
      </w:r>
      <w:r>
        <w:rPr>
          <w:rFonts w:ascii="Times New Roman" w:cs="Times New Roman" w:eastAsia="Times New Roman" w:hAnsi="Times New Roman"/>
          <w:sz w:val="18"/>
          <w:szCs w:val="18"/>
          <w:color w:val="auto"/>
        </w:rPr>
        <w:t>For the year ended December 31, 2022, the Company recognized $2.6 billion of revenue from continuing operations.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in Note 3 of the consolidated financial statements, the Company determines the transaction price for services to patients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primarily on historical collection experience.</w:t>
      </w:r>
    </w:p>
    <w:p>
      <w:pPr>
        <w:spacing w:after="0" w:line="182"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Auditing the Company’s revenue recognition and its estimates of contractual adjustments, discounts and implicit price</w:t>
      </w:r>
    </w:p>
    <w:p>
      <w:pPr>
        <w:spacing w:after="0" w:line="29" w:lineRule="exact"/>
        <w:rPr>
          <w:sz w:val="20"/>
          <w:szCs w:val="20"/>
          <w:color w:val="auto"/>
        </w:rPr>
      </w:pPr>
    </w:p>
    <w:p>
      <w:pPr>
        <w:jc w:val="both"/>
        <w:ind w:left="1860" w:right="440" w:hanging="1848"/>
        <w:spacing w:after="0" w:line="253" w:lineRule="auto"/>
        <w:tabs>
          <w:tab w:leader="none" w:pos="184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concessions was complex and judgmental due to the significant data inputs and subjective assumptions utilized in estimating the related amounts. Various reimbursement programs under which these amounts must be estimated are complex and subject to interpretation and adjustment. Additionally, updated regulations and contract renegotiations occur frequently, necessitating regular review and assessment of the estimation process by management.</w:t>
      </w:r>
    </w:p>
    <w:p>
      <w:pPr>
        <w:spacing w:after="0" w:line="189" w:lineRule="exact"/>
        <w:rPr>
          <w:sz w:val="20"/>
          <w:szCs w:val="20"/>
          <w:color w:val="auto"/>
        </w:rPr>
      </w:pPr>
    </w:p>
    <w:p>
      <w:pPr>
        <w:jc w:val="both"/>
        <w:ind w:left="1860" w:right="44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revenue recognition, including controls over key data inputs to the contractual adjustment, discount and implicit price concession estimates and management’s review and consideration of retrospective analyses of historical expected cash collections compared to subsequent actual collections.</w:t>
      </w:r>
    </w:p>
    <w:p>
      <w:pPr>
        <w:spacing w:after="0" w:line="180" w:lineRule="exact"/>
        <w:rPr>
          <w:sz w:val="20"/>
          <w:szCs w:val="20"/>
          <w:color w:val="auto"/>
        </w:rPr>
      </w:pPr>
    </w:p>
    <w:p>
      <w:pPr>
        <w:jc w:val="both"/>
        <w:ind w:left="1860" w:right="440"/>
        <w:spacing w:after="0" w:line="256" w:lineRule="auto"/>
        <w:rPr>
          <w:sz w:val="20"/>
          <w:szCs w:val="20"/>
          <w:color w:val="auto"/>
        </w:rPr>
      </w:pPr>
      <w:r>
        <w:rPr>
          <w:rFonts w:ascii="Times New Roman" w:cs="Times New Roman" w:eastAsia="Times New Roman" w:hAnsi="Times New Roman"/>
          <w:sz w:val="18"/>
          <w:szCs w:val="18"/>
          <w:color w:val="auto"/>
        </w:rPr>
        <w:t>To test the revenue recognized, we performed audit procedures that included, among others, testing the validity of a sample of revenue transactions and the completeness and accuracy of data inputs to the estimates of contractual adjustments, discounts and implicit price concessions, including payor contractual terms and historical collection experience. We assessed the historical accuracy of management’s estimates based on subsequent collection experience and used the assessment as a source of potential corroborative or contrary evidence supporting management’s assumptions of future collections of existing accounts receivable.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50"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60" w:type="dxa"/>
            <w:vAlign w:val="bottom"/>
            <w:gridSpan w:val="4"/>
          </w:tcPr>
          <w:p>
            <w:pPr>
              <w:jc w:val="center"/>
              <w:ind w:right="271"/>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3"/>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rPr>
              <w:t>share amounts)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97,649</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322,439</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13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86,037</w:t>
            </w:r>
          </w:p>
        </w:tc>
        <w:tc>
          <w:tcPr>
            <w:tcW w:w="4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506,125</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1,952,045</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2,222,805</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76,041</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135,238</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3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92,697</w:t>
            </w:r>
          </w:p>
        </w:tc>
        <w:tc>
          <w:tcPr>
            <w:tcW w:w="4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4,987,901</w:t>
            </w:r>
          </w:p>
        </w:tc>
        <w:tc>
          <w:tcPr>
            <w:tcW w:w="4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4,768,078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ind w:left="25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7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420" w:type="dxa"/>
            <w:vAlign w:val="bottom"/>
          </w:tcPr>
          <w:p>
            <w:pPr>
              <w:spacing w:after="0"/>
              <w:rPr>
                <w:sz w:val="19"/>
                <w:szCs w:val="19"/>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104,723</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125,298</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3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110,592</w:t>
            </w:r>
          </w:p>
        </w:tc>
        <w:tc>
          <w:tcPr>
            <w:tcW w:w="4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388,326</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1,364,541</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92,588</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116,429</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3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125,033</w:t>
            </w:r>
          </w:p>
        </w:tc>
        <w:tc>
          <w:tcPr>
            <w:tcW w:w="4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2,086,917</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88,257</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w:t>
            </w: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 shares issued</w:t>
            </w:r>
          </w:p>
        </w:tc>
        <w:tc>
          <w:tcPr>
            <w:tcW w:w="13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$0.01 par value; 180,000,000 shares authorized;</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89,913,659 and 89,028,158 issued and outstanding as of</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2,658,440</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153,388</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(119,751)</w:t>
            </w: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3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2,812,727</w:t>
            </w:r>
          </w:p>
        </w:tc>
        <w:tc>
          <w:tcPr>
            <w:tcW w:w="4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2,517,489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380" w:type="dxa"/>
            <w:vAlign w:val="bottom"/>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4,987,901</w:t>
            </w:r>
          </w:p>
        </w:tc>
        <w:tc>
          <w:tcPr>
            <w:tcW w:w="420" w:type="dxa"/>
            <w:vAlign w:val="bottom"/>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00" w:type="dxa"/>
            <w:vAlign w:val="bottom"/>
            <w:gridSpan w:val="7"/>
          </w:tcPr>
          <w:p>
            <w:pPr>
              <w:jc w:val="center"/>
              <w:ind w:left="491"/>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2,610,399</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2,314,394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Salaries, wages and benefits (including equity-based compensation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 of $29,635, $37,530 and $22,504, respectively)</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1,243,804</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158,013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136,739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Supplies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90,702</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Rents and leases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45,462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38,519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301,339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provider relief fund</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(21,451)</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(17,900)</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(32,819)</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106,717</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76,993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impairment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23,792</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12,778</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2,236,256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2,038,634</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275,760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94,110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67,557</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208,203</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(12,641)</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(812,390)</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195,562</w:t>
            </w:r>
          </w:p>
        </w:tc>
        <w:tc>
          <w:tcPr>
            <w:tcW w:w="2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(6,894)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(4,927)</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63"/>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Acadia Healthcare Company, Inc.</w:t>
            </w: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273,139</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190,635</w:t>
            </w:r>
          </w:p>
        </w:tc>
        <w:tc>
          <w:tcPr>
            <w:tcW w:w="26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(672,132)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64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Basic earnings (loss) per share attributable to Acadia Healthcare Company,</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 stockholders:</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 attributable to Acadia Healthcare Company, Inc.</w:t>
            </w:r>
          </w:p>
        </w:tc>
        <w:tc>
          <w:tcPr>
            <w:tcW w:w="4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63"/>
        </w:trPr>
        <w:tc>
          <w:tcPr>
            <w:tcW w:w="64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Acadia Healthcare Company, Inc.</w:t>
            </w: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attributable to Acadia Healthcare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Inc. stockholders: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 attributable to Acadia Healthcare Company, Inc.</w:t>
            </w:r>
          </w:p>
        </w:tc>
        <w:tc>
          <w:tcPr>
            <w:tcW w:w="46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Acadia Healthcare Company, Inc.</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89,680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88,769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90,793</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7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r>
      <w:tr>
        <w:trPr>
          <w:trHeight w:val="156"/>
        </w:trPr>
        <w:tc>
          <w:tcPr>
            <w:tcW w:w="5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280,033</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195,562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(669,199)</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(4,260)</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61,247</w:t>
            </w:r>
          </w:p>
        </w:tc>
        <w:tc>
          <w:tcPr>
            <w:tcW w:w="100" w:type="dxa"/>
            <w:vAlign w:val="bottom"/>
            <w:shd w:val="clear" w:color="auto" w:fill="CFF0FC"/>
          </w:tcPr>
          <w:p>
            <w:pPr>
              <w:spacing w:after="0"/>
              <w:rPr>
                <w:sz w:val="19"/>
                <w:szCs w:val="19"/>
                <w:color w:val="auto"/>
              </w:rPr>
            </w:pPr>
          </w:p>
        </w:tc>
      </w:tr>
      <w:tr>
        <w:trPr>
          <w:trHeight w:val="211"/>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(loss) on derivative instruments, net of tax of $0.0</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million, $0.1 million and $(3.9) million, respectively</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(11,272)</w:t>
            </w:r>
          </w:p>
        </w:tc>
      </w:tr>
      <w:tr>
        <w:trPr>
          <w:trHeight w:val="211"/>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Pension liability adjustment, net of tax of $0.0 million, $0.0</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million and $(0.8) million, respectively</w:t>
            </w: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(6,456)</w:t>
            </w: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U.K. Sale</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375,606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371,365</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566,927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(625,680)</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(6,894)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(4,927)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(2,933)</w:t>
            </w:r>
          </w:p>
        </w:tc>
      </w:tr>
      <w:tr>
        <w:trPr>
          <w:trHeight w:val="205"/>
        </w:trPr>
        <w:tc>
          <w:tcPr>
            <w:tcW w:w="5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Comprehensive income (loss) attributable to Acadia Healthcare</w:t>
            </w:r>
          </w:p>
        </w:tc>
        <w:tc>
          <w:tcPr>
            <w:tcW w:w="10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Inc.</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273,139</w:t>
            </w:r>
          </w:p>
        </w:tc>
        <w:tc>
          <w:tcPr>
            <w:tcW w:w="100" w:type="dxa"/>
            <w:vAlign w:val="bottom"/>
          </w:tcPr>
          <w:p>
            <w:pPr>
              <w:spacing w:after="0"/>
              <w:rPr>
                <w:sz w:val="20"/>
                <w:szCs w:val="20"/>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562,000</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(628,613)</w:t>
            </w:r>
          </w:p>
        </w:tc>
      </w:tr>
      <w:tr>
        <w:trPr>
          <w:trHeight w:val="20"/>
        </w:trPr>
        <w:tc>
          <w:tcPr>
            <w:tcW w:w="5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4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0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4420" w:type="dxa"/>
            <w:vAlign w:val="bottom"/>
          </w:tcPr>
          <w:p>
            <w:pPr>
              <w:spacing w:after="0"/>
              <w:rPr>
                <w:sz w:val="13"/>
                <w:szCs w:val="13"/>
                <w:color w:val="auto"/>
              </w:rPr>
            </w:pPr>
          </w:p>
        </w:tc>
        <w:tc>
          <w:tcPr>
            <w:tcW w:w="206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w:t>
            </w: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Deficit) Retained</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42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2"/>
                <w:szCs w:val="12"/>
                <w:color w:val="auto"/>
              </w:rPr>
            </w:pPr>
          </w:p>
        </w:tc>
        <w:tc>
          <w:tcPr>
            <w:tcW w:w="760" w:type="dxa"/>
            <w:vAlign w:val="bottom"/>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in Capital</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80" w:type="dxa"/>
            <w:vAlign w:val="bottom"/>
          </w:tcPr>
          <w:p>
            <w:pPr>
              <w:spacing w:after="0"/>
              <w:rPr>
                <w:sz w:val="12"/>
                <w:szCs w:val="12"/>
                <w:color w:val="auto"/>
              </w:rPr>
            </w:pPr>
          </w:p>
        </w:tc>
        <w:tc>
          <w:tcPr>
            <w:tcW w:w="108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Pr>
          <w:p>
            <w:pPr>
              <w:spacing w:after="0"/>
              <w:rPr>
                <w:sz w:val="12"/>
                <w:szCs w:val="12"/>
                <w:color w:val="auto"/>
              </w:rPr>
            </w:pPr>
          </w:p>
        </w:tc>
        <w:tc>
          <w:tcPr>
            <w:tcW w:w="88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209"/>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87,715</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2,557,642</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(414,884)</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361,746</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2,505,381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stock issued under stock incentive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r>
      <w:tr>
        <w:trPr>
          <w:trHeight w:val="205"/>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Repurchase of shares for payroll tax witholdings,</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net of proceeds from stock option exercises</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(1,843)</w:t>
            </w:r>
          </w:p>
        </w:tc>
      </w:tr>
      <w:tr>
        <w:trPr>
          <w:trHeight w:val="213"/>
        </w:trPr>
        <w:tc>
          <w:tcPr>
            <w:tcW w:w="4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22,504</w:t>
            </w:r>
          </w:p>
        </w:tc>
        <w:tc>
          <w:tcPr>
            <w:tcW w:w="100" w:type="dxa"/>
            <w:vAlign w:val="bottom"/>
          </w:tcPr>
          <w:p>
            <w:pPr>
              <w:spacing w:after="0"/>
              <w:rPr>
                <w:sz w:val="18"/>
                <w:szCs w:val="18"/>
                <w:color w:val="auto"/>
              </w:rPr>
            </w:pPr>
          </w:p>
        </w:tc>
      </w:tr>
      <w:tr>
        <w:trPr>
          <w:trHeight w:val="219"/>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43,519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43,519</w:t>
            </w:r>
          </w:p>
        </w:tc>
        <w:tc>
          <w:tcPr>
            <w:tcW w:w="100" w:type="dxa"/>
            <w:vAlign w:val="bottom"/>
            <w:shd w:val="clear" w:color="auto" w:fill="CFF0FC"/>
          </w:tcPr>
          <w:p>
            <w:pPr>
              <w:spacing w:after="0"/>
              <w:rPr>
                <w:sz w:val="19"/>
                <w:szCs w:val="19"/>
                <w:color w:val="auto"/>
              </w:rPr>
            </w:pPr>
          </w:p>
        </w:tc>
      </w:tr>
      <w:tr>
        <w:trPr>
          <w:trHeight w:val="202"/>
        </w:trPr>
        <w:tc>
          <w:tcPr>
            <w:tcW w:w="4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 attributable to Acadia Healthcare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Company, Inc. stockholders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(672,132)</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(672,132)</w:t>
            </w:r>
          </w:p>
        </w:tc>
      </w:tr>
      <w:tr>
        <w:trPr>
          <w:trHeight w:val="212"/>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88,024</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2,580,327</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(371,365)</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(310,386)</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1,899,456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stock issued under stock incentive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22,029</w:t>
            </w:r>
          </w:p>
        </w:tc>
        <w:tc>
          <w:tcPr>
            <w:tcW w:w="100" w:type="dxa"/>
            <w:vAlign w:val="bottom"/>
          </w:tcPr>
          <w:p>
            <w:pPr>
              <w:spacing w:after="0"/>
              <w:rPr>
                <w:sz w:val="18"/>
                <w:szCs w:val="18"/>
                <w:color w:val="auto"/>
              </w:rPr>
            </w:pPr>
          </w:p>
        </w:tc>
      </w:tr>
      <w:tr>
        <w:trPr>
          <w:trHeight w:val="205"/>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Repurchase of shares for payroll tax witholdings,</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net of proceeds from stock option exercises</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(5,734)</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(5,734)</w:t>
            </w:r>
          </w:p>
        </w:tc>
      </w:tr>
      <w:tr>
        <w:trPr>
          <w:trHeight w:val="213"/>
        </w:trPr>
        <w:tc>
          <w:tcPr>
            <w:tcW w:w="4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37,530</w:t>
            </w:r>
          </w:p>
        </w:tc>
        <w:tc>
          <w:tcPr>
            <w:tcW w:w="100" w:type="dxa"/>
            <w:vAlign w:val="bottom"/>
          </w:tcPr>
          <w:p>
            <w:pPr>
              <w:spacing w:after="0"/>
              <w:rPr>
                <w:sz w:val="18"/>
                <w:szCs w:val="18"/>
                <w:color w:val="auto"/>
              </w:rPr>
            </w:pPr>
          </w:p>
        </w:tc>
      </w:tr>
      <w:tr>
        <w:trPr>
          <w:trHeight w:val="219"/>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371,365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371,365</w:t>
            </w:r>
          </w:p>
        </w:tc>
        <w:tc>
          <w:tcPr>
            <w:tcW w:w="100" w:type="dxa"/>
            <w:vAlign w:val="bottom"/>
            <w:shd w:val="clear" w:color="auto" w:fill="CFF0FC"/>
          </w:tcPr>
          <w:p>
            <w:pPr>
              <w:spacing w:after="0"/>
              <w:rPr>
                <w:sz w:val="19"/>
                <w:szCs w:val="19"/>
                <w:color w:val="auto"/>
              </w:rPr>
            </w:pPr>
          </w:p>
        </w:tc>
      </w:tr>
      <w:tr>
        <w:trPr>
          <w:trHeight w:val="213"/>
        </w:trPr>
        <w:tc>
          <w:tcPr>
            <w:tcW w:w="4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tcPr>
          <w:p>
            <w:pPr>
              <w:spacing w:after="0"/>
              <w:rPr>
                <w:sz w:val="18"/>
                <w:szCs w:val="18"/>
                <w:color w:val="auto"/>
              </w:rPr>
            </w:pPr>
          </w:p>
        </w:tc>
      </w:tr>
      <w:tr>
        <w:trPr>
          <w:trHeight w:val="205"/>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income attributable to Acadia Healthcare</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Company, Inc. stockholders</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190,635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190,635</w:t>
            </w:r>
          </w:p>
        </w:tc>
        <w:tc>
          <w:tcPr>
            <w:tcW w:w="100" w:type="dxa"/>
            <w:vAlign w:val="bottom"/>
            <w:shd w:val="clear" w:color="auto" w:fill="CFF0FC"/>
          </w:tcPr>
          <w:p>
            <w:pPr>
              <w:spacing w:after="0"/>
              <w:rPr>
                <w:sz w:val="18"/>
                <w:szCs w:val="18"/>
                <w:color w:val="auto"/>
              </w:rPr>
            </w:pPr>
          </w:p>
        </w:tc>
      </w:tr>
      <w:tr>
        <w:trPr>
          <w:trHeight w:val="207"/>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89,028</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2,636,350</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(119,751)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2,517,489</w:t>
            </w:r>
          </w:p>
        </w:tc>
        <w:tc>
          <w:tcPr>
            <w:tcW w:w="100" w:type="dxa"/>
            <w:vAlign w:val="bottom"/>
          </w:tcPr>
          <w:p>
            <w:pPr>
              <w:spacing w:after="0"/>
              <w:rPr>
                <w:sz w:val="17"/>
                <w:szCs w:val="17"/>
                <w:color w:val="auto"/>
              </w:rPr>
            </w:pPr>
          </w:p>
        </w:tc>
      </w:tr>
      <w:tr>
        <w:trPr>
          <w:trHeight w:val="219"/>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Common stock issued under stock incentive plans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11,613</w:t>
            </w:r>
          </w:p>
        </w:tc>
        <w:tc>
          <w:tcPr>
            <w:tcW w:w="100" w:type="dxa"/>
            <w:vAlign w:val="bottom"/>
            <w:shd w:val="clear" w:color="auto" w:fill="CFF0FC"/>
          </w:tcPr>
          <w:p>
            <w:pPr>
              <w:spacing w:after="0"/>
              <w:rPr>
                <w:sz w:val="19"/>
                <w:szCs w:val="19"/>
                <w:color w:val="auto"/>
              </w:rPr>
            </w:pPr>
          </w:p>
        </w:tc>
      </w:tr>
      <w:tr>
        <w:trPr>
          <w:trHeight w:val="202"/>
        </w:trPr>
        <w:tc>
          <w:tcPr>
            <w:tcW w:w="4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Repurchase of shares for payroll tax witholdings,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of proceeds from stock option exercises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(17,792)</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(17,792)</w:t>
            </w:r>
          </w:p>
        </w:tc>
      </w:tr>
      <w:tr>
        <w:trPr>
          <w:trHeight w:val="219"/>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29,635</w:t>
            </w:r>
          </w:p>
        </w:tc>
        <w:tc>
          <w:tcPr>
            <w:tcW w:w="100" w:type="dxa"/>
            <w:vAlign w:val="bottom"/>
            <w:shd w:val="clear" w:color="auto" w:fill="CFF0FC"/>
          </w:tcPr>
          <w:p>
            <w:pPr>
              <w:spacing w:after="0"/>
              <w:rPr>
                <w:sz w:val="19"/>
                <w:szCs w:val="19"/>
                <w:color w:val="auto"/>
              </w:rPr>
            </w:pPr>
          </w:p>
        </w:tc>
      </w:tr>
      <w:tr>
        <w:trPr>
          <w:trHeight w:val="213"/>
        </w:trPr>
        <w:tc>
          <w:tcPr>
            <w:tcW w:w="4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(1,357)</w:t>
            </w:r>
          </w:p>
        </w:tc>
      </w:tr>
      <w:tr>
        <w:trPr>
          <w:trHeight w:val="205"/>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income attributable to Acadia Healthcare</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Company, Inc. stockholders</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273,139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273,139</w:t>
            </w:r>
          </w:p>
        </w:tc>
        <w:tc>
          <w:tcPr>
            <w:tcW w:w="100" w:type="dxa"/>
            <w:vAlign w:val="bottom"/>
            <w:shd w:val="clear" w:color="auto" w:fill="CFF0FC"/>
          </w:tcPr>
          <w:p>
            <w:pPr>
              <w:spacing w:after="0"/>
              <w:rPr>
                <w:sz w:val="18"/>
                <w:szCs w:val="18"/>
                <w:color w:val="auto"/>
              </w:rPr>
            </w:pPr>
          </w:p>
        </w:tc>
      </w:tr>
      <w:tr>
        <w:trPr>
          <w:trHeight w:val="207"/>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89,914</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2,658,440</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153,388</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2,812,727</w:t>
            </w:r>
          </w:p>
        </w:tc>
        <w:tc>
          <w:tcPr>
            <w:tcW w:w="10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33"/>
              <w:spacing w:after="0" w:line="142" w:lineRule="exact"/>
              <w:rPr>
                <w:sz w:val="20"/>
                <w:szCs w:val="20"/>
                <w:color w:val="auto"/>
              </w:rPr>
            </w:pPr>
            <w:r>
              <w:rPr>
                <w:rFonts w:ascii="Times New Roman" w:cs="Times New Roman" w:eastAsia="Times New Roman" w:hAnsi="Times New Roman"/>
                <w:sz w:val="13"/>
                <w:szCs w:val="13"/>
                <w:b w:val="1"/>
                <w:bCs w:val="1"/>
                <w:color w:val="auto"/>
                <w:w w:val="92"/>
              </w:rPr>
              <w:t>2021</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4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280,033</w:t>
            </w:r>
          </w:p>
        </w:tc>
        <w:tc>
          <w:tcPr>
            <w:tcW w:w="16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195,562</w:t>
            </w:r>
          </w:p>
        </w:tc>
        <w:tc>
          <w:tcPr>
            <w:tcW w:w="280" w:type="dxa"/>
            <w:vAlign w:val="bottom"/>
          </w:tcPr>
          <w:p>
            <w:pPr>
              <w:spacing w:after="0"/>
              <w:rPr>
                <w:sz w:val="14"/>
                <w:szCs w:val="14"/>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(669,199)</w:t>
            </w:r>
          </w:p>
        </w:tc>
        <w:tc>
          <w:tcPr>
            <w:tcW w:w="0" w:type="dxa"/>
            <w:vAlign w:val="bottom"/>
          </w:tcPr>
          <w:p>
            <w:pPr>
              <w:spacing w:after="0"/>
              <w:rPr>
                <w:sz w:val="1"/>
                <w:szCs w:val="1"/>
                <w:color w:val="auto"/>
              </w:rPr>
            </w:pPr>
          </w:p>
        </w:tc>
      </w:tr>
      <w:tr>
        <w:trPr>
          <w:trHeight w:val="145"/>
        </w:trPr>
        <w:tc>
          <w:tcPr>
            <w:tcW w:w="6600" w:type="dxa"/>
            <w:vAlign w:val="bottom"/>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Adjustments to reconcile net income (loss) to net cash provided by continuing</w:t>
            </w:r>
          </w:p>
        </w:tc>
        <w:tc>
          <w:tcPr>
            <w:tcW w:w="7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117,769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106,717</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4,071</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29,635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37,530</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16,545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11,772</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 from discontinued operations, net of taxes</w:t>
            </w:r>
          </w:p>
        </w:tc>
        <w:tc>
          <w:tcPr>
            <w:tcW w:w="7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12,641</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812,390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Debt extinguishment costs</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24,650</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 on impairment</w:t>
            </w:r>
          </w:p>
        </w:tc>
        <w:tc>
          <w:tcPr>
            <w:tcW w:w="7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 in operating assets and liabilities, net of effect of acquisitions:</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Accounts receivable, net</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(41,978)</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Other current assets</w:t>
            </w:r>
          </w:p>
        </w:tc>
        <w:tc>
          <w:tcPr>
            <w:tcW w:w="7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(17,626)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Other assets</w:t>
            </w: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(10,770)</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Accounts payable and other accrued liabilities</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Accrued salaries and benefits</w:t>
            </w: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6,804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9,755</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(10,001)</w:t>
            </w: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Other liabilities</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(14,940)</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Government relief funds</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(39,070)</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(38,128)</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86,599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continuing operating activities</w:t>
            </w:r>
          </w:p>
        </w:tc>
        <w:tc>
          <w:tcPr>
            <w:tcW w:w="7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380,569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374,224</w:t>
            </w:r>
          </w:p>
        </w:tc>
        <w:tc>
          <w:tcPr>
            <w:tcW w:w="2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502,844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cash provided by discontinued operating activities</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155,963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7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380,569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374,477</w:t>
            </w:r>
          </w:p>
        </w:tc>
        <w:tc>
          <w:tcPr>
            <w:tcW w:w="2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658,807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7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(139,015)</w:t>
            </w:r>
          </w:p>
        </w:tc>
        <w:tc>
          <w:tcPr>
            <w:tcW w:w="3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paid for capital expenditures</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(296,149)</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(244,811)</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(224,964)</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U.K. Sale</w:t>
            </w:r>
          </w:p>
        </w:tc>
        <w:tc>
          <w:tcPr>
            <w:tcW w:w="7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1,511,020</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Settlement of foreign currency derivatives</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(84,795)</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paid for purchase of finance lease</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(31,401)</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(7,248)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(1,394)</w:t>
            </w:r>
          </w:p>
        </w:tc>
        <w:tc>
          <w:tcPr>
            <w:tcW w:w="3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(13,365)</w:t>
            </w:r>
          </w:p>
        </w:tc>
        <w:tc>
          <w:tcPr>
            <w:tcW w:w="0" w:type="dxa"/>
            <w:vAlign w:val="bottom"/>
          </w:tcPr>
          <w:p>
            <w:pPr>
              <w:spacing w:after="0"/>
              <w:rPr>
                <w:sz w:val="1"/>
                <w:szCs w:val="1"/>
                <w:color w:val="auto"/>
              </w:rPr>
            </w:pPr>
          </w:p>
        </w:tc>
      </w:tr>
      <w:tr>
        <w:trPr>
          <w:trHeight w:val="20"/>
        </w:trPr>
        <w:tc>
          <w:tcPr>
            <w:tcW w:w="66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cash (used in) provided by continuing investing activities</w:t>
            </w: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0" w:type="dxa"/>
            <w:vAlign w:val="bottom"/>
            <w:vMerge w:val="continue"/>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(305,830)</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1,013,097</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(238,237)</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discontinued investing activities</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(43,602)</w:t>
            </w:r>
          </w:p>
        </w:tc>
        <w:tc>
          <w:tcPr>
            <w:tcW w:w="0" w:type="dxa"/>
            <w:vAlign w:val="bottom"/>
          </w:tcPr>
          <w:p>
            <w:pPr>
              <w:spacing w:after="0"/>
              <w:rPr>
                <w:sz w:val="1"/>
                <w:szCs w:val="1"/>
                <w:color w:val="auto"/>
              </w:rPr>
            </w:pPr>
          </w:p>
        </w:tc>
      </w:tr>
      <w:tr>
        <w:trPr>
          <w:trHeight w:val="20"/>
        </w:trPr>
        <w:tc>
          <w:tcPr>
            <w:tcW w:w="66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cash (used in) provided by investing activities</w:t>
            </w: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(305,830)</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1,013,097</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(281,839)</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Borrowings on long-term debt</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425,000</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Borrowings on revolving credit facility</w:t>
            </w:r>
          </w:p>
        </w:tc>
        <w:tc>
          <w:tcPr>
            <w:tcW w:w="7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Principal payments on revolving credit facility</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(95,000)</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(330,000)</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(100,000)</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7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(18,594)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(7,969)</w:t>
            </w:r>
          </w:p>
        </w:tc>
        <w:tc>
          <w:tcPr>
            <w:tcW w:w="3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(41,291)</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Repayment of long-term debt</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(2,227,935)</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(909,785)</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7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(7,964)</w:t>
            </w:r>
          </w:p>
        </w:tc>
        <w:tc>
          <w:tcPr>
            <w:tcW w:w="3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(18,295)</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Repurchase of shares for payroll tax witholdings, net of proceeds from stock option exercises</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(6,179)</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16,295</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Contributions from noncontrolling partners in joint ventures</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Distributions to noncontrolling partners in joint ventures</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(1,004)</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(1,588)</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(916)</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Acquisition of ownership interests from noncontrolling partners</w:t>
            </w:r>
          </w:p>
        </w:tc>
        <w:tc>
          <w:tcPr>
            <w:tcW w:w="7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(5,540)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(6,900)</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(3,146)</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cash used in continuing financing activities</w:t>
            </w: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(110,903)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(1,636,525)</w:t>
            </w: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(48,249)</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cash used in discontinued financing activities</w:t>
            </w: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(3,250)</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(110,903)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(1,636,525)</w:t>
            </w: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(51,499)</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7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4,067</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6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Net (decrease) increase in cash and cash equivalents, including cash classified within current assets</w:t>
            </w:r>
          </w:p>
        </w:tc>
        <w:tc>
          <w:tcPr>
            <w:tcW w:w="7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held for sale</w:t>
            </w:r>
          </w:p>
        </w:tc>
        <w:tc>
          <w:tcPr>
            <w:tcW w:w="7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(36,164)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(244,884)</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329,556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Less: cash classified within current assets held for sale</w:t>
            </w: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(75,051)</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(36,164)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(244,884)</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254,505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the period</w:t>
            </w:r>
          </w:p>
        </w:tc>
        <w:tc>
          <w:tcPr>
            <w:tcW w:w="7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133,813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378,697</w:t>
            </w:r>
          </w:p>
        </w:tc>
        <w:tc>
          <w:tcPr>
            <w:tcW w:w="2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124,192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end of the period</w:t>
            </w:r>
          </w:p>
        </w:tc>
        <w:tc>
          <w:tcPr>
            <w:tcW w:w="780" w:type="dxa"/>
            <w:vAlign w:val="bottom"/>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97,649</w:t>
            </w:r>
          </w:p>
        </w:tc>
        <w:tc>
          <w:tcPr>
            <w:tcW w:w="16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133,813</w:t>
            </w:r>
          </w:p>
        </w:tc>
        <w:tc>
          <w:tcPr>
            <w:tcW w:w="280" w:type="dxa"/>
            <w:vAlign w:val="bottom"/>
          </w:tcPr>
          <w:p>
            <w:pPr>
              <w:spacing w:after="0"/>
              <w:rPr>
                <w:sz w:val="17"/>
                <w:szCs w:val="17"/>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378,697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60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7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w:t>
            </w:r>
          </w:p>
        </w:tc>
        <w:tc>
          <w:tcPr>
            <w:tcW w:w="780" w:type="dxa"/>
            <w:vAlign w:val="bottom"/>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65,687</w:t>
            </w:r>
          </w:p>
        </w:tc>
        <w:tc>
          <w:tcPr>
            <w:tcW w:w="1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93,669</w:t>
            </w:r>
          </w:p>
        </w:tc>
        <w:tc>
          <w:tcPr>
            <w:tcW w:w="280" w:type="dxa"/>
            <w:vAlign w:val="bottom"/>
          </w:tcPr>
          <w:p>
            <w:pPr>
              <w:spacing w:after="0"/>
              <w:rPr>
                <w:sz w:val="15"/>
                <w:szCs w:val="15"/>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137,578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paid (received) for income taxes</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vMerge w:val="continue"/>
            <w:shd w:val="clear" w:color="auto" w:fill="CFF0FC"/>
          </w:tcPr>
          <w:p>
            <w:pPr>
              <w:spacing w:after="0"/>
              <w:rPr>
                <w:sz w:val="12"/>
                <w:szCs w:val="12"/>
                <w:color w:val="auto"/>
              </w:rPr>
            </w:pPr>
          </w:p>
        </w:tc>
        <w:tc>
          <w:tcPr>
            <w:tcW w:w="780" w:type="dxa"/>
            <w:vAlign w:val="bottom"/>
            <w:shd w:val="clear" w:color="auto" w:fill="CFF0FC"/>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86,195</w:t>
            </w:r>
          </w:p>
        </w:tc>
        <w:tc>
          <w:tcPr>
            <w:tcW w:w="1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2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79,304</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FF0FC"/>
          </w:tcPr>
          <w:p>
            <w:pPr>
              <w:jc w:val="right"/>
              <w:ind w:right="80"/>
              <w:spacing w:after="0" w:line="143" w:lineRule="exact"/>
              <w:rPr>
                <w:sz w:val="20"/>
                <w:szCs w:val="20"/>
                <w:color w:val="auto"/>
              </w:rPr>
            </w:pPr>
            <w:r>
              <w:rPr>
                <w:rFonts w:ascii="Times New Roman" w:cs="Times New Roman" w:eastAsia="Times New Roman" w:hAnsi="Times New Roman"/>
                <w:sz w:val="13"/>
                <w:szCs w:val="13"/>
                <w:color w:val="auto"/>
              </w:rPr>
              <w:t>(16,486)</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Effect of acquisitions: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Assets acquired, excluding cash</w:t>
            </w:r>
          </w:p>
        </w:tc>
        <w:tc>
          <w:tcPr>
            <w:tcW w:w="780" w:type="dxa"/>
            <w:vAlign w:val="bottom"/>
            <w:shd w:val="clear" w:color="auto" w:fill="CFF0FC"/>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10,756</w:t>
            </w:r>
          </w:p>
        </w:tc>
        <w:tc>
          <w:tcPr>
            <w:tcW w:w="1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176,365</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Liabilities assumed</w:t>
            </w:r>
          </w:p>
        </w:tc>
        <w:tc>
          <w:tcPr>
            <w:tcW w:w="7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(1,249)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(37,350)</w:t>
            </w:r>
          </w:p>
        </w:tc>
        <w:tc>
          <w:tcPr>
            <w:tcW w:w="3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Redeemable noncontrolling interest resulting from an acquisition</w:t>
            </w: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(20,147)</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780" w:type="dxa"/>
            <w:vAlign w:val="bottom"/>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9,507</w:t>
            </w:r>
          </w:p>
        </w:tc>
        <w:tc>
          <w:tcPr>
            <w:tcW w:w="16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139,015</w:t>
            </w:r>
          </w:p>
        </w:tc>
        <w:tc>
          <w:tcPr>
            <w:tcW w:w="280" w:type="dxa"/>
            <w:vAlign w:val="bottom"/>
          </w:tcPr>
          <w:p>
            <w:pPr>
              <w:spacing w:after="0"/>
              <w:rPr>
                <w:sz w:val="13"/>
                <w:szCs w:val="13"/>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ind w:left="240" w:right="7280" w:hanging="232"/>
        <w:spacing w:after="0" w:line="377" w:lineRule="auto"/>
        <w:tabs>
          <w:tab w:leader="none" w:pos="181"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2"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Acadia Healthcare Company, Inc. (the “Company”) develops and operates inpatient psychiatric facilities, residential treatment centers, group homes, substance abuse facilities and facilities providing outpatient behavioral healthcare services to serve the behavioral health and recovery needs of communities throughout the United States (the “U.S.”) and Puerto Rico. At December 31, 2022, the Company operated 250 behavioral healthcare facilities with approximately 11,000 beds in 39 states and Puerto Rico.</w:t>
      </w:r>
    </w:p>
    <w:p>
      <w:pPr>
        <w:spacing w:after="0" w:line="72" w:lineRule="exact"/>
        <w:rPr>
          <w:sz w:val="20"/>
          <w:szCs w:val="20"/>
          <w:color w:val="auto"/>
        </w:rPr>
      </w:pPr>
    </w:p>
    <w:p>
      <w:pPr>
        <w:ind w:right="280" w:firstLine="510"/>
        <w:spacing w:after="0" w:line="258" w:lineRule="auto"/>
        <w:rPr>
          <w:sz w:val="20"/>
          <w:szCs w:val="20"/>
          <w:color w:val="auto"/>
        </w:rPr>
      </w:pPr>
      <w:r>
        <w:rPr>
          <w:rFonts w:ascii="Times New Roman" w:cs="Times New Roman" w:eastAsia="Times New Roman" w:hAnsi="Times New Roman"/>
          <w:sz w:val="18"/>
          <w:szCs w:val="18"/>
          <w:color w:val="auto"/>
        </w:rPr>
        <w:t>On January 19, 2021, the Company completed the sale of its operations in the United Kingdom (the “U.K.”) to RemedcoUK Limited, a company organized under the laws of England and Wales and owned by funds managed or advised by Waterland Private Equity Fund VII (the “U.K. Sale”). The U.K. Sale allowed the Company to reduce its indebtedness and focus on its U.S. operations. As a result of the U.K. Sale, the Company reported, for all periods presented, results of operations and cash flows of the U.K. operations as discontinued operations in the accompanying financial statements. See Note 9 – U.K. Sale.</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320" w:firstLine="510"/>
        <w:spacing w:after="0" w:line="261" w:lineRule="auto"/>
        <w:rPr>
          <w:sz w:val="20"/>
          <w:szCs w:val="20"/>
          <w:color w:val="auto"/>
        </w:rPr>
      </w:pPr>
      <w:r>
        <w:rPr>
          <w:rFonts w:ascii="Times New Roman" w:cs="Times New Roman" w:eastAsia="Times New Roman" w:hAnsi="Times New Roman"/>
          <w:sz w:val="18"/>
          <w:szCs w:val="18"/>
          <w:color w:val="auto"/>
        </w:rPr>
        <w:t>The business of the Company is conducted through limited liability companies, partnerships and C-corporations. The Company’s consolidated financial statements include the accounts of the Company and all subsidiaries controlled by the Company through its direct or indirect ownership of majority interests and exclusive rights granted to the Company as the controlling member of an entity. All intercompany accounts and transactions have been eliminated in consolidation.</w:t>
      </w:r>
    </w:p>
    <w:p>
      <w:pPr>
        <w:spacing w:after="0" w:line="180" w:lineRule="exact"/>
        <w:rPr>
          <w:sz w:val="20"/>
          <w:szCs w:val="20"/>
          <w:color w:val="auto"/>
        </w:rPr>
      </w:pPr>
    </w:p>
    <w:p>
      <w:pPr>
        <w:ind w:right="260" w:firstLine="510"/>
        <w:spacing w:after="0" w:line="277"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U.S. generally accepted accounting principles (“GAAP”). The preparation of financial statements in conformity with GAAP requires management to make estimates and assumptions that affect the amounts reported in the consolidated financial statements and accompanying notes. Actual results could differ from those estimates. The majority of the Company’s expenses are “cost of revenue” items. Costs that could be classified as general and administrative expenses include the Company’s corporate office costs, which were $124.3 million, $108.2 million and $97.8 million for the years ended December 31, 2022, 2021 and 2020, respectively.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reclassifications have been made to prior years to conform to the current year presentation.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At times, cash and cash equivalent balances may exceed federally insured limits. Management believes that the Company mitigates any risks by depositing cash and investing in cash equivalents with major financial institutions.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Company is subject to medical malpractice and other lawsuits due to the nature of the services the Company provides. A portion of the Company’s professional liability risks are insured through a wholly-owned insurance subsidiary providing coverage for up to $10.0 million per claim through August 31, 2022 and $5.0 million and $10.0 million for certain other claims thereafter. The Company has obtained reinsurance coverage from a third party to cover claims in excess of those limits. The reinsurance policy has a coverage limit of $75.0 million or $70.0 million for certain other claims in the aggregate. The Company’s reinsurance receivables are recognized consistent with the related liabilities and include known claims and any incurred but not reported claims that are covered by current insurance policies in place. The reserve for professional and general liability risks was estimated based on historical claims, prior settlements and judgments, demographic factors, industry trends, severity factors, and other actuarial assumptions. The estimated accrual for professional and general liabilities could be significantly affected should current and future occurrences differ from historical claim trends and expectations. While claims are monitored closely when estimating professional and general liability accruals, the complexity of the claims and wide range of potential outcomes often hampers timely adjustments to the assumptions used in these estimates. The Company recorded an unfavorable adjustment of $5.9 million to its estimated liability for self-insured professional and general liability claims during the year ended December 31, 2022, relating to the settlement or expected settlement of certain prior year claims relating primarily to the 2017 to 2018 period. The professional and general liability reserve was $103.6 million at December 31, 2022, of which $12.1 million was included in other accrued liabilities and $91.5 million was included in other long-term liabilities. The professional and general liability reserve was $87.8 million at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December 31, 2021, of which $11.9 million was included in other accrued liabilities and $75.9 million was included in other long-term liabilities. The Company estimates receivables for the portion of professional and general liability reserves that are recoverable under the Company’s insurance policies. Such receivable was $37.8 million at December 31, 2022, of which $10.2 million was included in other current assets and $27.6 million was included in other assets, and such receivable was $37.9 million at December 31, 2021, of which $10.8 million was included in other current assets and $27.1 million was included in other assets.</w:t>
      </w:r>
    </w:p>
    <w:p>
      <w:pPr>
        <w:spacing w:after="0" w:line="183"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Company’s statutory workers’ compensation program is fully insured with a $0.5 million deductible per accident. The workers’ compensation liability was $24.2 million at December 31, 2022, of which $12.0 million was included in accrued salaries and benefits and $12.2 million was included in other long-term liabilities, and such liability was $23.6 million at December 31, 2021, of which $12.0 million was included in accrued salaries and benefits and $11.6 million was included in other long-term liabilities. The reserve for workers compensation claims was based upon independent actuarial estimates of future amounts that will be paid to claimants. Management believes that adequate provisions have been made for workers’ compensation and professional and general liability risk exposures.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and Other Long-Lived Assets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calculated on the straight-line basis over the estimated useful lives of the assets, which typically range from 10 to 50 years for buildings and improvements, three to seven years for equipment and the shorter of the lease term or estimated useful lives for leasehold improvements. When assets are sold or retired, the corresponding cost and accumulated depreciation are removed from the related accounts and any gain or loss is recorded in the period of sale or retirement. Repair and maintenance costs are expensed as incurred. Depreciation expense was $117.8 million, $106.7 million and $95.3 million for the years ended December 31, 2022, 2021 and 2020, respectively.</w:t>
      </w:r>
    </w:p>
    <w:p>
      <w:pPr>
        <w:spacing w:after="0" w:line="183"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carrying values of long-lived assets are reviewed for possible impairment whenever events, circumstances or operating results indicate that the carrying amount of an asset may not be recoverable. If this review indicates that the asset will not be recoverable, as determined based upon the undiscounted cash flows of the operating asset over the remaining useful life, the carrying value of the asset will be reduced to its estimated fair value. Fair value estimates are based on independent appraisals, market values of comparable assets or internal evaluations of future net cash flows. During the second quarter of 2021, the Company opened a 260-bed replacement facility in Pennsylvania and recorded a non-cash property impairment charge of $23.2 million for the existing facility. Additionally, during the third quarter of 2021, the Company recorded a $1.1 million non-cash property impairment charge for one facility in Louisiana resulting from hurricane damage.</w:t>
      </w:r>
    </w:p>
    <w:p>
      <w:pPr>
        <w:spacing w:after="0" w:line="189"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Company performed an impairment review of long-lived assets in the fourth quarter of 2022 and 2021 and recorded no impairment. The impairment review of long-lived assets in the fourth quarter of 2020 indicated the carrying amounts of certain of the Company’s long-lived assets may not be recoverable. This created a non-cash impairment of $4.2 million for the year ended December 31, 2020, which was recorded in loss on impairment on the Company’s consolidated statements of operations.</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21" w:lineRule="exact"/>
        <w:rPr>
          <w:sz w:val="20"/>
          <w:szCs w:val="20"/>
          <w:color w:val="auto"/>
        </w:rPr>
      </w:pPr>
    </w:p>
    <w:p>
      <w:pPr>
        <w:ind w:right="200" w:firstLine="562"/>
        <w:spacing w:after="0" w:line="266" w:lineRule="auto"/>
        <w:rPr>
          <w:sz w:val="20"/>
          <w:szCs w:val="20"/>
          <w:color w:val="auto"/>
        </w:rPr>
      </w:pPr>
      <w:r>
        <w:rPr>
          <w:rFonts w:ascii="Times New Roman" w:cs="Times New Roman" w:eastAsia="Times New Roman" w:hAnsi="Times New Roman"/>
          <w:sz w:val="18"/>
          <w:szCs w:val="18"/>
          <w:color w:val="auto"/>
        </w:rPr>
        <w:t>The Company’s goodwill and other indefinite-lived intangible assets, which consist of licenses and accreditations, trade names and certificates of need intangible assets that are not amortized, are evaluated for impairment annually during the fourth quarter or more frequently if events indicate the carrying value of a reporting unit may not be recoverable.</w:t>
      </w:r>
    </w:p>
    <w:p>
      <w:pPr>
        <w:spacing w:after="0" w:line="68" w:lineRule="exact"/>
        <w:rPr>
          <w:sz w:val="20"/>
          <w:szCs w:val="20"/>
          <w:color w:val="auto"/>
        </w:rPr>
      </w:pPr>
    </w:p>
    <w:p>
      <w:pPr>
        <w:ind w:right="160" w:firstLine="562"/>
        <w:spacing w:after="0" w:line="266" w:lineRule="auto"/>
        <w:rPr>
          <w:sz w:val="20"/>
          <w:szCs w:val="20"/>
          <w:color w:val="auto"/>
        </w:rPr>
      </w:pPr>
      <w:r>
        <w:rPr>
          <w:rFonts w:ascii="Times New Roman" w:cs="Times New Roman" w:eastAsia="Times New Roman" w:hAnsi="Times New Roman"/>
          <w:sz w:val="18"/>
          <w:szCs w:val="18"/>
          <w:color w:val="auto"/>
        </w:rPr>
        <w:t>As of the Company’s annual impairment tests on October 1, 2022 and October 1, 2021, the Company had one reporting unit, behavioral health services. The fair value of the Company’s behavioral health services reporting unit substantially exceeded its carrying value, and therefore no impairment was recorded.</w:t>
      </w:r>
    </w:p>
    <w:p>
      <w:pPr>
        <w:spacing w:after="0" w:line="68"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During the second quarter of 2021, the Company sold one outpatient facility for $4.3 million and recorded a write down of $1.8 million of goodwill and $0.2 million of intangible assets related to the disposition. During the fourth quarter of 2021, the Company sold one outpatient facility for $1.5 million and recorded a write down of $0.7 million of goodwill and $0.1 million of intangibles related to the disposition.</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Company’s annual impairment test on October 1, 2020, the Company had two operating segments for segment reporting purposes,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and U.K. facilities, each of which represented a reporting unit for purposes of the Company’s goodwill impairment test.</w:t>
      </w:r>
    </w:p>
    <w:p>
      <w:pPr>
        <w:spacing w:after="0" w:line="99" w:lineRule="exact"/>
        <w:rPr>
          <w:sz w:val="20"/>
          <w:szCs w:val="20"/>
          <w:color w:val="auto"/>
        </w:rPr>
      </w:pPr>
    </w:p>
    <w:p>
      <w:pPr>
        <w:ind w:right="20" w:firstLine="1210"/>
        <w:spacing w:after="0" w:line="254" w:lineRule="auto"/>
        <w:rPr>
          <w:sz w:val="20"/>
          <w:szCs w:val="20"/>
          <w:color w:val="auto"/>
        </w:rPr>
      </w:pPr>
      <w:r>
        <w:rPr>
          <w:rFonts w:ascii="Times New Roman" w:cs="Times New Roman" w:eastAsia="Times New Roman" w:hAnsi="Times New Roman"/>
          <w:sz w:val="18"/>
          <w:szCs w:val="18"/>
          <w:color w:val="auto"/>
        </w:rPr>
        <w:t>The Company’s annual goodwill impairment and other indefinite-lived intangible assets test performed as of October 1, 2020 considered recent financial performance, including the impacts of COVID-19 on certain portions of the U.K. business. The 2020 impairment test of the U.K. facilities indicated carrying value of the reporting unit exceeded the estimated fair value and resulted in a non-cash loss on impairment of the remaining goodwill of the U.K. facilities of $356.2 million. The non-cash loss on impairment is included in loss on sale within discontinued operations in the consolidated statements of operations. As of the Company’s impairment test on October 1, 2020, the fair value of the U.S. facilities reporting unit substantially exceeded its carrying value, and therefore no impairment was recorded. Additionally, for the year ended December 31, 2020, the Company recorded a non-cash impairment charge of $0.6 million related to indefinite-lived assets related to closed facilities in the U.S., which is included in loss on impairment in the consolidated statements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44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Workers’ compensation deposits – current portion</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receivable – current portion</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86,037</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79,886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Accrued Liabilities</w:t>
            </w: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9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accrued liabilities consisted of the following (in thousands):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44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report payable</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Insurance liability – current portion</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property taxes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Government relief funds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110,592</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126,499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w:t>
      </w:r>
    </w:p>
    <w:p>
      <w:pPr>
        <w:spacing w:after="0" w:line="22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The Company measures and recognizes the cost of employee services received in exchange for awards of equity instruments based on the grant-date fair value in accordance with the Financial Accounting Standards Board (the “FASB”) Accounting Standards Codification (“ASC”) 718, “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 The Company uses the Black-Scholes valuation model to determine grant-date fair value for stock options and recognizes straight-line amortization of share-based compensation expense over the requisite service period of the respective awards. The fair values of restricted stock units are determined based on the closing price of the Company’s common stock on the trading date immediately prior to the grant date for units subject to performance conditions, or at their Monte-Carlo simulation value for units subject to market conditions.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7" w:lineRule="exact"/>
        <w:rPr>
          <w:sz w:val="20"/>
          <w:szCs w:val="20"/>
          <w:color w:val="auto"/>
        </w:rPr>
      </w:pPr>
    </w:p>
    <w:p>
      <w:pPr>
        <w:ind w:right="480" w:firstLine="510"/>
        <w:spacing w:after="0" w:line="267" w:lineRule="auto"/>
        <w:rPr>
          <w:sz w:val="20"/>
          <w:szCs w:val="20"/>
          <w:color w:val="auto"/>
        </w:rPr>
      </w:pPr>
      <w:r>
        <w:rPr>
          <w:rFonts w:ascii="Times New Roman" w:cs="Times New Roman" w:eastAsia="Times New Roman" w:hAnsi="Times New Roman"/>
          <w:sz w:val="18"/>
          <w:szCs w:val="18"/>
          <w:color w:val="auto"/>
        </w:rPr>
        <w:t>Basic and diluted earnings per share are calculated in accordance with FASB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based on the weighted-average number of shares outstanding in each period and dilutive stock options and non-vested shares, to the extent such securities have a dilutive effect on earnings per share.</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this method, deferred income taxes reflect the net tax effects of temporary differences between the carrying amounts of assets and liabilities for financial reporting purposes and the amounts used for income tax purposes and net operating loss and tax credit carryforwards. The amount of deferred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taxes on these temporary differences is determined using the tax rates that are expected to apply in the period when the asset is realized or the liability is settled, as applicable, based on tax rates and laws in the respective tax jurisdiction enacted as of the balance sheet date.</w:t>
      </w:r>
    </w:p>
    <w:p>
      <w:pPr>
        <w:spacing w:after="0" w:line="162"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The Company reviews its deferred tax assets for recoverability and establishes a valuation allowance based on historical taxable income, projected future taxable income, applicable tax strategies, and the expected timing of the reversals of existing temporary differences. A valuation allowance is provided when it is more likely than not that some portion or all of the deferred tax assets will not be realized.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records a liability for unrecognized tax benefits resulting from uncertain tax positions taken or expected to be taken in a tax return.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interest and penalties, if any, related to unrecognized tax benefits in income tax expense.</w:t>
      </w:r>
    </w:p>
    <w:p>
      <w:pPr>
        <w:spacing w:after="0" w:line="207"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Company established accruals for taxes and associated interest that may become payable in future years as a result of audits by tax authorities. The Company accrues for tax contingencies when it is more likely than not that a liability to a taxing authority has been incurred and the amount of the contingency can be reasonably estimated. Management believes that the positions taken on previously filed tax returns are reasonable and has not established tax and interest reserves in recognition that various taxing authorities may challenge the positions taken by the Company resulting in additional liabilities for taxes and interest. These amounts are reviewed as circumstances warrant and adjusted as events occur that affect the Company’s potential liability for additional taxes, such as lapsing of applicable statutes of limitations, conclusion of tax audits, additional exposure based on current calculations, identification of new issues, release of administrative guidance, or rendering of a court decision affecting a particular tax issue.</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November 2021, the FASB issued Accounting Standards Update (“ASU”) 2021-10, “</w:t>
      </w:r>
      <w:r>
        <w:rPr>
          <w:rFonts w:ascii="Times New Roman" w:cs="Times New Roman" w:eastAsia="Times New Roman" w:hAnsi="Times New Roman"/>
          <w:sz w:val="18"/>
          <w:szCs w:val="18"/>
          <w:i w:val="1"/>
          <w:iCs w:val="1"/>
          <w:color w:val="auto"/>
        </w:rPr>
        <w:t>Government Assistance (Topic 832)</w:t>
      </w:r>
      <w:r>
        <w:rPr>
          <w:rFonts w:ascii="Times New Roman" w:cs="Times New Roman" w:eastAsia="Times New Roman" w:hAnsi="Times New Roman"/>
          <w:sz w:val="18"/>
          <w:szCs w:val="18"/>
          <w:color w:val="auto"/>
        </w:rPr>
        <w:t xml:space="preserve">” (“ASU 2021-10”). ASU 2021-10 provides guidance to increase the transparency of government assistance including the disclosure of (1) the types of assistance, (2) an entity’s accounting for the assistance, and (3) the effect of the assistance on an entity’s financial statements. ASU 2021-10 applies to all business entities except for not-for-profit entities within the scope of Topic 958, </w:t>
      </w:r>
      <w:r>
        <w:rPr>
          <w:rFonts w:ascii="Times New Roman" w:cs="Times New Roman" w:eastAsia="Times New Roman" w:hAnsi="Times New Roman"/>
          <w:sz w:val="18"/>
          <w:szCs w:val="18"/>
          <w:i w:val="1"/>
          <w:iCs w:val="1"/>
          <w:color w:val="auto"/>
        </w:rPr>
        <w:t>Not-for-Profit Entities</w:t>
      </w:r>
      <w:r>
        <w:rPr>
          <w:rFonts w:ascii="Times New Roman" w:cs="Times New Roman" w:eastAsia="Times New Roman" w:hAnsi="Times New Roman"/>
          <w:sz w:val="18"/>
          <w:szCs w:val="18"/>
          <w:color w:val="auto"/>
        </w:rPr>
        <w:t>, and employee benefit plans within the scope of Topic 960, Plan Accounting— Defined Benefit Pension Plans, Topic 962, Plan Accounting—Defined Contribution Pension Plans, and Topic 965, Plan Accounting—Health and Welfare Benefit Plans that account for a transaction with a government by applying a grant or contribution accounting model by analogy to other accounting guidance (for example, a grant model within IAS 20, Accounting for Government Grants and Disclosure of Government Assistance, or Subtopic 958-605, Not-For-Profit Entities—Revenue Recognition). ASU 2021-10 is effective for fiscal years beginning after December 15, 2021. Early adoption is permitted. The Company adopted the ASU for the year ended December 31, 2022. See Note 10 – The CARES Act for additional information on the Company’s accounting for government grants received.</w:t>
      </w:r>
    </w:p>
    <w:p>
      <w:pPr>
        <w:spacing w:after="0" w:line="185"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2020-04, “Reference Rate Reform </w:t>
      </w:r>
      <w:r>
        <w:rPr>
          <w:rFonts w:ascii="Times New Roman" w:cs="Times New Roman" w:eastAsia="Times New Roman" w:hAnsi="Times New Roman"/>
          <w:sz w:val="18"/>
          <w:szCs w:val="18"/>
          <w:i w:val="1"/>
          <w:iCs w:val="1"/>
          <w:color w:val="auto"/>
        </w:rPr>
        <w:t>(Topic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(“ASU 2020-04”). ASU 2020-04 provides optional guidance for a limited period of time to ease the potential burden in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or recognizing the effects of reference rate reform on financial reporting and applies only to contracts, hedging relationships, and other transactions that reference LIBOR or another reference rate expected to be discontinued because of reference rate reform. ASU 2020-04 is effective as of March 12, 2020 through December 31, 2024. Entities may adopt ASU 2020-04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There is no significant impact on the Company’s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Revenue is primarily derived from services rendered to patients for inpatient psychiatric and substance abuse care, outpatient psychiatric care and residential treatment. The services provided by the Company have no fixed duration and can be terminated by the patient or the facility at any time, and therefore, each treatment is its own stand-alone contract.</w:t>
      </w:r>
    </w:p>
    <w:p>
      <w:pPr>
        <w:spacing w:after="0" w:line="176" w:lineRule="exact"/>
        <w:rPr>
          <w:sz w:val="20"/>
          <w:szCs w:val="20"/>
          <w:color w:val="auto"/>
        </w:rPr>
      </w:pPr>
    </w:p>
    <w:p>
      <w:pPr>
        <w:ind w:right="220" w:firstLine="510"/>
        <w:spacing w:after="0" w:line="263" w:lineRule="auto"/>
        <w:rPr>
          <w:sz w:val="20"/>
          <w:szCs w:val="20"/>
          <w:color w:val="auto"/>
        </w:rPr>
      </w:pPr>
      <w:r>
        <w:rPr>
          <w:rFonts w:ascii="Times New Roman" w:cs="Times New Roman" w:eastAsia="Times New Roman" w:hAnsi="Times New Roman"/>
          <w:sz w:val="18"/>
          <w:szCs w:val="18"/>
          <w:color w:val="auto"/>
        </w:rPr>
        <w:t>Services ordered by a healthcare provider in an episode of care are not separately identifiable and therefore have been combined into a single performance obligation for each contract. The Company recognizes revenue as its performance obligations are completed. The performance obligation is satisfied over time as the customer simultaneously receives and consumes the benefits of the healthcare services provided. For inpatient services, the Company recognizes revenue equally over the patient stay on a daily basis. For outpatient services, the Company recognizes revenue equally over the number of treatments provided in a single episode of care. Typically, patients and third-party payors are billed within several days of the service being performed or the patient being discharged, and payments are due based on contract terms.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As the Company’s performance obligations relate to contracts with a duration of one year or less, the Company elected the optional exemption in ASC 606-10-50-14(a). Therefore, the Company is not required to disclose the transaction price for the remaining performance obligations at the end of the reporting period or when the Company expects to recognize the revenue. The Company has minimal unsatisfied performance obligations at the end of the reporting period as the Company’s patients typically are under no obligation to remain admitted in the Company’s facilities.</w:t>
      </w:r>
    </w:p>
    <w:p>
      <w:pPr>
        <w:spacing w:after="0" w:line="180"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At December 31, 2022 and 2021, estimated implicit price concessions of $61.4 million and $49.7 million, respectively, had been recorded as reductions to the Company’s accounts receivable balances to enable the Company to record its revenues and accounts receivable at the estimated amounts the Company expected to collect.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disaggregates revenue from contracts with customers by service type and by payor.</w:t>
      </w:r>
    </w:p>
    <w:p>
      <w:pPr>
        <w:spacing w:after="0" w:line="225"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 Company’s facilities and services provided by the facilities can generally be classified into the following categories: acute inpatient psychiatric facilities; specialty treatment facilities; comprehensive treatment centers (“CTCs”); and residential treatment centers.</w:t>
      </w:r>
    </w:p>
    <w:p>
      <w:pPr>
        <w:spacing w:after="0" w:line="160" w:lineRule="exact"/>
        <w:rPr>
          <w:sz w:val="20"/>
          <w:szCs w:val="20"/>
          <w:color w:val="auto"/>
        </w:rPr>
      </w:pPr>
    </w:p>
    <w:p>
      <w:pPr>
        <w:ind w:right="18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Acute inpatient psychiatric facilities. </w:t>
      </w:r>
      <w:r>
        <w:rPr>
          <w:rFonts w:ascii="Times New Roman" w:cs="Times New Roman" w:eastAsia="Times New Roman" w:hAnsi="Times New Roman"/>
          <w:sz w:val="18"/>
          <w:szCs w:val="18"/>
          <w:color w:val="auto"/>
        </w:rPr>
        <w:t>Acute inpatient psychiatric facilities provide a high level of care in order to stabilize patients that are either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 to themselves or to others. The acute setting provides 24-hour observation, daily intervention and monitoring by psychiatrists.</w:t>
      </w:r>
    </w:p>
    <w:p>
      <w:pPr>
        <w:spacing w:after="0" w:line="158" w:lineRule="exact"/>
        <w:rPr>
          <w:sz w:val="20"/>
          <w:szCs w:val="20"/>
          <w:color w:val="auto"/>
        </w:rPr>
      </w:pPr>
    </w:p>
    <w:p>
      <w:pPr>
        <w:ind w:right="1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Specialty treatment facilities</w:t>
      </w:r>
      <w:r>
        <w:rPr>
          <w:rFonts w:ascii="Times New Roman" w:cs="Times New Roman" w:eastAsia="Times New Roman" w:hAnsi="Times New Roman"/>
          <w:sz w:val="18"/>
          <w:szCs w:val="18"/>
          <w:color w:val="auto"/>
        </w:rPr>
        <w:t>. Specialty treatment facilities include residential recovery facilities and eating disorder facilities.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 comprehensive continuum of care for adults with addictive disorders and co-occurring mental disorders. Inpatient, including detoxification and rehabilitation, partial hospitalization and outpatient treatment programs give patients access to the least restrictive level of care.</w:t>
      </w:r>
    </w:p>
    <w:p>
      <w:pPr>
        <w:spacing w:after="0" w:line="173" w:lineRule="exact"/>
        <w:rPr>
          <w:sz w:val="20"/>
          <w:szCs w:val="20"/>
          <w:color w:val="auto"/>
        </w:rPr>
      </w:pPr>
    </w:p>
    <w:p>
      <w:pPr>
        <w:ind w:right="36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Comprehensive treatment centers. </w:t>
      </w:r>
      <w:r>
        <w:rPr>
          <w:rFonts w:ascii="Times New Roman" w:cs="Times New Roman" w:eastAsia="Times New Roman" w:hAnsi="Times New Roman"/>
          <w:sz w:val="18"/>
          <w:szCs w:val="18"/>
          <w:color w:val="auto"/>
        </w:rPr>
        <w:t>CTCs specialize in providing medication-assisted treatment in an outpatient setting to individuals addicted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opioids such as opioid analgesics (prescription pain medications).</w:t>
      </w:r>
    </w:p>
    <w:p>
      <w:pPr>
        <w:spacing w:after="0" w:line="158" w:lineRule="exact"/>
        <w:rPr>
          <w:sz w:val="20"/>
          <w:szCs w:val="20"/>
          <w:color w:val="auto"/>
        </w:rPr>
      </w:pPr>
    </w:p>
    <w:p>
      <w:pPr>
        <w:ind w:right="42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Residential treatment centers</w:t>
      </w:r>
      <w:r>
        <w:rPr>
          <w:rFonts w:ascii="Times New Roman" w:cs="Times New Roman" w:eastAsia="Times New Roman" w:hAnsi="Times New Roman"/>
          <w:sz w:val="18"/>
          <w:szCs w:val="18"/>
          <w:color w:val="auto"/>
        </w:rPr>
        <w:t>. Residential treatment centers treat patients with behavioral disorders in a non-hospital setting, including outdoor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The facilities balance therapy activities with social, academic and other activities.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total revenue from continuing operations attributed to each category (in thousands):</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Acute inpatient psychiatric facilities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1,330,757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1,126,872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984,609</w:t>
            </w:r>
          </w:p>
        </w:tc>
        <w:tc>
          <w:tcPr>
            <w:tcW w:w="8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Specialty treatment facilities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564,671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452,805</w:t>
            </w:r>
          </w:p>
        </w:tc>
        <w:tc>
          <w:tcPr>
            <w:tcW w:w="8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treatment centers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419,940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385,635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349,217</w:t>
            </w:r>
          </w:p>
        </w:tc>
        <w:tc>
          <w:tcPr>
            <w:tcW w:w="8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treatment centers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295,031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281,158</w:t>
            </w:r>
          </w:p>
        </w:tc>
        <w:tc>
          <w:tcPr>
            <w:tcW w:w="8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80" w:type="dxa"/>
            <w:vAlign w:val="bottom"/>
            <w:shd w:val="clear" w:color="auto" w:fill="CFF0FC"/>
          </w:tcPr>
          <w:p>
            <w:pPr>
              <w:spacing w:after="0"/>
              <w:rPr>
                <w:sz w:val="19"/>
                <w:szCs w:val="19"/>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2,610,399</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2,314,394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2,089,929</w:t>
            </w:r>
          </w:p>
        </w:tc>
        <w:tc>
          <w:tcPr>
            <w:tcW w:w="8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The Company receives payments from the following sources for services rendered in its facilities: (i) state governments under their respective Medicaid and other programs; (ii) commercial insurers; (iii) the federal government under the Medicare program administered by the Centers for Medicare and Medicaid Services (“CMS”); and (iv) individual patients and clients.</w:t>
      </w:r>
    </w:p>
    <w:p>
      <w:pPr>
        <w:spacing w:after="0" w:line="176"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Company determines the transaction price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on historical collection experience. Most of the Company’s facilities have contracts containing variable consideration. However, it is unlikely a significant reversal of revenue will occur when the uncertainty is resolved, and therefore, the Company has included the variable consideration in the estimated transaction price. Subsequent changes resulting from a patient’s ability to pay are recorded as bad debt expense, which is included as a component of other operating expenses in the consolidated statements of operations. Bad debt expense for the years ended December 31, 2022, 2021 and 2020 was not significant.</w:t>
      </w:r>
    </w:p>
    <w:p>
      <w:pPr>
        <w:spacing w:after="0" w:line="18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Company derives a significant portion of its revenue from Medicare, Medicaid and other payors that receive discounts from established billing rates. The Medicare and Medicaid regulations and various managed care contracts under which these discounts must be estimated are complex, subject to interpretation and adjustment, and may include multiple reimbursement mechanisms for different types of services provided in the Company’s facilities and cost settlement provisions. Management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estimates the transaction price on a payor-specific basis given its interpretation of the applicable regulations or contract terms. The services authorized and provided and related reimbursement are often subject to interpretation that could result in payments that differ from the Company’s estimates. Additionally, updated regulations and contract renegotiations occur frequently, necessitating regular review and assessment of the estimation process by management.</w:t>
      </w:r>
    </w:p>
    <w:p>
      <w:pPr>
        <w:spacing w:after="0" w:line="15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Settlements under cost reimbursement agreements with third-party payors are estimated and recorded in the period in which the related services are rendered and are adjusted in future periods as final settlements are determined. Final determination of amounts earned under the Medicare and Medicaid programs often occurs in subsequent years because of audits by such programs, rights of appeal and the application of numerous technical provisions. In the opinion of management, adequate provision has been made for any adjustments and final settlements. However, there can be no assurance that any such adjustments and final settlements will not have a material effect on the Company’s financial condition or results of operations. The Company’s cost report payables were $13.7 million and $6.5 million as of December 31, 2022 and 2021, respectively, and were included in other current liabilities on the consolidated balance sheet. The net adjustments to estimated cost report settlements resulted in an increase to revenue of $0.1 million for the year ended December 31, 2022, compared to decreases to revenue of $5.4 million and $1.3 million for the years ended December 31, 2021 and 2020, respectively.</w:t>
      </w:r>
    </w:p>
    <w:p>
      <w:pPr>
        <w:spacing w:after="0" w:line="192"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Company provides care without charge to patients who are financially unable to pay for the healthcare services they receive based on Company policies and federal and state poverty thresholds. Such amounts determined to qualify as charity care are not reported as revenue. The cost of providing charity care services were $6.4 million, $3.8 million and $4.4 million for the years ended December 31, 2022, 2021 and 2020, respectively. The estimated cost of charity care services was determined using a ratio of cost to gross charges determined from the Company’s most recently filed Medicare cost reports and applying that ratio to the gross charges associated with providing charity care for the period.</w:t>
      </w:r>
    </w:p>
    <w:p>
      <w:pPr>
        <w:spacing w:after="0" w:line="183"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by payor type and as a percentage of revenue for continuing operations for the years ended December 31, 2022, 2021 and 2020 (in thousands):</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788,895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684,292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596,698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394,227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364,598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330,070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Medicaid</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1,319,600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1,147,884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1,037,852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Self-Pay</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2,610,399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2,314,394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2,089,929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Contract liabilities primarily consisted of advances from payors and unearned revenue from CMS’ Accelerated and Advance Payment Program. In April 2020, the Company received approximately $45.2 million from CMS’ Accelerated and Advance Payment Program for Medicare providers. Of the $45.2 million of advance payments received in 2020, the Company repaid approximately $25.1 million of advance payments during 2021 and made additional payments of approximately $20.1 million during the year ended December 31, 2022. Contract liabilities of $6.7 million and $30.4 million are included in other accrued liabilities at December 31, 2022 and 2021, respectively, on the consolidated balance sheet. A summary of the activity in contract liabilities is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376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47,196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received</w:t>
            </w:r>
          </w:p>
        </w:tc>
        <w:tc>
          <w:tcPr>
            <w:tcW w:w="3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Revenue recognized</w:t>
            </w:r>
          </w:p>
        </w:tc>
        <w:tc>
          <w:tcPr>
            <w:tcW w:w="3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(3,463)</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Medicare advance repayments</w:t>
            </w:r>
          </w:p>
        </w:tc>
        <w:tc>
          <w:tcPr>
            <w:tcW w:w="3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(25,101)</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3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30,371</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received</w:t>
            </w:r>
          </w:p>
        </w:tc>
        <w:tc>
          <w:tcPr>
            <w:tcW w:w="3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Revenue recognized</w:t>
            </w:r>
          </w:p>
        </w:tc>
        <w:tc>
          <w:tcPr>
            <w:tcW w:w="3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(26,497)</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Medicare advance repayments</w:t>
            </w:r>
          </w:p>
        </w:tc>
        <w:tc>
          <w:tcPr>
            <w:tcW w:w="3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(20,135)</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3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871"/>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760" w:type="dxa"/>
            <w:vAlign w:val="bottom"/>
            <w:gridSpan w:val="2"/>
          </w:tcPr>
          <w:p>
            <w:pPr>
              <w:jc w:val="right"/>
              <w:ind w:right="2676"/>
              <w:spacing w:after="0"/>
              <w:rPr>
                <w:sz w:val="20"/>
                <w:szCs w:val="20"/>
                <w:color w:val="auto"/>
              </w:rPr>
            </w:pPr>
            <w:r>
              <w:rPr>
                <w:rFonts w:ascii="Times New Roman" w:cs="Times New Roman" w:eastAsia="Times New Roman" w:hAnsi="Times New Roman"/>
                <w:sz w:val="18"/>
                <w:szCs w:val="18"/>
                <w:color w:val="auto"/>
              </w:rPr>
              <w:t>F-16</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229"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for the years ended December 31, 2022, 2021 and 2020 (in thousands, except per share amounts):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9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 attributable to Acadia</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Healthcare Company, Inc.</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273,139</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203,276</w:t>
            </w:r>
          </w:p>
        </w:tc>
        <w:tc>
          <w:tcPr>
            <w:tcW w:w="24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140,258</w:t>
            </w:r>
          </w:p>
        </w:tc>
        <w:tc>
          <w:tcPr>
            <w:tcW w:w="100" w:type="dxa"/>
            <w:vAlign w:val="bottom"/>
          </w:tcPr>
          <w:p>
            <w:pPr>
              <w:spacing w:after="0"/>
              <w:rPr>
                <w:sz w:val="20"/>
                <w:szCs w:val="20"/>
                <w:color w:val="auto"/>
              </w:rPr>
            </w:pPr>
          </w:p>
        </w:tc>
      </w:tr>
      <w:tr>
        <w:trPr>
          <w:trHeight w:val="229"/>
        </w:trPr>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(12,641)</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(812,390)</w:t>
            </w:r>
          </w:p>
        </w:tc>
      </w:tr>
      <w:tr>
        <w:trPr>
          <w:trHeight w:val="205"/>
        </w:trPr>
        <w:tc>
          <w:tcPr>
            <w:tcW w:w="59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Acadia Healthcare</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74"/>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 Inc.</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273,139</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190,635</w:t>
            </w:r>
          </w:p>
        </w:tc>
        <w:tc>
          <w:tcPr>
            <w:tcW w:w="240" w:type="dxa"/>
            <w:vAlign w:val="bottom"/>
          </w:tcPr>
          <w:p>
            <w:pPr>
              <w:spacing w:after="0"/>
              <w:rPr>
                <w:sz w:val="23"/>
                <w:szCs w:val="23"/>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(672,132)</w:t>
            </w:r>
          </w:p>
        </w:tc>
      </w:tr>
      <w:tr>
        <w:trPr>
          <w:trHeight w:val="210"/>
        </w:trPr>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1"/>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 for basic</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87,875</w:t>
            </w:r>
          </w:p>
        </w:tc>
        <w:tc>
          <w:tcPr>
            <w:tcW w:w="100" w:type="dxa"/>
            <w:vAlign w:val="bottom"/>
          </w:tcPr>
          <w:p>
            <w:pPr>
              <w:spacing w:after="0"/>
              <w:rPr>
                <w:sz w:val="20"/>
                <w:szCs w:val="20"/>
                <w:color w:val="auto"/>
              </w:rPr>
            </w:pPr>
          </w:p>
        </w:tc>
      </w:tr>
      <w:tr>
        <w:trPr>
          <w:trHeight w:val="230"/>
        </w:trPr>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Effects of dilutive instruments</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FF0FC"/>
          </w:tcPr>
          <w:p>
            <w:pPr>
              <w:spacing w:after="0"/>
              <w:rPr>
                <w:sz w:val="19"/>
                <w:szCs w:val="19"/>
                <w:color w:val="auto"/>
              </w:rPr>
            </w:pPr>
          </w:p>
        </w:tc>
      </w:tr>
      <w:tr>
        <w:trPr>
          <w:trHeight w:val="205"/>
        </w:trPr>
        <w:tc>
          <w:tcPr>
            <w:tcW w:w="59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Shares used in computing diluted earnings per</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4"/>
        </w:trPr>
        <w:tc>
          <w:tcPr>
            <w:tcW w:w="594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common share</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91,555</w:t>
            </w:r>
          </w:p>
        </w:tc>
        <w:tc>
          <w:tcPr>
            <w:tcW w:w="24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90,793</w:t>
            </w:r>
          </w:p>
        </w:tc>
        <w:tc>
          <w:tcPr>
            <w:tcW w:w="2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88,595</w:t>
            </w:r>
          </w:p>
        </w:tc>
        <w:tc>
          <w:tcPr>
            <w:tcW w:w="100" w:type="dxa"/>
            <w:vAlign w:val="bottom"/>
            <w:tcBorders>
              <w:bottom w:val="single" w:sz="8" w:color="CFF0FC"/>
            </w:tcBorders>
          </w:tcPr>
          <w:p>
            <w:pPr>
              <w:spacing w:after="0"/>
              <w:rPr>
                <w:sz w:val="23"/>
                <w:szCs w:val="23"/>
                <w:color w:val="auto"/>
              </w:rPr>
            </w:pPr>
          </w:p>
        </w:tc>
      </w:tr>
      <w:tr>
        <w:trPr>
          <w:trHeight w:val="210"/>
        </w:trPr>
        <w:tc>
          <w:tcPr>
            <w:tcW w:w="5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earnings (loss) per share attributable to Acadia</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Healthcare Company, Inc. stockholders: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5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Income from continuing operations attributable to Acadia</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94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Healthcare Company, Inc.</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20"/>
                <w:szCs w:val="20"/>
                <w:color w:val="auto"/>
              </w:rPr>
            </w:pPr>
          </w:p>
        </w:tc>
      </w:tr>
      <w:tr>
        <w:trPr>
          <w:trHeight w:val="230"/>
        </w:trPr>
        <w:tc>
          <w:tcPr>
            <w:tcW w:w="5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w:t>
            </w:r>
          </w:p>
        </w:tc>
      </w:tr>
      <w:tr>
        <w:trPr>
          <w:trHeight w:val="205"/>
        </w:trPr>
        <w:tc>
          <w:tcPr>
            <w:tcW w:w="5940" w:type="dxa"/>
            <w:vAlign w:val="bottom"/>
            <w:tcBorders>
              <w:top w:val="single" w:sz="8" w:color="CFF0FC"/>
            </w:tcBorders>
            <w:shd w:val="clear" w:color="auto" w:fill="CFF0FC"/>
          </w:tcPr>
          <w:p>
            <w:pPr>
              <w:ind w:left="74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Acadia Healthcare</w:t>
            </w: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594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Company, Inc.</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r>
      <w:tr>
        <w:trPr>
          <w:trHeight w:val="20"/>
        </w:trPr>
        <w:tc>
          <w:tcPr>
            <w:tcW w:w="5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 earnings (loss) per share attributable to Acadia</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Healthcare Company, Inc. stockholders: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1"/>
        </w:trPr>
        <w:tc>
          <w:tcPr>
            <w:tcW w:w="5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Income from continuing operations attributable to Acadia</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Healthcare Company, Inc.</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0"/>
                <w:szCs w:val="20"/>
                <w:color w:val="auto"/>
              </w:rPr>
            </w:pPr>
          </w:p>
        </w:tc>
      </w:tr>
      <w:tr>
        <w:trPr>
          <w:trHeight w:val="230"/>
        </w:trPr>
        <w:tc>
          <w:tcPr>
            <w:tcW w:w="5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(9.17)</w:t>
            </w:r>
          </w:p>
        </w:tc>
      </w:tr>
      <w:tr>
        <w:trPr>
          <w:trHeight w:val="205"/>
        </w:trPr>
        <w:tc>
          <w:tcPr>
            <w:tcW w:w="5940" w:type="dxa"/>
            <w:vAlign w:val="bottom"/>
          </w:tcPr>
          <w:p>
            <w:pPr>
              <w:ind w:left="74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Acadia Healthcare</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Company, Inc.</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w:t>
            </w:r>
          </w:p>
        </w:tc>
      </w:tr>
      <w:tr>
        <w:trPr>
          <w:trHeight w:val="20"/>
        </w:trPr>
        <w:tc>
          <w:tcPr>
            <w:tcW w:w="5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562"/>
        <w:spacing w:after="0" w:line="266" w:lineRule="auto"/>
        <w:rPr>
          <w:sz w:val="20"/>
          <w:szCs w:val="20"/>
          <w:color w:val="auto"/>
        </w:rPr>
      </w:pPr>
      <w:r>
        <w:rPr>
          <w:rFonts w:ascii="Times New Roman" w:cs="Times New Roman" w:eastAsia="Times New Roman" w:hAnsi="Times New Roman"/>
          <w:sz w:val="18"/>
          <w:szCs w:val="18"/>
          <w:color w:val="auto"/>
        </w:rPr>
        <w:t>Approximately 0.1 million, 0.3 million and 1.9 million shares of common stock issuable upon exercise of outstanding stock options were excluded from the calculation of diluted earnings per share for the years ended December 31, 2022, 2021 and 2020, respectively, because their effect would have been anti-dilutive.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121" w:lineRule="exact"/>
        <w:rPr>
          <w:sz w:val="20"/>
          <w:szCs w:val="20"/>
          <w:color w:val="auto"/>
        </w:rPr>
      </w:pPr>
    </w:p>
    <w:p>
      <w:pPr>
        <w:ind w:right="260" w:firstLine="562"/>
        <w:spacing w:after="0" w:line="282" w:lineRule="auto"/>
        <w:rPr>
          <w:sz w:val="20"/>
          <w:szCs w:val="20"/>
          <w:color w:val="auto"/>
        </w:rPr>
      </w:pPr>
      <w:r>
        <w:rPr>
          <w:rFonts w:ascii="Times New Roman" w:cs="Times New Roman" w:eastAsia="Times New Roman" w:hAnsi="Times New Roman"/>
          <w:sz w:val="18"/>
          <w:szCs w:val="18"/>
          <w:color w:val="auto"/>
        </w:rPr>
        <w:t>The Company’s strategy is to acquire and develop behavioral healthcare facilities and improve operating results within its facilities and its other behavioral healthcare operations.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On November 7, 2022, the Company acquired four CTCs located in Georgia from Brand New Start Treatment Centers.</w:t>
      </w:r>
    </w:p>
    <w:p>
      <w:pPr>
        <w:spacing w:after="0" w:line="225" w:lineRule="exact"/>
        <w:rPr>
          <w:sz w:val="20"/>
          <w:szCs w:val="20"/>
          <w:color w:val="auto"/>
        </w:rPr>
      </w:pPr>
    </w:p>
    <w:p>
      <w:pPr>
        <w:ind w:firstLine="468"/>
        <w:spacing w:after="0" w:line="261" w:lineRule="auto"/>
        <w:rPr>
          <w:sz w:val="20"/>
          <w:szCs w:val="20"/>
          <w:color w:val="auto"/>
        </w:rPr>
      </w:pPr>
      <w:r>
        <w:rPr>
          <w:rFonts w:ascii="Times New Roman" w:cs="Times New Roman" w:eastAsia="Times New Roman" w:hAnsi="Times New Roman"/>
          <w:sz w:val="18"/>
          <w:szCs w:val="18"/>
          <w:color w:val="auto"/>
        </w:rPr>
        <w:t>On December 31, 2021, the Company acquired the equity of CenterPointe Behavioral Health System, LLC and certain related entities (“CenterPointe”) for cash consideration of approximately $140 million. The acquisition was funded through a combination of cash on hand and a $70.0 million draw on the Revolving Facility. At the time of the acquisition, CenterPointe operated four acute inpatient hospitals with 306 beds and ten outpatient locations primarily in Missouri.</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values of assets acquired and liabilities assumed in the CenterPointe acquisition were as follows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62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35,227</w:t>
            </w:r>
          </w:p>
        </w:tc>
        <w:tc>
          <w:tcPr>
            <w:tcW w:w="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105,883</w:t>
            </w:r>
          </w:p>
        </w:tc>
        <w:tc>
          <w:tcPr>
            <w:tcW w:w="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shd w:val="clear" w:color="auto" w:fill="CFF0FC"/>
          </w:tcPr>
          <w:p>
            <w:pPr>
              <w:spacing w:after="0"/>
              <w:rPr>
                <w:sz w:val="19"/>
                <w:szCs w:val="19"/>
                <w:color w:val="auto"/>
              </w:rPr>
            </w:pPr>
          </w:p>
        </w:tc>
      </w:tr>
      <w:tr>
        <w:trPr>
          <w:trHeight w:val="230"/>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80" w:type="dxa"/>
            <w:vAlign w:val="bottom"/>
            <w:tcBorders>
              <w:bottom w:val="single" w:sz="8" w:color="CFF0FC"/>
            </w:tcBorders>
          </w:tcPr>
          <w:p>
            <w:pPr>
              <w:spacing w:after="0"/>
              <w:rPr>
                <w:sz w:val="19"/>
                <w:szCs w:val="19"/>
                <w:color w:val="auto"/>
              </w:rPr>
            </w:pPr>
          </w:p>
        </w:tc>
      </w:tr>
      <w:tr>
        <w:trPr>
          <w:trHeight w:val="223"/>
        </w:trPr>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2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189,732</w:t>
            </w:r>
          </w:p>
        </w:tc>
        <w:tc>
          <w:tcPr>
            <w:tcW w:w="8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8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80" w:type="dxa"/>
            <w:vAlign w:val="bottom"/>
            <w:shd w:val="clear" w:color="auto" w:fill="CFF0FC"/>
          </w:tcPr>
          <w:p>
            <w:pPr>
              <w:spacing w:after="0"/>
              <w:rPr>
                <w:sz w:val="19"/>
                <w:szCs w:val="19"/>
                <w:color w:val="auto"/>
              </w:rPr>
            </w:pPr>
          </w:p>
        </w:tc>
      </w:tr>
      <w:tr>
        <w:trPr>
          <w:trHeight w:val="223"/>
        </w:trPr>
        <w:tc>
          <w:tcPr>
            <w:tcW w:w="52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44,206</w:t>
            </w:r>
          </w:p>
        </w:tc>
        <w:tc>
          <w:tcPr>
            <w:tcW w:w="80" w:type="dxa"/>
            <w:vAlign w:val="bottom"/>
            <w:tcBorders>
              <w:bottom w:val="single" w:sz="8" w:color="CFF0FC"/>
            </w:tcBorders>
          </w:tcPr>
          <w:p>
            <w:pPr>
              <w:spacing w:after="0"/>
              <w:rPr>
                <w:sz w:val="19"/>
                <w:szCs w:val="19"/>
                <w:color w:val="auto"/>
              </w:rPr>
            </w:pPr>
          </w:p>
        </w:tc>
      </w:tr>
      <w:tr>
        <w:trPr>
          <w:trHeight w:val="223"/>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2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145,526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qualitative factors comprising the goodwill acquired in the CenterPointe acquisition include the value of the business and efficiencies derived through synergies expected by the elimination of certain redundant corporate functions and expenses, coordination of services provided across the combined network of facilities, achievement of operating efficiencies by benchmarking performance and applying best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changes in goodwill for the years ended December 31, 2022 and 2021 (in thousands):</w:t>
      </w: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Balance 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8919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Increase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2021 dispositions</w:t>
      </w:r>
    </w:p>
    <w:p>
      <w:pPr>
        <w:spacing w:after="0" w:line="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Increase from acquisitions</w:t>
      </w:r>
    </w:p>
    <w:p>
      <w:pPr>
        <w:spacing w:after="0" w:line="2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Adjustments related to 2021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3" w:lineRule="exact"/>
        <w:rPr>
          <w:sz w:val="20"/>
          <w:szCs w:val="20"/>
          <w:color w:val="auto"/>
        </w:rPr>
      </w:pPr>
    </w:p>
    <w:p>
      <w:pPr>
        <w:ind w:left="1700" w:right="820" w:firstLine="123"/>
        <w:spacing w:after="0" w:line="307" w:lineRule="auto"/>
        <w:rPr>
          <w:sz w:val="20"/>
          <w:szCs w:val="20"/>
          <w:color w:val="auto"/>
        </w:rPr>
      </w:pPr>
      <w:r>
        <w:rPr>
          <w:rFonts w:ascii="Times New Roman" w:cs="Times New Roman" w:eastAsia="Times New Roman" w:hAnsi="Times New Roman"/>
          <w:sz w:val="18"/>
          <w:szCs w:val="18"/>
          <w:color w:val="auto"/>
        </w:rPr>
        <w:t>Increase from contributions of redeemable noncontrolling interests Balance at December 31, 2022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580" w:hanging="578"/>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2,105,264</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97,122</w:t>
      </w:r>
    </w:p>
    <w:p>
      <w:pPr>
        <w:spacing w:after="0" w:line="22"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8318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11"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2,199,937</w:t>
      </w:r>
    </w:p>
    <w:p>
      <w:pPr>
        <w:spacing w:after="0" w:line="27"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9,488</w:t>
      </w:r>
    </w:p>
    <w:p>
      <w:pPr>
        <w:spacing w:after="0" w:line="23"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8,761</w:t>
      </w:r>
    </w:p>
    <w:p>
      <w:pPr>
        <w:spacing w:after="0" w:line="23"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4,619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8318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1" w:lineRule="exact"/>
        <w:rPr>
          <w:sz w:val="20"/>
          <w:szCs w:val="20"/>
          <w:color w:val="auto"/>
        </w:rPr>
      </w:pPr>
    </w:p>
    <w:p>
      <w:pPr>
        <w:ind w:left="580" w:hanging="578"/>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2,222,805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8318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34290</wp:posOffset>
            </wp:positionV>
            <wp:extent cx="8318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7440" w:space="720"/>
            <w:col w:w="3080"/>
          </w:cols>
          <w:pgMar w:left="320" w:top="121" w:right="339" w:bottom="1440" w:gutter="0" w:footer="0" w:header="0"/>
          <w:type w:val="continuous"/>
        </w:sect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Of the increases to goodwill from acquisitions in 2022 and 2021, the Company expects $9.5 million and $56.1 million to be tax-deductible for the years ended December 31, 2022 and 2021,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Transaction-related expenses</w:t>
      </w:r>
    </w:p>
    <w:p>
      <w:pPr>
        <w:spacing w:after="0" w:line="229" w:lineRule="exact"/>
        <w:rPr>
          <w:sz w:val="20"/>
          <w:szCs w:val="20"/>
          <w:color w:val="auto"/>
        </w:rPr>
      </w:pPr>
    </w:p>
    <w:p>
      <w:pPr>
        <w:ind w:right="60" w:firstLine="562"/>
        <w:spacing w:after="0" w:line="282" w:lineRule="auto"/>
        <w:rPr>
          <w:sz w:val="20"/>
          <w:szCs w:val="20"/>
          <w:color w:val="auto"/>
        </w:rPr>
      </w:pPr>
      <w:r>
        <w:rPr>
          <w:rFonts w:ascii="Times New Roman" w:cs="Times New Roman" w:eastAsia="Times New Roman" w:hAnsi="Times New Roman"/>
          <w:sz w:val="18"/>
          <w:szCs w:val="18"/>
          <w:color w:val="auto"/>
        </w:rPr>
        <w:t>Transaction-related expenses represent costs primarily related to legal, accounting, termination, restructuring, management transition, acquisition and other similar costs. Transaction-related expenses comprised the following costs for the years ended December 31, 2022, 2021 and 2020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55"/>
        </w:trPr>
        <w:tc>
          <w:tcPr>
            <w:tcW w:w="1140" w:type="dxa"/>
            <w:vAlign w:val="bottom"/>
          </w:tcPr>
          <w:p>
            <w:pPr>
              <w:spacing w:after="0"/>
              <w:rPr>
                <w:sz w:val="13"/>
                <w:szCs w:val="13"/>
                <w:color w:val="auto"/>
              </w:rPr>
            </w:pPr>
          </w:p>
        </w:tc>
        <w:tc>
          <w:tcPr>
            <w:tcW w:w="406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transition costs</w:t>
            </w: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Termination and restructuring costs</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accounting and other acquisition-related costs</w:t>
            </w:r>
          </w:p>
        </w:tc>
        <w:tc>
          <w:tcPr>
            <w:tcW w:w="15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23,792</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12,778</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42"/>
        </w:trPr>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20" w:type="dxa"/>
            <w:vAlign w:val="bottom"/>
            <w:gridSpan w:val="2"/>
          </w:tcPr>
          <w:p>
            <w:pPr>
              <w:jc w:val="right"/>
              <w:ind w:right="1036"/>
              <w:spacing w:after="0"/>
              <w:rPr>
                <w:sz w:val="20"/>
                <w:szCs w:val="20"/>
                <w:color w:val="auto"/>
              </w:rPr>
            </w:pPr>
            <w:r>
              <w:rPr>
                <w:rFonts w:ascii="Times New Roman" w:cs="Times New Roman" w:eastAsia="Times New Roman" w:hAnsi="Times New Roman"/>
                <w:sz w:val="18"/>
                <w:szCs w:val="18"/>
                <w:color w:val="auto"/>
              </w:rPr>
              <w:t>F-18</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at December 31, 2022 and 2021 (in thousands):</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0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9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169,137</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154,376</w:t>
            </w:r>
          </w:p>
        </w:tc>
        <w:tc>
          <w:tcPr>
            <w:tcW w:w="12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1,797,809</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1,683,560</w:t>
            </w:r>
          </w:p>
        </w:tc>
        <w:tc>
          <w:tcPr>
            <w:tcW w:w="120" w:type="dxa"/>
            <w:vAlign w:val="bottom"/>
          </w:tcPr>
          <w:p>
            <w:pPr>
              <w:spacing w:after="0"/>
              <w:rPr>
                <w:sz w:val="19"/>
                <w:szCs w:val="19"/>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292,200</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253,100</w:t>
            </w:r>
          </w:p>
        </w:tc>
        <w:tc>
          <w:tcPr>
            <w:tcW w:w="120" w:type="dxa"/>
            <w:vAlign w:val="bottom"/>
            <w:shd w:val="clear" w:color="auto" w:fill="CFF0FC"/>
          </w:tcPr>
          <w:p>
            <w:pPr>
              <w:spacing w:after="0"/>
              <w:rPr>
                <w:sz w:val="19"/>
                <w:szCs w:val="19"/>
                <w:color w:val="auto"/>
              </w:rPr>
            </w:pPr>
          </w:p>
        </w:tc>
      </w:tr>
      <w:tr>
        <w:trPr>
          <w:trHeight w:val="229"/>
        </w:trPr>
        <w:tc>
          <w:tcPr>
            <w:tcW w:w="6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349,473</w:t>
            </w:r>
          </w:p>
        </w:tc>
        <w:tc>
          <w:tcPr>
            <w:tcW w:w="3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221,249</w:t>
            </w:r>
          </w:p>
        </w:tc>
        <w:tc>
          <w:tcPr>
            <w:tcW w:w="120" w:type="dxa"/>
            <w:vAlign w:val="bottom"/>
            <w:tcBorders>
              <w:bottom w:val="single" w:sz="8" w:color="CFF0FC"/>
            </w:tcBorders>
          </w:tcPr>
          <w:p>
            <w:pPr>
              <w:spacing w:after="0"/>
              <w:rPr>
                <w:sz w:val="19"/>
                <w:szCs w:val="19"/>
                <w:color w:val="auto"/>
              </w:rPr>
            </w:pPr>
          </w:p>
        </w:tc>
      </w:tr>
      <w:tr>
        <w:trPr>
          <w:trHeight w:val="223"/>
        </w:trPr>
        <w:tc>
          <w:tcPr>
            <w:tcW w:w="60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2,608,619</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2,312,285</w:t>
            </w:r>
          </w:p>
        </w:tc>
        <w:tc>
          <w:tcPr>
            <w:tcW w:w="12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(656,574)</w:t>
            </w:r>
          </w:p>
        </w:tc>
        <w:tc>
          <w:tcPr>
            <w:tcW w:w="5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(541,126)</w:t>
            </w:r>
          </w:p>
        </w:tc>
      </w:tr>
      <w:tr>
        <w:trPr>
          <w:trHeight w:val="223"/>
        </w:trPr>
        <w:tc>
          <w:tcPr>
            <w:tcW w:w="606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1,952,045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1,771,159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recorded non-cash impairment charges of $24.3 million related primarily to the closure of certain facilities. During the second quarter of 2021, the Company opened a 260-bed replacement facility in Pennsylvania and recorded a non-cash property impairment charge of $23.2 million for the existing facility. Additionally, during the third quarter 2021, the Company recorded a $1.1 million non-cash property impairment charge for one facility in Louisiana resulting from hurricane damage.</w:t>
      </w:r>
    </w:p>
    <w:p>
      <w:pPr>
        <w:spacing w:after="0" w:line="180"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Company has recorded assets held for sale within other current assets on the consolidated balance sheets for closed properties actively marketed of $8.3 million and $15.8 million at December 31, 2022 and 2021, respectively.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identifiable intangible assets and related accumulated amortization consisted of the following at December 31, 2022 and 2021 (in thousands):</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00" w:type="dxa"/>
            <w:vAlign w:val="bottom"/>
          </w:tcPr>
          <w:p>
            <w:pPr>
              <w:spacing w:after="0"/>
              <w:rPr>
                <w:sz w:val="15"/>
                <w:szCs w:val="15"/>
                <w:color w:val="auto"/>
              </w:rPr>
            </w:pPr>
          </w:p>
        </w:tc>
        <w:tc>
          <w:tcPr>
            <w:tcW w:w="23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r>
      <w:tr>
        <w:trPr>
          <w:trHeight w:val="131"/>
        </w:trPr>
        <w:tc>
          <w:tcPr>
            <w:tcW w:w="5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r>
      <w:tr>
        <w:trPr>
          <w:trHeight w:val="173"/>
        </w:trPr>
        <w:tc>
          <w:tcPr>
            <w:tcW w:w="5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(1,131)</w:t>
            </w:r>
          </w:p>
        </w:tc>
      </w:tr>
      <w:tr>
        <w:trPr>
          <w:trHeight w:val="230"/>
        </w:trPr>
        <w:tc>
          <w:tcPr>
            <w:tcW w:w="5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Licenses and accreditations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Certificates of need</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76,041</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70,145</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77,172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71,276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All the Company’s definite-lived intangible assets are fully amortized. The Company’s licenses and accreditations, trade names and certificate of need intangible assets have indefinite lives and are, therefore, not subject to amortization.</w:t>
      </w:r>
    </w:p>
    <w:p>
      <w:pPr>
        <w:spacing w:after="0" w:line="162"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During the second quarter of 2021, the Company sold one outpatient facility for $4.3 million and recorded a write down of $1.8 million of goodwill and $0.2 million of intangible assets related to the disposition. During the fourth quarter of 2021, the Company sold one outpatient facility for $1.5 million and recorded a write down of $0.7 million of goodwill and $0.1 million of intangibles related to the disposition. These dispositions are reflected in other investing activities in the consolidated statement of cash flows.</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Company’s lease portfolio primarily consists of finance and operating real estate leases integral for facility operations. The original terms of the leases typically range from five to 30 years with optional renewal periods. A minimal portion of the Company’s lease portfolio consists of non-real estate leases, including copiers and equipment, which generally have lease terms of one to three years and have insignificant lease obligations.</w:t>
      </w:r>
    </w:p>
    <w:p>
      <w:pPr>
        <w:spacing w:after="0" w:line="176"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The Company elected the accounting policy practical expedients by class of underlying asset in ASC 842 “Leases” to: (i) combine associated lease and non-lease components into a single lease component; and (ii) exclude recording short-term leases as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right-of-use assets and liabilities on the consolidated balance sheets. Non-lease components, which are not significant overall, are combined with lease components.</w:t>
      </w:r>
    </w:p>
    <w:p>
      <w:pPr>
        <w:spacing w:after="0" w:line="162" w:lineRule="exact"/>
        <w:rPr>
          <w:sz w:val="20"/>
          <w:szCs w:val="20"/>
          <w:color w:val="auto"/>
        </w:rPr>
      </w:pPr>
    </w:p>
    <w:p>
      <w:pPr>
        <w:ind w:right="260" w:firstLine="510"/>
        <w:spacing w:after="0" w:line="254" w:lineRule="auto"/>
        <w:rPr>
          <w:sz w:val="20"/>
          <w:szCs w:val="20"/>
          <w:color w:val="auto"/>
        </w:rPr>
      </w:pPr>
      <w:r>
        <w:rPr>
          <w:rFonts w:ascii="Times New Roman" w:cs="Times New Roman" w:eastAsia="Times New Roman" w:hAnsi="Times New Roman"/>
          <w:sz w:val="18"/>
          <w:szCs w:val="18"/>
          <w:color w:val="auto"/>
        </w:rPr>
        <w:t>Operating lease liabilities are recorded at the present value of remaining lease payments not yet paid for the lease term discounted using the incremental borrowing rate associated with each lease. Operating lease right-of-use assets represent operating lease liabilities adjusted for prepayments, accrued lease payments, lease incentives and initial direct costs. Certain of the Company’s leases include renewal or termination options. Calculation of operating lease right-of-use assets and liabilities include the initial lease term unless it is reasonably certain a renewal or termination option will be exercised. Variable components of lease payments fluctuating with a future index or rate, as well as those related to common area maintenance costs, are not included in determining lease payments and are expensed as incurred. Most of the Company’s leases do not contain implicit borrowing rates, and therefore, incremental borrowing rates were calculated based on information available at the lease commencement date. The Company reviews service agreements for embedded leases and records right-of-use assets and liabilities as necessary.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Position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recorded the following at December 31, 2022 and 2021 on the consolidated balance sheets (in thousands):</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50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200" w:type="dxa"/>
            <w:vAlign w:val="bottom"/>
          </w:tcPr>
          <w:p>
            <w:pPr>
              <w:spacing w:after="0"/>
              <w:rPr>
                <w:sz w:val="13"/>
                <w:szCs w:val="13"/>
                <w:color w:val="auto"/>
              </w:rPr>
            </w:pP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9"/>
        </w:trPr>
        <w:tc>
          <w:tcPr>
            <w:tcW w:w="3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50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CFF0FC"/>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00" w:type="dxa"/>
            <w:vAlign w:val="bottom"/>
            <w:shd w:val="clear" w:color="auto" w:fill="CFF0FC"/>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720" w:type="dxa"/>
            <w:vAlign w:val="bottom"/>
            <w:tcBorders>
              <w:bottom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135,238</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143,488</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50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200" w:type="dxa"/>
            <w:vAlign w:val="bottom"/>
          </w:tcPr>
          <w:p>
            <w:pPr>
              <w:spacing w:after="0"/>
              <w:rPr>
                <w:sz w:val="24"/>
                <w:szCs w:val="24"/>
                <w:color w:val="auto"/>
              </w:rPr>
            </w:pP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9"/>
        </w:trPr>
        <w:tc>
          <w:tcPr>
            <w:tcW w:w="3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50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CFF0FC"/>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FF0FC"/>
          </w:tcPr>
          <w:p>
            <w:pPr>
              <w:spacing w:after="0"/>
              <w:rPr>
                <w:sz w:val="19"/>
                <w:szCs w:val="19"/>
                <w:color w:val="auto"/>
              </w:rPr>
            </w:pPr>
          </w:p>
        </w:tc>
        <w:tc>
          <w:tcPr>
            <w:tcW w:w="3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20" w:type="dxa"/>
            <w:vAlign w:val="bottom"/>
            <w:tcBorders>
              <w:bottom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116,429</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154,740</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Weighted-average remaining lease terms and discount rates were as follows at December 31, 2022 and 2021:</w:t>
      </w:r>
    </w:p>
    <w:p>
      <w:pPr>
        <w:spacing w:after="0" w:line="31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7620</wp:posOffset>
            </wp:positionV>
            <wp:extent cx="2425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1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6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4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6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1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12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F-20</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the following lease costs for the years ended December 31, 2022, 2021 and 2020 (in thousands):</w:t>
      </w:r>
    </w:p>
    <w:p>
      <w:pPr>
        <w:spacing w:after="0" w:line="34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50"/>
        </w:trPr>
        <w:tc>
          <w:tcPr>
            <w:tcW w:w="274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21"/>
                <w:szCs w:val="2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5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2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of leased assets</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Pr>
          <w:p>
            <w:pPr>
              <w:spacing w:after="0"/>
              <w:rPr>
                <w:sz w:val="19"/>
                <w:szCs w:val="19"/>
                <w:color w:val="auto"/>
              </w:rPr>
            </w:pPr>
          </w:p>
        </w:tc>
      </w:tr>
      <w:tr>
        <w:trPr>
          <w:trHeight w:val="230"/>
        </w:trPr>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5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4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shd w:val="clear" w:color="auto" w:fill="CFF0FC"/>
          </w:tcPr>
          <w:p>
            <w:pPr>
              <w:spacing w:after="0"/>
              <w:rPr>
                <w:sz w:val="19"/>
                <w:szCs w:val="19"/>
                <w:color w:val="auto"/>
              </w:rPr>
            </w:pPr>
          </w:p>
        </w:tc>
      </w:tr>
      <w:tr>
        <w:trPr>
          <w:trHeight w:val="223"/>
        </w:trPr>
        <w:tc>
          <w:tcPr>
            <w:tcW w:w="2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52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48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80" w:type="dxa"/>
            <w:vAlign w:val="bottom"/>
          </w:tcPr>
          <w:p>
            <w:pPr>
              <w:spacing w:after="0"/>
              <w:rPr>
                <w:sz w:val="19"/>
                <w:szCs w:val="19"/>
                <w:color w:val="auto"/>
              </w:rPr>
            </w:pPr>
          </w:p>
        </w:tc>
      </w:tr>
      <w:tr>
        <w:trPr>
          <w:trHeight w:val="230"/>
        </w:trPr>
        <w:tc>
          <w:tcPr>
            <w:tcW w:w="2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2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costs</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34,349</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28,233</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w:t>
            </w:r>
          </w:p>
        </w:tc>
        <w:tc>
          <w:tcPr>
            <w:tcW w:w="80" w:type="dxa"/>
            <w:vAlign w:val="bottom"/>
          </w:tcPr>
          <w:p>
            <w:pPr>
              <w:spacing w:after="0"/>
              <w:rPr>
                <w:sz w:val="19"/>
                <w:szCs w:val="19"/>
                <w:color w:val="auto"/>
              </w:rPr>
            </w:pPr>
          </w:p>
        </w:tc>
      </w:tr>
      <w:tr>
        <w:trPr>
          <w:trHeight w:val="230"/>
        </w:trPr>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Variable lease costs</w:t>
            </w: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80" w:type="dxa"/>
            <w:vAlign w:val="bottom"/>
            <w:shd w:val="clear" w:color="auto" w:fill="CFF0FC"/>
          </w:tcPr>
          <w:p>
            <w:pPr>
              <w:spacing w:after="0"/>
              <w:rPr>
                <w:sz w:val="19"/>
                <w:szCs w:val="19"/>
                <w:color w:val="auto"/>
              </w:rPr>
            </w:pPr>
          </w:p>
        </w:tc>
      </w:tr>
      <w:tr>
        <w:trPr>
          <w:trHeight w:val="229"/>
        </w:trPr>
        <w:tc>
          <w:tcPr>
            <w:tcW w:w="2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 term lease costs</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tcPr>
          <w:p>
            <w:pPr>
              <w:spacing w:after="0"/>
              <w:rPr>
                <w:sz w:val="19"/>
                <w:szCs w:val="19"/>
                <w:color w:val="auto"/>
              </w:rPr>
            </w:pPr>
          </w:p>
        </w:tc>
      </w:tr>
      <w:tr>
        <w:trPr>
          <w:trHeight w:val="229"/>
        </w:trPr>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lease costs</w:t>
            </w:r>
          </w:p>
        </w:tc>
        <w:tc>
          <w:tcPr>
            <w:tcW w:w="5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4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80" w:type="dxa"/>
            <w:vAlign w:val="bottom"/>
            <w:shd w:val="clear" w:color="auto" w:fill="CFF0FC"/>
          </w:tcPr>
          <w:p>
            <w:pPr>
              <w:spacing w:after="0"/>
              <w:rPr>
                <w:sz w:val="19"/>
                <w:szCs w:val="19"/>
                <w:color w:val="auto"/>
              </w:rPr>
            </w:pPr>
          </w:p>
        </w:tc>
      </w:tr>
      <w:tr>
        <w:trPr>
          <w:trHeight w:val="223"/>
        </w:trPr>
        <w:tc>
          <w:tcPr>
            <w:tcW w:w="2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rents and leases</w:t>
            </w:r>
          </w:p>
        </w:tc>
        <w:tc>
          <w:tcPr>
            <w:tcW w:w="52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45,462</w:t>
            </w:r>
          </w:p>
        </w:tc>
        <w:tc>
          <w:tcPr>
            <w:tcW w:w="48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38,519</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37,362</w:t>
            </w:r>
          </w:p>
        </w:tc>
        <w:tc>
          <w:tcPr>
            <w:tcW w:w="80" w:type="dxa"/>
            <w:vAlign w:val="bottom"/>
          </w:tcPr>
          <w:p>
            <w:pPr>
              <w:spacing w:after="0"/>
              <w:rPr>
                <w:sz w:val="19"/>
                <w:szCs w:val="19"/>
                <w:color w:val="auto"/>
              </w:rPr>
            </w:pPr>
          </w:p>
        </w:tc>
      </w:tr>
      <w:tr>
        <w:trPr>
          <w:trHeight w:val="229"/>
        </w:trPr>
        <w:tc>
          <w:tcPr>
            <w:tcW w:w="2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5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46,881</w:t>
            </w:r>
          </w:p>
        </w:tc>
        <w:tc>
          <w:tcPr>
            <w:tcW w:w="480" w:type="dxa"/>
            <w:vAlign w:val="bottom"/>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41,071</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41,444</w:t>
            </w:r>
          </w:p>
        </w:tc>
        <w:tc>
          <w:tcPr>
            <w:tcW w:w="8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Undiscounted future cash flows for finance and operating leases recorded on the consolidated balance sheet were as follows at December 31, 2022 (in thousands):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4640" w:type="dxa"/>
            <w:vAlign w:val="bottom"/>
            <w:tcBorders>
              <w:bottom w:val="single" w:sz="8" w:color="CFF0FC"/>
            </w:tcBorders>
          </w:tcPr>
          <w:p>
            <w:pPr>
              <w:spacing w:after="0"/>
              <w:rPr>
                <w:sz w:val="2"/>
                <w:szCs w:val="2"/>
                <w:color w:val="auto"/>
              </w:rPr>
            </w:pPr>
          </w:p>
        </w:tc>
        <w:tc>
          <w:tcPr>
            <w:tcW w:w="8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32,818</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80" w:type="dxa"/>
            <w:vAlign w:val="bottom"/>
          </w:tcPr>
          <w:p>
            <w:pPr>
              <w:spacing w:after="0"/>
              <w:rPr>
                <w:sz w:val="19"/>
                <w:szCs w:val="19"/>
                <w:color w:val="auto"/>
              </w:rPr>
            </w:pPr>
          </w:p>
        </w:tc>
      </w:tr>
      <w:tr>
        <w:trPr>
          <w:trHeight w:val="22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25,146</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8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62,653</w:t>
            </w:r>
          </w:p>
        </w:tc>
        <w:tc>
          <w:tcPr>
            <w:tcW w:w="8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27,176</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181,816</w:t>
            </w:r>
          </w:p>
        </w:tc>
        <w:tc>
          <w:tcPr>
            <w:tcW w:w="80" w:type="dxa"/>
            <w:vAlign w:val="bottom"/>
            <w:shd w:val="clear" w:color="auto" w:fill="CFF0FC"/>
          </w:tcPr>
          <w:p>
            <w:pPr>
              <w:spacing w:after="0"/>
              <w:rPr>
                <w:sz w:val="19"/>
                <w:szCs w:val="19"/>
                <w:color w:val="auto"/>
              </w:rPr>
            </w:pPr>
          </w:p>
        </w:tc>
      </w:tr>
      <w:tr>
        <w:trPr>
          <w:trHeight w:val="229"/>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38,924</w:t>
            </w:r>
          </w:p>
        </w:tc>
        <w:tc>
          <w:tcPr>
            <w:tcW w:w="8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142,892</w:t>
            </w:r>
          </w:p>
        </w:tc>
        <w:tc>
          <w:tcPr>
            <w:tcW w:w="80" w:type="dxa"/>
            <w:vAlign w:val="bottom"/>
            <w:shd w:val="clear" w:color="auto" w:fill="CFF0FC"/>
          </w:tcPr>
          <w:p>
            <w:pPr>
              <w:spacing w:after="0"/>
              <w:rPr>
                <w:sz w:val="19"/>
                <w:szCs w:val="19"/>
                <w:color w:val="auto"/>
              </w:rPr>
            </w:pPr>
          </w:p>
        </w:tc>
      </w:tr>
      <w:tr>
        <w:trPr>
          <w:trHeight w:val="229"/>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80" w:type="dxa"/>
            <w:vAlign w:val="bottom"/>
            <w:tcBorders>
              <w:bottom w:val="single" w:sz="8" w:color="CFF0FC"/>
            </w:tcBorders>
          </w:tcPr>
          <w:p>
            <w:pPr>
              <w:spacing w:after="0"/>
              <w:rPr>
                <w:sz w:val="19"/>
                <w:szCs w:val="19"/>
                <w:color w:val="auto"/>
              </w:rPr>
            </w:pPr>
          </w:p>
        </w:tc>
      </w:tr>
      <w:tr>
        <w:trPr>
          <w:trHeight w:val="223"/>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8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116,429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data for the years ended December 31, 2022, 2021 and 2020 were as follows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586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33,836</w:t>
            </w:r>
          </w:p>
        </w:tc>
        <w:tc>
          <w:tcPr>
            <w:tcW w:w="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27,508</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31,136</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vMerge w:val="restart"/>
          </w:tcPr>
          <w:p>
            <w:pPr>
              <w:spacing w:after="0"/>
              <w:rPr>
                <w:sz w:val="19"/>
                <w:szCs w:val="19"/>
                <w:color w:val="auto"/>
              </w:rPr>
            </w:pPr>
          </w:p>
        </w:tc>
        <w:tc>
          <w:tcPr>
            <w:tcW w:w="58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vMerge w:val="continue"/>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31,294</w:t>
            </w:r>
          </w:p>
        </w:tc>
        <w:tc>
          <w:tcPr>
            <w:tcW w:w="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21,285</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6"/>
        </w:trPr>
        <w:tc>
          <w:tcPr>
            <w:tcW w:w="380" w:type="dxa"/>
            <w:vAlign w:val="bottom"/>
          </w:tcPr>
          <w:p>
            <w:pPr>
              <w:spacing w:after="0"/>
              <w:rPr>
                <w:sz w:val="24"/>
                <w:szCs w:val="24"/>
                <w:color w:val="auto"/>
              </w:rPr>
            </w:pPr>
          </w:p>
        </w:tc>
        <w:tc>
          <w:tcPr>
            <w:tcW w:w="586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F-21</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 w:type="dxa"/>
            <w:vAlign w:val="bottom"/>
            <w:tcBorders>
              <w:bottom w:val="single" w:sz="8" w:color="9A9A9A"/>
            </w:tcBorders>
          </w:tcPr>
          <w:p>
            <w:pPr>
              <w:spacing w:after="0"/>
              <w:rPr>
                <w:sz w:val="10"/>
                <w:szCs w:val="10"/>
                <w:color w:val="auto"/>
              </w:rPr>
            </w:pPr>
          </w:p>
        </w:tc>
        <w:tc>
          <w:tcPr>
            <w:tcW w:w="5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9. U.K. Sale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19, 2021, the Company completed the U.K. Sale pursuant to a Share Purchase Agreement in which it sold all of the securities of AHC-</w:t>
      </w:r>
    </w:p>
    <w:p>
      <w:pPr>
        <w:spacing w:after="0" w:line="27" w:lineRule="exact"/>
        <w:rPr>
          <w:sz w:val="20"/>
          <w:szCs w:val="20"/>
          <w:color w:val="auto"/>
        </w:rPr>
      </w:pPr>
    </w:p>
    <w:p>
      <w:pPr>
        <w:ind w:right="60" w:firstLine="8"/>
        <w:spacing w:after="0" w:line="253" w:lineRule="auto"/>
        <w:tabs>
          <w:tab w:leader="none" w:pos="38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Jersey Limited, a private limited liability company incorporated in Jersey and a subsidiary of the Company, which constituted the entirety of the Company’s U.K. operations. The U.K. Sale resulted in approximately $1,525 million of gross proceeds before deducting the settlement of existing foreign currency hedging liabilities of $85 million based on the current British Pounds (“GBP”) to U.S. Dollars (“USD”) exchange rate, cash retained by the buyer and transaction costs. The Company used the net proceeds of approximately $1,425 million (excluding cash retained by the buyer) along with cash on the balance sheet to reduce debt by $1,640 million during the first quarter of 2021 as described in Note 11 – Long-Term Debt.</w:t>
      </w:r>
    </w:p>
    <w:p>
      <w:pPr>
        <w:spacing w:after="0" w:line="79" w:lineRule="exact"/>
        <w:rPr>
          <w:sz w:val="20"/>
          <w:szCs w:val="20"/>
          <w:color w:val="auto"/>
        </w:rPr>
      </w:pPr>
    </w:p>
    <w:p>
      <w:pPr>
        <w:ind w:right="220" w:firstLine="510"/>
        <w:spacing w:after="0" w:line="256" w:lineRule="auto"/>
        <w:rPr>
          <w:sz w:val="20"/>
          <w:szCs w:val="20"/>
          <w:color w:val="auto"/>
        </w:rPr>
      </w:pPr>
      <w:r>
        <w:rPr>
          <w:rFonts w:ascii="Times New Roman" w:cs="Times New Roman" w:eastAsia="Times New Roman" w:hAnsi="Times New Roman"/>
          <w:sz w:val="18"/>
          <w:szCs w:val="18"/>
          <w:color w:val="auto"/>
        </w:rPr>
        <w:t>As a result of the U.K. Sale, the Company reported, for all periods presented, results of operations and cash flows of the U.K. operations as discontinued operations in the accompanying financial statements. In December 2020, the Company’s U.K. operations met the criteria to be classified as assets held for sale. The carrying value of the U.K. operations was written down to fair value less costs to sell in the consolidated balance sheet at December 31, 2020. This resulted in a loss on sale of $867.3 million, which includes approximately $356.2 million of non-cash goodwill impairment, recorded within discontinued operations in the consolidated statement of operations. During the first quarter of 2021, an additional $14.3 million was recorded as a loss on sale primarily resulting from an increase in the U.K. operations carrying value.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2021 and 2020, results of operations of the U.K. operations were as follows (in thousands):</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5"/>
        </w:trPr>
        <w:tc>
          <w:tcPr>
            <w:tcW w:w="51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1,119,768</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632,134</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127,291</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Supplies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38,285</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Rents and leases</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47,748</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113,534</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74,935</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sale</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867,324</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Loss on impairment</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00" w:type="dxa"/>
            <w:vAlign w:val="bottom"/>
            <w:shd w:val="clear" w:color="auto" w:fill="CFF0FC"/>
          </w:tcPr>
          <w:p>
            <w:pPr>
              <w:spacing w:after="0"/>
              <w:rPr>
                <w:sz w:val="19"/>
                <w:szCs w:val="19"/>
                <w:color w:val="auto"/>
              </w:rPr>
            </w:pPr>
          </w:p>
        </w:tc>
      </w:tr>
      <w:tr>
        <w:trPr>
          <w:trHeight w:val="223"/>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1,929,792</w:t>
            </w:r>
          </w:p>
        </w:tc>
        <w:tc>
          <w:tcPr>
            <w:tcW w:w="10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(810,024)</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Borders>
              <w:bottom w:val="single" w:sz="8" w:color="CFF0FC"/>
            </w:tcBorders>
          </w:tcPr>
          <w:p>
            <w:pPr>
              <w:spacing w:after="0"/>
              <w:rPr>
                <w:sz w:val="19"/>
                <w:szCs w:val="19"/>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(812,390)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20" w:firstLine="468"/>
        <w:spacing w:after="0" w:line="282" w:lineRule="auto"/>
        <w:rPr>
          <w:sz w:val="20"/>
          <w:szCs w:val="20"/>
          <w:color w:val="auto"/>
        </w:rPr>
      </w:pPr>
      <w:r>
        <w:rPr>
          <w:rFonts w:ascii="Times New Roman" w:cs="Times New Roman" w:eastAsia="Times New Roman" w:hAnsi="Times New Roman"/>
          <w:sz w:val="18"/>
          <w:szCs w:val="18"/>
          <w:color w:val="auto"/>
        </w:rPr>
        <w:t>The consolidated cash flows for the year ended December 31, 2020 related to the discontinued U.K. operations includes cash paid for capital expenditures of $48.4 million.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The CARES Act</w:t>
      </w:r>
    </w:p>
    <w:p>
      <w:pPr>
        <w:spacing w:after="0" w:line="22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 xml:space="preserve">As part of the Coronavirus Aid, Relief and Economic Security Act (the “CARES Act”), the U.S. government announced it would offer $100 billion of relief to eligible healthcare providers. On April 24, 2020, then President Trump signed into law the Paycheck Protection Program and Health Care Enhancement Act (the “PPP Act”). Among other things, the PPP Act allocates $75 billion to eligible healthcare providers to help offset COVID-19 related losses and expenses. The $75 billion allocated under the PPP Act is in addition to the $100 billion allocated to healthcare providers for the same purposes in the CARES Act and has been disbursed to providers under terms and conditions similar to the CARES Act funds. The Company accounts for government grants by analogizing to the grant model in accordance with International Accounting Standard ("IAS") 20, </w:t>
      </w:r>
      <w:r>
        <w:rPr>
          <w:rFonts w:ascii="Times New Roman" w:cs="Times New Roman" w:eastAsia="Times New Roman" w:hAnsi="Times New Roman"/>
          <w:sz w:val="18"/>
          <w:szCs w:val="18"/>
          <w:i w:val="1"/>
          <w:iCs w:val="1"/>
          <w:color w:val="auto"/>
        </w:rPr>
        <w:t>Accounting for Government Grants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Disclosure of Government Assistance</w:t>
      </w:r>
      <w:r>
        <w:rPr>
          <w:rFonts w:ascii="Times New Roman" w:cs="Times New Roman" w:eastAsia="Times New Roman" w:hAnsi="Times New Roman"/>
          <w:sz w:val="18"/>
          <w:szCs w:val="18"/>
          <w:color w:val="auto"/>
        </w:rPr>
        <w:t>, and as such, has recognized income from grants in line with the recognition of expenses or the loss of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which the grants are intended to compensate. The Company recognizes grants once both of the following conditions are met: (i) the Company is able to comply with the relevant terms and conditions of the grant and (ii) the grant will be received.</w:t>
      </w:r>
    </w:p>
    <w:p>
      <w:pPr>
        <w:spacing w:after="0" w:line="80"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During 2020, the Company participated in certain relief programs offered through the CARES Act, including receipt of approximately $34.9 million relating to the Public Health and Social Services Emergency Fund (“PHSSE Fund”), also known as the Provider Relief Fund. During the fourth quarter of 2020, the Company recorded approximately $32.8 million of income from provider relief fund related to PHSSE Fund funds received in 2020.</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2021, the Company received $24.2 million of additional funds from the PHSSE Fund. During the fourth quarter of 2021, the Company recorded $17.9 million of income from provider relief fund related to the funds received. During the year ended December 31, 2022, the Company received $7.7 million of additional funds from the PHSSE Fund and $14.2 million from the American Rescue Plan (“ARP”) Rural Payments for Hospitals. During the year ended December 31, 2022, the Company recorded $21.5 million of income from provider relief fund related to PHSSE Fund and ARP funds received. The remaining unrecognized funds of $9.0 million are included in other accrued liabilities on the consolidated balance sheet at December 31, 2022. The Company continues to evaluate its compliance with the terms and conditions to, and the financial impact of, the additional funds received, including potential repayment of the remaining balance.</w:t>
      </w:r>
    </w:p>
    <w:p>
      <w:pPr>
        <w:spacing w:after="0" w:line="8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Healthcare providers were required to sign an attestation confirming receipt of the Provider Relief Fund funds and agree to the terms and conditions of payment. Under the terms and conditions for receipt of the payment, the Company was allowed to use the funds to cover lost revenues and healthcare costs related to COVID-19, and the Company was required to properly and fully document the use of these funds to the U.S. Department of Health and Human Services (“HHS”). The reporting of the funds is subject to future audit for compliance with the terms and conditions. The Company recognized Provider Relief Fund funds to the extent it had qualifying COVID-19 expenses or lost revenues as permitted under the terms and conditions. The grant income associated with the COVID-19 expenses and lost revenues incurred during the years ended December 31, 2022, 2021 and 2020 is reflected as income from provider relief fund in the Company’s consolidated statements of operations.</w:t>
      </w:r>
    </w:p>
    <w:p>
      <w:pPr>
        <w:spacing w:after="0" w:line="8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During 2020, the Company applied for and received approximately $45.2 million of payments from the CMS Accelerated and Advance Payment Program. Of the $45.2 million of advance payments received in 2020, the Company repaid approximately $25.1 million of advance payments during 2021 and made additional repayments of approximately $20.1 million during the year ended December 31, 2022.</w:t>
      </w:r>
    </w:p>
    <w:p>
      <w:pPr>
        <w:spacing w:after="0" w:line="68"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In addition, the Company received a 2% increase in facilities’ Medicare reimbursement rate as a result of the temporary suspension of Medicare sequestration from May 1, 2020, to March 31, 2022, which was reduced to 1% on April 1, 2022 and was eliminated effective July 1, 2022.</w:t>
      </w:r>
    </w:p>
    <w:p>
      <w:pPr>
        <w:spacing w:after="0" w:line="5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CARES Act also provides for certain federal income and other tax changes. The Company received a cash benefit of approximately $39.3 million for 2020 relating to the delay of payment of the employer portion of Social Security payroll taxes. The Company repaid half of the $39.3 million of payroll tax deferrals during the third quarter of 2021 and repaid the remaining portion in the third quarter 2022 to eliminate the liability. The payroll tax deferral at December 31, 2021 was included in accrued salaries and benefits on the consolidated balance sheet.</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11. Long-Term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31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53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Loan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398,438</w:t>
            </w:r>
          </w:p>
        </w:tc>
        <w:tc>
          <w:tcPr>
            <w:tcW w:w="2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417,031</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5.500% Senior Notes due 2028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5.000% Senior Notes due 2029</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80" w:type="dxa"/>
            <w:vAlign w:val="bottom"/>
            <w:shd w:val="clear" w:color="auto" w:fill="CFF0FC"/>
          </w:tcPr>
          <w:p>
            <w:pPr>
              <w:spacing w:after="0"/>
              <w:rPr>
                <w:sz w:val="19"/>
                <w:szCs w:val="19"/>
                <w:color w:val="auto"/>
              </w:rPr>
            </w:pPr>
          </w:p>
        </w:tc>
      </w:tr>
      <w:tr>
        <w:trPr>
          <w:trHeight w:val="21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 discount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(12,647)</w:t>
            </w:r>
          </w:p>
        </w:tc>
        <w:tc>
          <w:tcPr>
            <w:tcW w:w="3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(14,811)</w:t>
            </w:r>
          </w:p>
        </w:tc>
      </w:tr>
      <w:tr>
        <w:trPr>
          <w:trHeight w:val="223"/>
        </w:trPr>
        <w:tc>
          <w:tcPr>
            <w:tcW w:w="5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1,385,791</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1,497,220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(21,250)</w:t>
            </w:r>
          </w:p>
        </w:tc>
        <w:tc>
          <w:tcPr>
            <w:tcW w:w="3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(18,594)</w:t>
            </w: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1,364,541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1,478,626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Credit Facility</w:t>
      </w:r>
    </w:p>
    <w:p>
      <w:pPr>
        <w:spacing w:after="0" w:line="148"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The Company entered into a credit agreement establishing a new senior credit facility (the “New Credit Facility”) on March 17, 2021. The New Credit Facility provides for a $600.0 million senior secured revolving credit facility (the “Revolving Facility”) and a $425.0 million senior secured term loan facility (the “Term Loan Facility” and, together with the Revolving Facility, the “Senior Facilities”), each maturing on March 17, 2026 unless extended in accordance with the terms of the New Credit Facility. The Revolving Facility further provides for (i) up to $20.0 million to be utilized for the issuance of letters of credit and (ii) the availability of a swingline facility under which the Company may borrow up to $20.0 million.</w:t>
      </w:r>
    </w:p>
    <w:p>
      <w:pPr>
        <w:spacing w:after="0" w:line="75"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As a part of the closing of the New Credit Facility on March 17, 2021, the Company (i) refinanced and terminated the Company’s prior credit facilities under an amended and restated credit agreement, dated as of December 31, 2012 (the “Prior Credit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and (ii) financed the redemption of all of the Company’s outstanding 5.625% Senior Notes due 2023 (the “5.625% Senior Notes”).</w:t>
      </w:r>
    </w:p>
    <w:p>
      <w:pPr>
        <w:spacing w:after="0" w:line="117" w:lineRule="exact"/>
        <w:rPr>
          <w:sz w:val="20"/>
          <w:szCs w:val="20"/>
          <w:color w:val="auto"/>
        </w:rPr>
      </w:pPr>
    </w:p>
    <w:p>
      <w:pPr>
        <w:jc w:val="both"/>
        <w:ind w:right="40" w:firstLine="510"/>
        <w:spacing w:after="0" w:line="282" w:lineRule="auto"/>
        <w:rPr>
          <w:sz w:val="20"/>
          <w:szCs w:val="20"/>
          <w:color w:val="auto"/>
        </w:rPr>
      </w:pPr>
      <w:r>
        <w:rPr>
          <w:rFonts w:ascii="Times New Roman" w:cs="Times New Roman" w:eastAsia="Times New Roman" w:hAnsi="Times New Roman"/>
          <w:sz w:val="18"/>
          <w:szCs w:val="18"/>
          <w:color w:val="auto"/>
        </w:rPr>
        <w:t>The Company had $521.6 million of availability under the Revolving Facility and had standby letters of credit outstanding of $3.4 million related to security for the payment of claims required by its workers’ compensation insurance program at December 31, 2022.</w:t>
      </w:r>
    </w:p>
    <w:p>
      <w:pPr>
        <w:spacing w:after="0" w:line="54"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repaid $95.0 million of the balance outstanding on the Revolving Facility. During the third quarter of 2021, the Company repaid $60.0 million of the initial $160.0 million balance outstanding on the Revolving Facility. During the fourth quarter of 2021, the Company had a draw of $70.0 million on the Revolving Facility related to the CenterPointe acquisition.</w:t>
      </w:r>
    </w:p>
    <w:p>
      <w:pPr>
        <w:spacing w:after="0" w:line="68"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New Credit Facility requires quarterly principal repayments for the Term Loan Facility of $5.3 million for March 31, 2023 to March 31, 2024, $8.0 million for June 30, 2024 to March 31, 2025, $10.6 million for June 30, 2025 to December 31, 2025, with the remaining principal balance of the Term Loan Facility due on the maturity date of March 17, 2026.</w:t>
      </w:r>
    </w:p>
    <w:p>
      <w:pPr>
        <w:spacing w:after="0" w:line="6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Company has the ability to increase the amount of the Senior Facilities, which may take the form of increases to the Revolving Facility or the Term Loan Facility or the issuance of one or more incremental term loan facilities (collectively, the “Incremental Facilities”), upon obtaining additional commitments from new or existing lenders and the satisfaction of customary conditions precedent for such Incremental Facilities. Such Incremental Facilities may not exceed the sum of (i) the greater of $480.0 million and an amount equal to 100% of the Consolidated EBITDA (as defined in the New Credit Facility) of the Company and its Restricted Subsidiaries (as defined in the New Credit Facility) (as determined for the four fiscal quarter period most recently ended for which financial statements are available), and (ii) additional amounts so long as, after giving effect thereto, the Consolidated Senior Secured Net Leverage Ratio (as defined in the New Credit Facility) does not exceed 3.5 to 1.0.</w:t>
      </w:r>
    </w:p>
    <w:p>
      <w:pPr>
        <w:spacing w:after="0" w:line="8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Subject to certain exceptions, substantially all of the Company’s existing and subsequently acquired or organized direct or indirect wholly-owned U.S. subsidiaries are required to guarantee the repayment of the Company’s obligations under the New Credit Facility. Borrowings under the Senior Facilities bear interest at a floating rate, which will initially be, at the Company’s option, either (i) adjusted LIBOR plus 1.75% or (ii) an alternative base rate plus 0.75% (in each case, subject to adjustment based on the Company’s consolidated total net leverage ratio). An unused fee initially set at 0.25% per annum (subject to adjustment based on the Company’s consolidated total net leverage ratio) is payable quarterly in arrears based on the actual daily undrawn portion of the commitments in respect of the Revolving Facility.</w:t>
      </w:r>
    </w:p>
    <w:p>
      <w:pPr>
        <w:spacing w:after="0" w:line="7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New Credit Facility contains customary representations and affirmative and negative covenants, including limitations on the Company’s and its subsidiaries’ ability to incur additional debt, grant or permit additional liens, make investments and acquisitions, merge or consolidate with others, dispose of assets, pay dividends and distributions, pay junior indebtedness and enter into affiliate transactions, in each case, subject to customary exceptions. In addition, the New Credit Facility contains financial covenants requiring the Company on a consolidated basis to maintain, as of the last day of any consecutive four fiscal quarter period, a consolidated total net leverage ratio of not more than 5.0 to 1.0 and an interest coverage ratio of at least 3.0 to 1.0. The New Credit Facility also includes events of default customary for facilities of this type and upon the occurrence of such events of default, among other things, all outstanding loans under the Senior Facilities may be accelerated and/or the lenders’ commitments terminated. At December 31, 2022, the Company was in compliance with such covenants.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Credit Facility</w:t>
      </w:r>
    </w:p>
    <w:p>
      <w:pPr>
        <w:spacing w:after="0" w:line="121"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The Company entered into a credit agreement establishing a senior secured credit facility (the “Senior Secured Credit Facility”) on April 1, 2011. On December 31, 2012, the Company entered into an amended and restated credit agreement establishing the Prior Credit Facility, which amended and restated the Senior Secured Credit Facility. The Company amended the Prior Credit Facility from time to time as described in the Company’s prior filings with the SEC.</w:t>
      </w:r>
    </w:p>
    <w:p>
      <w:pPr>
        <w:spacing w:after="0" w:line="72"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On April 21, 2020, the Company entered into the Thirteenth Amendment (the “Thirteenth Amendment”) to the Prior Credit Facility. The Thirteenth Amendment amended the Consolidated Leverage Ratio in the prior covenant to increase such leverage ratio for the rest of 2020.</w:t>
      </w:r>
    </w:p>
    <w:p>
      <w:pPr>
        <w:spacing w:after="0" w:line="54" w:lineRule="exact"/>
        <w:rPr>
          <w:sz w:val="20"/>
          <w:szCs w:val="20"/>
          <w:color w:val="auto"/>
        </w:rPr>
      </w:pPr>
    </w:p>
    <w:p>
      <w:pPr>
        <w:jc w:val="both"/>
        <w:ind w:firstLine="468"/>
        <w:spacing w:after="0" w:line="272" w:lineRule="auto"/>
        <w:rPr>
          <w:sz w:val="20"/>
          <w:szCs w:val="20"/>
          <w:color w:val="auto"/>
        </w:rPr>
      </w:pPr>
      <w:r>
        <w:rPr>
          <w:rFonts w:ascii="Times New Roman" w:cs="Times New Roman" w:eastAsia="Times New Roman" w:hAnsi="Times New Roman"/>
          <w:sz w:val="17"/>
          <w:szCs w:val="17"/>
          <w:color w:val="auto"/>
        </w:rPr>
        <w:t>On November 13, 2020, the Company entered into the Fourth Repricing Facilities Amendment (the “Fourth Repricing Facilities Amendment”) to the Prior Credit Facility. The Fourth Repricing Facilities Amendment extended the maturity date of each of the prior revolving line of credit and the Term Loan A Facility of the Prior Credit Facility (“TLA Facility”) from November 30, 2021 to November 30, 2022. The Fourth Repricing Facilities Amendment also</w:t>
      </w:r>
    </w:p>
    <w:p>
      <w:pPr>
        <w:spacing w:after="0" w:line="2" w:lineRule="exact"/>
        <w:rPr>
          <w:sz w:val="20"/>
          <w:szCs w:val="20"/>
          <w:color w:val="auto"/>
        </w:rPr>
      </w:pPr>
    </w:p>
    <w:p>
      <w:pPr>
        <w:ind w:firstLine="8"/>
        <w:spacing w:after="0" w:line="253"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replaced the revolving line of credit in an aggregate committed amount of $500.0 million with an aggregate committed amount of approximately $459.0 million and (2) replaced the TLA Facility aggregate outstanding principal amount of approximately $352.4 million with an aggregate principal amount of approximately $318.9 million. The interest rate margin applicable to both facilities remained unchanged from the prior facilities, and the commitment fee applicable to the new revolving line of credit also remained unchanged from the prior revolving line of credit. In connection with the Fourth Repricing Facilities Amendment, the Company recorded a debt extinguishment charge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of $1.0 million, including the write-off of discount and deferred financing costs, which was recorded in debt extinguishment costs in the consolidated statement of operations for the year ended December 31, 2020.</w:t>
      </w:r>
    </w:p>
    <w:p>
      <w:pPr>
        <w:spacing w:after="0" w:line="54" w:lineRule="exact"/>
        <w:rPr>
          <w:sz w:val="20"/>
          <w:szCs w:val="20"/>
          <w:color w:val="auto"/>
        </w:rPr>
      </w:pPr>
    </w:p>
    <w:p>
      <w:pPr>
        <w:ind w:right="60" w:firstLine="468"/>
        <w:spacing w:after="0" w:line="256" w:lineRule="auto"/>
        <w:rPr>
          <w:sz w:val="20"/>
          <w:szCs w:val="20"/>
          <w:color w:val="auto"/>
        </w:rPr>
      </w:pPr>
      <w:r>
        <w:rPr>
          <w:rFonts w:ascii="Times New Roman" w:cs="Times New Roman" w:eastAsia="Times New Roman" w:hAnsi="Times New Roman"/>
          <w:sz w:val="18"/>
          <w:szCs w:val="18"/>
          <w:color w:val="auto"/>
        </w:rPr>
        <w:t>On January 5, 2021, the Company made a voluntary payment of $105.0 million on the Term Loan B Facility Tranche B-4 of the Prior Credit Facility (“Tranche B-4 Facility”). On January 19, 2021, the Company used a portion of the net proceeds from the U.K. Sale to repay the outstanding balances of $311.7 million of the TLA Facility and $767.9 million of the Tranche B-4 Facility. As a part of the closing of the New Credit Facility on March 17, 2021, the Company refinanced and terminated the Prior Credit Facility. At March 31, 2021, in connection with the termination of the Prior Credit Facility, the Company recorded a debt extinguishment charge of $10.9 million, including the write-off of discount and deferred financing costs, which was recorded in debt extinguishment costs in the consolidated statement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5.500% Senior Notes due 2028</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On June 24, 2020, the Company issued $450.0 million of 5.500% Senior Notes due 2028 (the “5.500% Senior Notes”). The 5.500% Senior Notes mature on July 1, 2028 and bear interest at a rate of 5.500% per annum, payable semi-annually in arrears on January 1 and July 1 of each year, commencing on January 1, 2021.</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5.000% Senior Notes due 2029</w:t>
      </w:r>
    </w:p>
    <w:p>
      <w:pPr>
        <w:spacing w:after="0" w:line="12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On October 14, 2020, the Company issued $475.0 million of 5.000% Senior Notes due 2029 (the “5.000% Senior Notes”). The 5.000% Senior Notes mature on April 15, 2029 and bear interest at a rate of 5.000% per annum, payable semi-annually in arrears on April 15 and October 15 of each year, commencing on April 15, 2021. The Company used the net proceeds of the 5.000% Senior Notes to prepay approximately $453.3 million of the outstanding borrowings on the Company’s Term Loan B Facility Tranche B-3 of the Prior Credit Facility (“Tranche B-3 Facility”) and used the remaining net proceeds for general corporate purposes and to pay related fees and expenses in connection with the offering. In connection with the 5.000% Senior Notes, the Company recorded a debt extinguishment charge of $2.9 million, including the write-off of discount and deferred financing costs of the Tranche B-3 Facility, which was recorded in debt extinguishment costs in the consolidated statement of operations for the year ended December 31, 2020.</w:t>
      </w:r>
    </w:p>
    <w:p>
      <w:pPr>
        <w:spacing w:after="0" w:line="81" w:lineRule="exact"/>
        <w:rPr>
          <w:sz w:val="20"/>
          <w:szCs w:val="20"/>
          <w:color w:val="auto"/>
        </w:rPr>
      </w:pPr>
    </w:p>
    <w:p>
      <w:pPr>
        <w:ind w:right="40" w:firstLine="510"/>
        <w:spacing w:after="0" w:line="257" w:lineRule="auto"/>
        <w:rPr>
          <w:sz w:val="20"/>
          <w:szCs w:val="20"/>
          <w:color w:val="auto"/>
        </w:rPr>
      </w:pPr>
      <w:r>
        <w:rPr>
          <w:rFonts w:ascii="Times New Roman" w:cs="Times New Roman" w:eastAsia="Times New Roman" w:hAnsi="Times New Roman"/>
          <w:sz w:val="18"/>
          <w:szCs w:val="18"/>
          <w:color w:val="auto"/>
        </w:rPr>
        <w:t>The indentures governing the 5.500% Senior Notes and the 5.000% Senior Notes (together, the “Senior Notes”) contain covenants that, among other things, limit the Company’s ability and the ability of its restricted subsidiaries to: (i) pay dividends, redeem stock or make other distributions or investments; (ii) incur additional debt or issue certain preferred stock; (iii) transfer or sell assets; (iv) engage in certain transactions with affiliates;</w:t>
      </w:r>
    </w:p>
    <w:p>
      <w:pPr>
        <w:spacing w:after="0" w:line="1" w:lineRule="exact"/>
        <w:rPr>
          <w:sz w:val="20"/>
          <w:szCs w:val="20"/>
          <w:color w:val="auto"/>
        </w:rPr>
      </w:pPr>
    </w:p>
    <w:p>
      <w:pPr>
        <w:ind w:right="20" w:firstLine="8"/>
        <w:spacing w:after="0" w:line="260"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dividends or other payments by the restricted subsidiaries; (vi) merge, consolidate or sell substantially all of the Company’s assets; and (vii) create liens on assets.</w:t>
      </w:r>
    </w:p>
    <w:p>
      <w:pPr>
        <w:spacing w:after="0" w:line="73"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Senior Notes issued by the Company are guaranteed by each of the Company’s subsidiaries that guarantee the Company’s obligations under the New Credit Facility. The guarantees are full and unconditional and joint and several.</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may redeem the Senior Notes at its option, in whole or part, at the dates and amounts set forth in the indentures.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5.625% Senior Notes due 2023</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On February 11, 2015, the Company issued $375.0 million of 5.625% Senior Notes. On September 21, 2015, the Company issued $275.0 million of additional 5.625% Senior Notes. The additional notes formed a single class of debt securities with the 5.625% Senior Notes issued in February 2015. Giving effect to this issuance, the Company had outstanding an aggregate of $650.0 million of 5.625% Senior Notes. The 5.625% Senior Notes were to mature on February 15, 2023 and bear interest at a rate of 5.625% per annum, payable semi-annually in arrears on February 15 and August 15 of each year. On March 17, 2021, the Company redeemed the 5.625% Senior Notes.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6.500% Senior Notes due 2024</w:t>
      </w:r>
    </w:p>
    <w:p>
      <w:pPr>
        <w:spacing w:after="0" w:line="121"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On February 16, 2016, the Company issued $390.0 million of 6.500% Senior Notes due 2024 (the “6.500% Senior Notes”). The 6.500% Senior Notes were to mature on March 1, 2024 and bear interest at a rate of 6.500% per annum, payable semi-annually in arrears on March 1 and September 1 of each year, beginning on September 1, 2016. On March 1, 2021, the Company redeemed the 6.500% Senior Notes.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5.625% Senior Notes and 6.500% Senior Notes</w:t>
      </w:r>
    </w:p>
    <w:p>
      <w:pPr>
        <w:spacing w:after="0" w:line="121"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On January 29, 2021, the Company issued conditional notices of full redemption providing for the redemption in full of $650 million of 5.625% Senior Notes and $390 million of 6.500% Senior Notes to the holders of such notes.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On March 1, 2021, the Company satisfied and discharged the indentures governing the 6.500% Senior Notes. In connection with the redemption of the 6.500% Senior Notes, the Company recorded debt extinguishment costs of $10.5 million, including $6.3 million cash paid for breakage costs and the write-off of deferred financing costs of $4.2 million in the consolidated statement of operations.</w:t>
      </w:r>
    </w:p>
    <w:p>
      <w:pPr>
        <w:spacing w:after="0" w:line="68"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On March 17, 2021, the Company satisfied and discharged the indentures governing the 5.625% Senior Notes. In connection with the redemption of the 5.625% Senior Notes, the Company recorded debt extinguishment costs of $3.3 million, including the write-off of deferred financing and premiums costs in the consolidated statement of operations.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6.125% Senior Notes due 2021</w:t>
      </w:r>
    </w:p>
    <w:p>
      <w:pPr>
        <w:spacing w:after="0" w:line="229"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On March 12, 2013, the Company issued $150.0 million of 6.125% Senior Notes due 2021 (the “6.125% Senior Notes”). The 6.125% Senior Notes were to mature on March 15, 2021 and bear interest at a rate of 6.125% per annum, payable semi-annually in arrears on March 15 and September 15 of each year. On June 24, 2020, the Company redeemed the 6.125% Senior Notes.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5.125% Senior Notes due 2022</w:t>
      </w:r>
    </w:p>
    <w:p>
      <w:pPr>
        <w:spacing w:after="0" w:line="229" w:lineRule="exact"/>
        <w:rPr>
          <w:sz w:val="20"/>
          <w:szCs w:val="20"/>
          <w:color w:val="auto"/>
        </w:rPr>
      </w:pPr>
    </w:p>
    <w:p>
      <w:pPr>
        <w:jc w:val="both"/>
        <w:ind w:right="360" w:firstLine="510"/>
        <w:spacing w:after="0" w:line="261" w:lineRule="auto"/>
        <w:rPr>
          <w:sz w:val="20"/>
          <w:szCs w:val="20"/>
          <w:color w:val="auto"/>
        </w:rPr>
      </w:pPr>
      <w:r>
        <w:rPr>
          <w:rFonts w:ascii="Times New Roman" w:cs="Times New Roman" w:eastAsia="Times New Roman" w:hAnsi="Times New Roman"/>
          <w:sz w:val="18"/>
          <w:szCs w:val="18"/>
          <w:color w:val="auto"/>
        </w:rPr>
        <w:t>On July 1, 2014, the Company issued $300.0 million of 5.125% Senior Notes due 2022 (the “5.125% Senior Notes”). The 5.125% Senior Notes were to mature on July 1, 2022 and bear interest at a rate of 5.125% per annum, payable semi-annually in arrears on January 1 and July 1 of each year.</w:t>
      </w:r>
    </w:p>
    <w:p>
      <w:pPr>
        <w:ind w:left="660"/>
        <w:spacing w:after="0"/>
        <w:rPr>
          <w:sz w:val="20"/>
          <w:szCs w:val="20"/>
          <w:color w:val="auto"/>
        </w:rPr>
      </w:pPr>
      <w:r>
        <w:rPr>
          <w:rFonts w:ascii="Times New Roman" w:cs="Times New Roman" w:eastAsia="Times New Roman" w:hAnsi="Times New Roman"/>
          <w:sz w:val="18"/>
          <w:szCs w:val="18"/>
          <w:color w:val="auto"/>
        </w:rPr>
        <w:t>On June 24, 2020, the Company redeemed the 5.125% Senior Notes.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6.125% Senior Notes and 5.125% Senior Notes</w:t>
      </w:r>
    </w:p>
    <w:p>
      <w:pPr>
        <w:spacing w:after="0" w:line="22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On June 10, 2020, the Company issued conditional notices of full redemption providing for the redemption in full of the 6.125% Senior Notes and 5.125% Senior Notes on July 10, 2020 (the “Redemption Date”), in each case at a redemption price equal to 100.0% of the principal amount thereof, plus accrued and unpaid interest, if any, to, but not including the Redemption Date (the “Redemption Price”). On June 24, 2020, the Company satisfied and discharged the indentures governing the 6.125% Senior Notes and the 5.125% Senior Notes by irrevocably depositing with a trustee sufficient funds equal to the Redemption Price for the 6.125% Senior Notes and the 5.125% Senior Notes and otherwise complying with the terms in the indentures relating to the satisfaction and discharge of the 6.125% Senior Notes and the 5.125% Senior Notes. In connection with the redemption of the 6.125% Senior Notes and the 5.125% Senior Notes, the Company recorded a debt extinguishment charge of $3.3 million, including the write-off of the deferred financing and other costs in the consolidated statement of operations for the year ended December 31, 2020.</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debt</w:t>
      </w:r>
    </w:p>
    <w:p>
      <w:pPr>
        <w:spacing w:after="0" w:line="229"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repaid other long-term debt of $3.3 million, which is reflected in repayment of long-term debt within financing activities in the consolidated statement of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Debt issuance costs are deferred and amortized to interest expense over the term of the related debt. Debt issuance costs at December 31, 2022 were $12.6 million, net of accumulated amortization of $4.6 million. Debt issuance costs at December 31, 2021 were $14.8 million, net of accumulated amortization of $2.4 million. Amortization expense related to debt issuance costs, which is included in interest expense on the consolidated statements of operations, was $2.2 million, $2.8 million and $9.8 million, respectively, for the years ended December 31, 2022, 2021 and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maturities of long-term debt at December 31, 2022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8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39,844</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383,125</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1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1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5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1,398,438</w:t>
            </w:r>
          </w:p>
        </w:tc>
        <w:tc>
          <w:tcPr>
            <w:tcW w:w="224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642"/>
        </w:trPr>
        <w:tc>
          <w:tcPr>
            <w:tcW w:w="2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0" w:type="dxa"/>
            <w:vAlign w:val="bottom"/>
            <w:gridSpan w:val="2"/>
          </w:tcPr>
          <w:p>
            <w:pPr>
              <w:jc w:val="right"/>
              <w:ind w:right="2136"/>
              <w:spacing w:after="0"/>
              <w:rPr>
                <w:sz w:val="20"/>
                <w:szCs w:val="20"/>
                <w:color w:val="auto"/>
              </w:rPr>
            </w:pPr>
            <w:r>
              <w:rPr>
                <w:rFonts w:ascii="Times New Roman" w:cs="Times New Roman" w:eastAsia="Times New Roman" w:hAnsi="Times New Roman"/>
                <w:sz w:val="18"/>
                <w:szCs w:val="18"/>
                <w:color w:val="auto"/>
              </w:rPr>
              <w:t>F-26</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Noncontrolling Interests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Noncontrolling interests in the consolidated financial statements represents the portion of equity held by noncontrolling partners in the Company’s non-wholly owned subsidiaries. At December 31, 2022, the Company operated eight facilities through non-wholly owned subsidiaries. The Company owns between approximately 65% and 86% of the equity interests of these entities and noncontrolling partners own the remaining equity interests. The initial value of the noncontrolling interests is based on the fair value of contributions. The Company consolidates the operations of each facility based on its status as primary beneficiary, as further discussed in Note 13 – Variable Interest Entities. The noncontrolling interests are reflected as redeemable noncontrolling interests on the accompanying consolidated balance sheets based on put rights that could require the Company to purchase the noncontrolling interests upon the occurrence of a change in control.</w:t>
      </w:r>
    </w:p>
    <w:p>
      <w:pPr>
        <w:spacing w:after="0" w:line="18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redeemable noncontrolling interests are as follows (in thousands):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60" w:type="dxa"/>
            <w:vAlign w:val="bottom"/>
            <w:vMerge w:val="restart"/>
          </w:tcPr>
          <w:p>
            <w:pPr>
              <w:spacing w:after="0"/>
              <w:rPr>
                <w:sz w:val="19"/>
                <w:szCs w:val="19"/>
                <w:color w:val="auto"/>
              </w:rPr>
            </w:pPr>
          </w:p>
        </w:tc>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6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400" w:type="dxa"/>
            <w:vAlign w:val="bottom"/>
            <w:gridSpan w:val="2"/>
            <w:shd w:val="clear" w:color="auto" w:fill="CFF0FC"/>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6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Contributions from noncontrolling partners in joint ventures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6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 partners in joint ventures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5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65,388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6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Contributions from noncontrolling partners in joint ventures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6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of ownership interests from noncontrolling partners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(4,183)</w:t>
            </w:r>
          </w:p>
        </w:tc>
        <w:tc>
          <w:tcPr>
            <w:tcW w:w="0" w:type="dxa"/>
            <w:vAlign w:val="bottom"/>
          </w:tcPr>
          <w:p>
            <w:pPr>
              <w:spacing w:after="0"/>
              <w:rPr>
                <w:sz w:val="1"/>
                <w:szCs w:val="1"/>
                <w:color w:val="auto"/>
              </w:rPr>
            </w:pPr>
          </w:p>
        </w:tc>
      </w:tr>
      <w:tr>
        <w:trPr>
          <w:trHeight w:val="229"/>
        </w:trPr>
        <w:tc>
          <w:tcPr>
            <w:tcW w:w="156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 partners in joint ventures</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23"/>
        </w:trPr>
        <w:tc>
          <w:tcPr>
            <w:tcW w:w="73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Variable Interest Entities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For legal entities where the Company has a financial relationship, the Company evaluates whether it has a variable interest and determines if the entity is considered a variable interest entity (“VIE”). If the Company concludes an entity is a VIE and the Company is the primary beneficiary, the entity is consolidated. The primary beneficiary analysis is a qualitative analysis based on power and benefits. A reporting entity has a controlling financial interest in a VIE and must consolidate the VIE if it has both power and benefits. It must have the power to direct the activities that most significantly impact the VIE’s economic performance and the obligation to absorb losses of the VIE that potentially could be significant to the VIE or the right to receive benefits from the VIE that potentially could be significant to the VIE.</w:t>
      </w:r>
    </w:p>
    <w:p>
      <w:pPr>
        <w:spacing w:after="0" w:line="79"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At December 31, 2022, the Company operated eight facilities through non-wholly owned subsidiaries. The Company owns between approximately 65% and 86% of the equity interests of these entities, and noncontrolling partners own the remaining equity interests. The Company manages each of these facilities, is responsible for the day to day operations and, therefore, has the power to direct the activities that most significantly impact the VIE’s economic performance and the obligation to absorb losses or receive benefits from the VIE that could potentially be significant to the VIE. These activities include, but are not limited to, behavioral healthcare services, human resource and employment-related decisions, marketing and finance. The terms of the agreements governing each of the Company’s VIEs prohibit the Company from using the assets of each VIE to satisfy the obligations of other entities. Consolidated assets at December 31, 2022 and 2021 include total assets of variable interest entities of $434.2 million and $320.6 million, respectively, which cannot be used to settle the obligations of other entities. Consolidated liabilities at December 31, 2022 and 2021 include total liabilities of variable interest entities of $24.4 million and $24.1 million, respectively.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VIEs assets and liabilities in the Company’s consolidated balance sheets are shown below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3"/>
                <w:szCs w:val="13"/>
                <w:color w:val="auto"/>
              </w:rPr>
            </w:pPr>
          </w:p>
        </w:tc>
        <w:tc>
          <w:tcPr>
            <w:tcW w:w="1140" w:type="dxa"/>
            <w:vAlign w:val="bottom"/>
            <w:gridSpan w:val="7"/>
          </w:tcPr>
          <w:p>
            <w:pPr>
              <w:jc w:val="right"/>
              <w:ind w:right="7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32,478</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26,360</w:t>
            </w: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23,789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58,828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47,808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313,358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220,793</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39,564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16,139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434,173</w:t>
            </w:r>
          </w:p>
        </w:tc>
        <w:tc>
          <w:tcPr>
            <w:tcW w:w="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320,639</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7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17,928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24,361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0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 (in thousands):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740" w:type="dxa"/>
            <w:vAlign w:val="bottom"/>
            <w:gridSpan w:val="2"/>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2020</w:t>
            </w:r>
          </w:p>
        </w:tc>
        <w:tc>
          <w:tcPr>
            <w:tcW w:w="7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(434,633)</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24,958</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on derivative instruments, net of tax</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 $(3.9) million</w:t>
            </w: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(11,272)</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(11,272)</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Pension liability adjustment, net of tax</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of $(0.8) million</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(6,456)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(6,456)</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7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(373,101)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(4,260)</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Gain on derivative instruments, net of tax</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 $0.1 million</w:t>
            </w: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U.K. Sale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377,394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(13,705)</w:t>
            </w:r>
          </w:p>
        </w:tc>
        <w:tc>
          <w:tcPr>
            <w:tcW w:w="28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375,606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provides that up to 10,000,000 shares of preferred stock may be issued. The board of directors has the authority to issue preferred stock in one or more series and to fix for each series the voting powers (full, limited or none), and the designations, preferences and relative participating, optional or other special rights and qualifications, limitations or restrictions on the stock and the number of shares constituting any series and the designations of this series, without any further vote or action by the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provides that up to 180,000,000 shares of common stock may be issued. Holders of the Company’s common stock are entitled to one vote for each share held of record on all matters on which stockholders may vote. There are no preemptive, conversion, redemption or sinking fund provisions applicable to shares of</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common stock. In the event of liquidation, dissolution or winding up, holders of the Company’s common stock are entitled to share ratably in the assets available for distribution, subject to any prior rights of any holders of preferred stock then outstanding. Delaware law prohibits the Company from paying any dividends unless it has capital surplus or net profits available for this purpose. In addition, the New Credit Facility imposes restrictions on the Company’s ability to pay dividends.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Equity-Based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Company issues stock-based awards, including stock options, restricted stock and restricted stock units, to certain officers, employees and non-employee directors under the Acadia Healthcare Company, Inc. Incentive Compensation Plan (the “Equity Incentive Plan”). At December 31, 2022, a maximum of 12,700,000 shares of the Company’s common stock were authorized for issuance as stock options, restricted stock and restricted stock units or other share-based compensation under the Equity Incentive Plan, of which 3,133,811 were available for future grant. Stock options may be granted for terms of up to ten years. The Company recognizes expense on all share-based awards on a straight-line basis over the requisite service period of the entire award. Grants to employees generally vest in annual increments of 25% each year, commencing one year after the date of grant. The exercise prices of stock options are equal to the closing price of the Company’s common stock on the most recent trading date prior to the date of grant.</w:t>
      </w:r>
    </w:p>
    <w:p>
      <w:pPr>
        <w:spacing w:after="0" w:line="189"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Company recognized $29.6 million, $37.5 million and $22.5 million in equity-based compensation expense for the years ended December 31, 2022, 2021 and 2020, respectively. Stock compensation expense for the years ended December 31, 2022, 2021 and 2020 is impacted by forfeiture adjustments and restricted stock unit adjustments based on actual performance compared to vesting targets. At December 31, 2022, there was $61.9 million of unrecognized compensation expense related to unvested options, restricted stock and restricted stock units, which is expected to be recognized over the remaining weighted average vesting period of 1.4 years.</w:t>
      </w:r>
    </w:p>
    <w:p>
      <w:pPr>
        <w:spacing w:after="0" w:line="183"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At December 31, 2022, there were no warrants outstanding. The Company recognized a deferred income tax benefit of $8.0 million, $9.6 million and $5.5 million for the years ended December 31, 2022, 2021 and 2020, respectively, related to equity-based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during 2020, 2021 and 2022 was as follows (aggregate intrinsic value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January 1, 2020</w:t>
            </w:r>
          </w:p>
        </w:tc>
        <w:tc>
          <w:tcPr>
            <w:tcW w:w="1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1,360,068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507,600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(68,700)</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(288,662)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2020</w:t>
            </w:r>
          </w:p>
        </w:tc>
        <w:tc>
          <w:tcPr>
            <w:tcW w:w="1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1,510,306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324,320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(558,322)</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(170,235)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1,106,069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334,260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(285,577)</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(175,475)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979,277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2022</w:t>
            </w: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301,827</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6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F-29</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Fair values are estimated using the Black-Scholes option pricing model. The following table summarizes the grant-date fair value of options and the assumptions used to develop the fair value estimates for options granted during the years ended December 31, 2022, 2021 and 2020:</w:t>
      </w:r>
    </w:p>
    <w:p>
      <w:pPr>
        <w:spacing w:after="0" w:line="250" w:lineRule="exact"/>
        <w:rPr>
          <w:sz w:val="20"/>
          <w:szCs w:val="20"/>
          <w:color w:val="auto"/>
        </w:rPr>
      </w:pPr>
    </w:p>
    <w:tbl>
      <w:tblPr>
        <w:tblLayout w:type="fixed"/>
        <w:tblInd w:w="178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5"/>
        </w:trPr>
        <w:tc>
          <w:tcPr>
            <w:tcW w:w="4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jc w:val="right"/>
              <w:ind w:right="18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3"/>
                <w:szCs w:val="13"/>
                <w:color w:val="auto"/>
              </w:rPr>
            </w:pPr>
          </w:p>
        </w:tc>
        <w:tc>
          <w:tcPr>
            <w:tcW w:w="800" w:type="dxa"/>
            <w:vAlign w:val="bottom"/>
            <w:gridSpan w:val="2"/>
          </w:tcPr>
          <w:p>
            <w:pPr>
              <w:jc w:val="right"/>
              <w:ind w:right="15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3"/>
                <w:szCs w:val="13"/>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grant-date fair value of options</w:t>
            </w:r>
          </w:p>
        </w:tc>
        <w:tc>
          <w:tcPr>
            <w:tcW w:w="5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20.72</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20.64</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00" w:type="dxa"/>
            <w:vAlign w:val="bottom"/>
            <w:tcBorders>
              <w:top w:val="single" w:sz="8" w:color="CFF0FC"/>
            </w:tcBorders>
            <w:shd w:val="clear" w:color="auto" w:fill="CFF0FC"/>
          </w:tcPr>
          <w:p>
            <w:pPr>
              <w:spacing w:after="0"/>
              <w:rPr>
                <w:sz w:val="19"/>
                <w:szCs w:val="19"/>
                <w:color w:val="auto"/>
              </w:rPr>
            </w:pP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10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r>
    </w:tbl>
    <w:p>
      <w:pPr>
        <w:spacing w:after="0" w:line="206"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The Company’s estimate of expected volatility for stock options is based upon the volatility of its stock price over the expected life of the award. The risk-free interest rate is the approximate yield on U. S. Treasury Strips having a life equal to the expected option life on the date of grant. The expected life is an estimate of the number of years an option will be held before it is exercised.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Stock-Based Awards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activity during 2020, 2021 and 2022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1, 2020</w:t>
            </w:r>
          </w:p>
        </w:tc>
        <w:tc>
          <w:tcPr>
            <w:tcW w:w="23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637,312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35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(129,683)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(289,769)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2020</w:t>
            </w:r>
          </w:p>
        </w:tc>
        <w:tc>
          <w:tcPr>
            <w:tcW w:w="23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1,022,996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352,430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35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(82,751)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(366,048)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23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926,627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650,396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35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(145,205)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(386,616)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23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1,045,202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40" w:type="dxa"/>
            <w:vAlign w:val="bottom"/>
            <w:gridSpan w:val="3"/>
          </w:tcPr>
          <w:p>
            <w:pPr>
              <w:jc w:val="right"/>
              <w:ind w:right="2480"/>
              <w:spacing w:after="0"/>
              <w:rPr>
                <w:sz w:val="20"/>
                <w:szCs w:val="20"/>
                <w:color w:val="auto"/>
              </w:rPr>
            </w:pPr>
            <w:r>
              <w:rPr>
                <w:rFonts w:ascii="Times New Roman" w:cs="Times New Roman" w:eastAsia="Times New Roman" w:hAnsi="Times New Roman"/>
                <w:sz w:val="18"/>
                <w:szCs w:val="18"/>
                <w:color w:val="auto"/>
              </w:rPr>
              <w:t>F-30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unit activity during 2020, 2021 and 2022 was as follows: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1, 2020</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447,357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adjustment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117,772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(63,056)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(12,691)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2020</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1,073,062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adjustment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465,993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(184,051)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1,504,420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adjustment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182,543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(518,474)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1,273,800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Restricted stock awards are time-based vesting awards that vest over a period of three or four years and are subject to continuing service of the employee or non-employee director over the ratable vesting periods. The fair values of the restricted stock awards were determined based on the closing price of the Company’s common stock on the trading date immediately prior to the grant date.</w:t>
      </w:r>
    </w:p>
    <w:p>
      <w:pPr>
        <w:spacing w:after="0" w:line="176"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Restricted stock units are granted to employees and are subject to Company performance compared to pre-established targets. In addition to Company performance, these performance-based restricted stock units are subject to the continuing service of the employee during the three-year period covered by the awards. The performance condition for the restricted stock units is based on the Company’s achievement of annually established targets for diluted earnings per share. The number of shares issuable at the end of the applicable vesting period of restricted stock units ranges from 0% to 200% of the targeted units based on the Company’s actual performance compared to the targets.</w:t>
      </w:r>
    </w:p>
    <w:p>
      <w:pPr>
        <w:spacing w:after="0" w:line="183" w:lineRule="exact"/>
        <w:rPr>
          <w:sz w:val="20"/>
          <w:szCs w:val="20"/>
          <w:color w:val="auto"/>
        </w:rPr>
      </w:pPr>
    </w:p>
    <w:p>
      <w:pPr>
        <w:ind w:right="940" w:firstLine="510"/>
        <w:spacing w:after="0" w:line="282" w:lineRule="auto"/>
        <w:rPr>
          <w:sz w:val="20"/>
          <w:szCs w:val="20"/>
          <w:color w:val="auto"/>
        </w:rPr>
      </w:pPr>
      <w:r>
        <w:rPr>
          <w:rFonts w:ascii="Times New Roman" w:cs="Times New Roman" w:eastAsia="Times New Roman" w:hAnsi="Times New Roman"/>
          <w:sz w:val="18"/>
          <w:szCs w:val="18"/>
          <w:color w:val="auto"/>
        </w:rPr>
        <w:t>The fair values of restricted stock units were determined based on the closing price of the Company’s common stock on the trading date immediately prior to the grant date for units subject to performance conditions.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Provision for income taxes from continuing operations consists of the following for the periods presented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56"/>
        </w:trPr>
        <w:tc>
          <w:tcPr>
            <w:tcW w:w="1140" w:type="dxa"/>
            <w:vAlign w:val="bottom"/>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2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63,041</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48,292</w:t>
            </w:r>
          </w:p>
        </w:tc>
        <w:tc>
          <w:tcPr>
            <w:tcW w:w="120" w:type="dxa"/>
            <w:vAlign w:val="bottom"/>
          </w:tcPr>
          <w:p>
            <w:pPr>
              <w:spacing w:after="0"/>
              <w:rPr>
                <w:sz w:val="19"/>
                <w:szCs w:val="19"/>
                <w:color w:val="auto"/>
              </w:rPr>
            </w:pP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(18,215)</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1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77,565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42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deferred provision</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42"/>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F-31</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rate to the effective tax rate is as follows for the periods presented:</w:t>
      </w:r>
    </w:p>
    <w:p>
      <w:pPr>
        <w:spacing w:after="0" w:line="31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51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Borders>
              <w:top w:val="single" w:sz="8" w:color="auto"/>
            </w:tcBorders>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3"/>
                <w:szCs w:val="13"/>
                <w:color w:val="auto"/>
              </w:rPr>
            </w:pPr>
          </w:p>
        </w:tc>
      </w:tr>
      <w:tr>
        <w:trPr>
          <w:trHeight w:val="205"/>
        </w:trPr>
        <w:tc>
          <w:tcPr>
            <w:tcW w:w="512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U.S. federal statutory rate on income before income</w:t>
            </w:r>
          </w:p>
        </w:tc>
        <w:tc>
          <w:tcPr>
            <w:tcW w:w="6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34"/>
        </w:trPr>
        <w:tc>
          <w:tcPr>
            <w:tcW w:w="5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Effects of statutory rate change</w:t>
            </w:r>
          </w:p>
        </w:tc>
        <w:tc>
          <w:tcPr>
            <w:tcW w:w="1320" w:type="dxa"/>
            <w:vAlign w:val="bottom"/>
            <w:gridSpan w:val="3"/>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FF0FC"/>
          </w:tcPr>
          <w:p>
            <w:pPr>
              <w:spacing w:after="0"/>
              <w:rPr>
                <w:sz w:val="19"/>
                <w:szCs w:val="19"/>
                <w:color w:val="auto"/>
              </w:rPr>
            </w:pPr>
          </w:p>
        </w:tc>
      </w:tr>
      <w:tr>
        <w:trPr>
          <w:trHeight w:val="229"/>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tax effect</w:t>
            </w: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54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9"/>
                <w:szCs w:val="19"/>
                <w:color w:val="auto"/>
              </w:rPr>
            </w:pPr>
          </w:p>
        </w:tc>
      </w:tr>
      <w:tr>
        <w:trPr>
          <w:trHeight w:val="229"/>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80" w:type="dxa"/>
            <w:vAlign w:val="bottom"/>
          </w:tcPr>
          <w:p>
            <w:pPr>
              <w:spacing w:after="0"/>
              <w:rPr>
                <w:sz w:val="19"/>
                <w:szCs w:val="19"/>
                <w:color w:val="auto"/>
              </w:rPr>
            </w:pPr>
          </w:p>
        </w:tc>
      </w:tr>
      <w:tr>
        <w:trPr>
          <w:trHeight w:val="229"/>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 release</w:t>
            </w:r>
          </w:p>
        </w:tc>
        <w:tc>
          <w:tcPr>
            <w:tcW w:w="1320" w:type="dxa"/>
            <w:vAlign w:val="bottom"/>
            <w:gridSpan w:val="3"/>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Basis recognition related to foreign divestiture</w:t>
            </w:r>
          </w:p>
        </w:tc>
        <w:tc>
          <w:tcPr>
            <w:tcW w:w="1320" w:type="dxa"/>
            <w:vAlign w:val="bottom"/>
            <w:gridSpan w:val="3"/>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(129.9)</w:t>
            </w: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CARES Act impacts to net operating losses</w:t>
            </w:r>
          </w:p>
        </w:tc>
        <w:tc>
          <w:tcPr>
            <w:tcW w:w="132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5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40" w:firstLine="510"/>
        <w:spacing w:after="0" w:line="235" w:lineRule="auto"/>
        <w:rPr>
          <w:sz w:val="20"/>
          <w:szCs w:val="20"/>
          <w:color w:val="auto"/>
        </w:rPr>
      </w:pPr>
      <w:r>
        <w:rPr>
          <w:rFonts w:ascii="Calibri" w:cs="Calibri" w:eastAsia="Calibri" w:hAnsi="Calibri"/>
          <w:sz w:val="18"/>
          <w:szCs w:val="18"/>
          <w:color w:val="auto"/>
        </w:rPr>
        <w:t>For the year ended December 31, 2022, the provision for income taxes was $94.1 million, refectng an efectve tax rate of 25.2%, compared to $67.6 million, refectng an efectve tax rate of 24.5%, for the year ended December 31, 2021.</w:t>
      </w:r>
    </w:p>
    <w:p>
      <w:pPr>
        <w:spacing w:after="0" w:line="235"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The domestic and foreign components of income from continuing operations before income taxes for continuing operations are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56"/>
        </w:trPr>
        <w:tc>
          <w:tcPr>
            <w:tcW w:w="1140" w:type="dxa"/>
            <w:vAlign w:val="bottom"/>
          </w:tcPr>
          <w:p>
            <w:pPr>
              <w:spacing w:after="0"/>
              <w:rPr>
                <w:sz w:val="13"/>
                <w:szCs w:val="13"/>
                <w:color w:val="auto"/>
              </w:rPr>
            </w:pPr>
          </w:p>
        </w:tc>
        <w:tc>
          <w:tcPr>
            <w:tcW w:w="418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Domestic</w:t>
            </w: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368,723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270,164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173,893</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374,143</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275,760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183,797</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42"/>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4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F-32</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of the Company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December 31, 2021 were as follows (in thousands):</w:t>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56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r>
      <w:tr>
        <w:trPr>
          <w:trHeight w:val="22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1"/>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losses and tax credit</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carryforwards – federal and state</w:t>
            </w:r>
          </w:p>
        </w:tc>
        <w:tc>
          <w:tcPr>
            <w:tcW w:w="18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220" w:type="dxa"/>
            <w:vAlign w:val="bottom"/>
          </w:tcPr>
          <w:p>
            <w:pPr>
              <w:spacing w:after="0"/>
              <w:rPr>
                <w:sz w:val="20"/>
                <w:szCs w:val="20"/>
                <w:color w:val="auto"/>
              </w:rPr>
            </w:pP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80" w:type="dxa"/>
            <w:vAlign w:val="bottom"/>
          </w:tcPr>
          <w:p>
            <w:pPr>
              <w:spacing w:after="0"/>
              <w:rPr>
                <w:sz w:val="20"/>
                <w:szCs w:val="20"/>
                <w:color w:val="auto"/>
              </w:rPr>
            </w:pPr>
          </w:p>
        </w:tc>
      </w:tr>
      <w:tr>
        <w:trPr>
          <w:trHeight w:val="229"/>
        </w:trPr>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 loss carryovers</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215,745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215,367</w:t>
            </w:r>
          </w:p>
        </w:tc>
        <w:tc>
          <w:tcPr>
            <w:tcW w:w="80" w:type="dxa"/>
            <w:vAlign w:val="bottom"/>
            <w:shd w:val="clear" w:color="auto" w:fill="CFF0FC"/>
          </w:tcPr>
          <w:p>
            <w:pPr>
              <w:spacing w:after="0"/>
              <w:rPr>
                <w:sz w:val="19"/>
                <w:szCs w:val="19"/>
                <w:color w:val="auto"/>
              </w:rPr>
            </w:pP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Bad debt allowance</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Pr>
          <w:p>
            <w:pPr>
              <w:spacing w:after="0"/>
              <w:rPr>
                <w:sz w:val="19"/>
                <w:szCs w:val="19"/>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compensation and severance</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80" w:type="dxa"/>
            <w:vAlign w:val="bottom"/>
            <w:shd w:val="clear" w:color="auto" w:fill="CFF0FC"/>
          </w:tcPr>
          <w:p>
            <w:pPr>
              <w:spacing w:after="0"/>
              <w:rPr>
                <w:sz w:val="19"/>
                <w:szCs w:val="19"/>
                <w:color w:val="auto"/>
              </w:rPr>
            </w:pP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 reserves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18,847</w:t>
            </w:r>
          </w:p>
        </w:tc>
        <w:tc>
          <w:tcPr>
            <w:tcW w:w="80" w:type="dxa"/>
            <w:vAlign w:val="bottom"/>
          </w:tcPr>
          <w:p>
            <w:pPr>
              <w:spacing w:after="0"/>
              <w:rPr>
                <w:sz w:val="19"/>
                <w:szCs w:val="19"/>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Leases</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shd w:val="clear" w:color="auto" w:fill="CFF0FC"/>
          </w:tcPr>
          <w:p>
            <w:pPr>
              <w:spacing w:after="0"/>
              <w:rPr>
                <w:sz w:val="19"/>
                <w:szCs w:val="19"/>
                <w:color w:val="auto"/>
              </w:rPr>
            </w:pP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80" w:type="dxa"/>
            <w:vAlign w:val="bottom"/>
          </w:tcPr>
          <w:p>
            <w:pPr>
              <w:spacing w:after="0"/>
              <w:rPr>
                <w:sz w:val="19"/>
                <w:szCs w:val="19"/>
                <w:color w:val="auto"/>
              </w:rPr>
            </w:pPr>
          </w:p>
        </w:tc>
      </w:tr>
      <w:tr>
        <w:trPr>
          <w:trHeight w:val="229"/>
        </w:trPr>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carryforwards</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80" w:type="dxa"/>
            <w:vAlign w:val="bottom"/>
            <w:shd w:val="clear" w:color="auto" w:fill="CFF0FC"/>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right-of-use liabilities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26,154</w:t>
            </w:r>
          </w:p>
        </w:tc>
        <w:tc>
          <w:tcPr>
            <w:tcW w:w="80" w:type="dxa"/>
            <w:vAlign w:val="bottom"/>
          </w:tcPr>
          <w:p>
            <w:pPr>
              <w:spacing w:after="0"/>
              <w:rPr>
                <w:sz w:val="19"/>
                <w:szCs w:val="19"/>
                <w:color w:val="auto"/>
              </w:rPr>
            </w:pPr>
          </w:p>
        </w:tc>
      </w:tr>
      <w:tr>
        <w:trPr>
          <w:trHeight w:val="229"/>
        </w:trPr>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Fixed asset basis difference</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6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80" w:type="dxa"/>
            <w:vAlign w:val="bottom"/>
            <w:tcBorders>
              <w:bottom w:val="single" w:sz="8" w:color="CFF0FC"/>
            </w:tcBorders>
          </w:tcPr>
          <w:p>
            <w:pPr>
              <w:spacing w:after="0"/>
              <w:rPr>
                <w:sz w:val="19"/>
                <w:szCs w:val="19"/>
                <w:color w:val="auto"/>
              </w:rPr>
            </w:pPr>
          </w:p>
        </w:tc>
      </w:tr>
      <w:tr>
        <w:trPr>
          <w:trHeight w:val="223"/>
        </w:trPr>
        <w:tc>
          <w:tcPr>
            <w:tcW w:w="4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304,827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307,172</w:t>
            </w:r>
          </w:p>
        </w:tc>
        <w:tc>
          <w:tcPr>
            <w:tcW w:w="80" w:type="dxa"/>
            <w:vAlign w:val="bottom"/>
            <w:shd w:val="clear" w:color="auto" w:fill="CFF0FC"/>
          </w:tcPr>
          <w:p>
            <w:pPr>
              <w:spacing w:after="0"/>
              <w:rPr>
                <w:sz w:val="19"/>
                <w:szCs w:val="19"/>
                <w:color w:val="auto"/>
              </w:rPr>
            </w:pP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(217,705)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(217,325)</w:t>
            </w:r>
          </w:p>
        </w:tc>
      </w:tr>
      <w:tr>
        <w:trPr>
          <w:trHeight w:val="223"/>
        </w:trPr>
        <w:tc>
          <w:tcPr>
            <w:tcW w:w="456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Deferred tax assets</w:t>
            </w:r>
          </w:p>
        </w:tc>
        <w:tc>
          <w:tcPr>
            <w:tcW w:w="16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87,122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89,847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Fixed asset basis difference</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(2,456)</w:t>
            </w: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items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(2,882)</w:t>
            </w:r>
          </w:p>
        </w:tc>
      </w:tr>
      <w:tr>
        <w:trPr>
          <w:trHeight w:val="230"/>
        </w:trPr>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(5,713)</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(139,843)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(126,446)</w:t>
            </w:r>
          </w:p>
        </w:tc>
      </w:tr>
      <w:tr>
        <w:trPr>
          <w:trHeight w:val="230"/>
        </w:trPr>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Lease right-of-use assets</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(24,960)</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(24,660)</w:t>
            </w: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foreign subsidiary</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(4,691)</w:t>
            </w:r>
          </w:p>
        </w:tc>
      </w:tr>
      <w:tr>
        <w:trPr>
          <w:trHeight w:val="223"/>
        </w:trPr>
        <w:tc>
          <w:tcPr>
            <w:tcW w:w="456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(176,760)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(161,135)</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net deferred tax liability</w:t>
            </w:r>
          </w:p>
        </w:tc>
        <w:tc>
          <w:tcPr>
            <w:tcW w:w="160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(71,288)</w:t>
            </w:r>
          </w:p>
        </w:tc>
        <w:tc>
          <w:tcPr>
            <w:tcW w:w="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552"/>
        <w:spacing w:after="0" w:line="261" w:lineRule="auto"/>
        <w:rPr>
          <w:sz w:val="20"/>
          <w:szCs w:val="20"/>
          <w:color w:val="auto"/>
        </w:rPr>
      </w:pPr>
      <w:r>
        <w:rPr>
          <w:rFonts w:ascii="Times New Roman" w:cs="Times New Roman" w:eastAsia="Times New Roman" w:hAnsi="Times New Roman"/>
          <w:sz w:val="18"/>
          <w:szCs w:val="18"/>
          <w:color w:val="auto"/>
        </w:rPr>
        <w:t>The Company records a valuation allowance to reduce its net deferred tax assets to the amount that is more likely than not to be realized. At December 31, 2022 and 2021, the Company carried a valuation allowance against deferred tax assets of $217.7 million and $217.3 million, respectively. These amounts are primarily related to deferred tax assets related to the Company’s capital loss carryforward resulting from the U.K. Sale and certain state net operating losses. If the capital loss carryforward is not utilized, it will begin to expire in 2026.</w:t>
      </w:r>
    </w:p>
    <w:p>
      <w:pPr>
        <w:spacing w:after="0" w:line="180"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had no federal net operating loss carryforwards. The foreign net operating loss carryforwards at December 31, 2022 and 2021 are approximately $0.1 million and $0.1 million, respectively, and have no expiration.</w:t>
      </w:r>
    </w:p>
    <w:p>
      <w:pPr>
        <w:spacing w:after="0" w:line="162"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Company has state net operating loss carryforwards at December 31, 2022 and 2021 of approximately $191.5 million and $227.3 million, respectively. These net operating loss carryforwards, if not used to offset future taxable income, will expire from 2023 to 2036. In addition, the Company has certain state tax credits of $0.2 million which will begin to expire in 2030 if not utilized.</w:t>
      </w:r>
    </w:p>
    <w:p>
      <w:pPr>
        <w:spacing w:after="0" w:line="176"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Income taxes receivable was $28.9 million and $24.6 million at December 31, 2022 and 2021, respectively. At December 31, 2022 and 2021, $23.1 million of income taxes receivable has been included in other assets due to anticipated delays in receipt of income tax refunds associated with amended tax return filings. The remaining $5.8 million and $1.5 million of income taxes receivable is included in other current assets in the December 31, 2022 and 2021 consolidated balance sheet, respectively. Income taxes payable of $1.3 million and $5.5 million at December 31, 2022 and 2021, respectively, was included in other accrued liabilities in the consolidated balance sheets.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Company did not record any amounts related to unrecognized tax benefits at December 31, 2022 or 2021. The Company’s accounting policy is to record any interest and penalties as a component of income tax expense, when applicable. A reconciliation of the beginning and ending amount of unrecognized income tax benefits, exclusive of any interest and penalties, net of the federal benefit, is as follows (in thousands):</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73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FF0FC"/>
          </w:tcPr>
          <w:p>
            <w:pPr>
              <w:spacing w:after="0"/>
              <w:rPr>
                <w:sz w:val="19"/>
                <w:szCs w:val="19"/>
                <w:color w:val="auto"/>
              </w:rPr>
            </w:pPr>
          </w:p>
        </w:tc>
      </w:tr>
      <w:tr>
        <w:trPr>
          <w:trHeight w:val="211"/>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Reductions as a result of the lapse of applicable</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statutes of limitations and settlements with tax authorities</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federal and in many state and local jurisdictions as well as foreign jurisdictions. The Company may be subject to examination by the Internal Revenue Service (“IRS”) for calendar years 2019 through 2021. Additionally, any net operating losses that were generated in prior years and utilized in these years may also be subject to examination by the IRS. While no foreign jurisdictions are presently under examination, the Company may be subject to examination for calendar years 2018 through 2021. Generally, for state tax purposes, the Company’s 2017 through 2021 tax years remain open for examination by the tax authorities. At the date of this report, there were no audits or inquires that had progressed sufficiently to predict their ultimate outcome.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Derivatives</w:t>
      </w:r>
    </w:p>
    <w:p>
      <w:pPr>
        <w:spacing w:after="0" w:line="22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Company entered into foreign currency forward contracts during the year ended December 31, 2020 in connection with certain transfers of cash between the U.S. and U.K. under the Company’s cash management and foreign currency risk management programs. Foreign currency forward contracts limit the economic risk of changes in the exchange rate between U.S. Dollars (“USD”) and British Pounds (“GBP”) associated with cash transfers.</w:t>
      </w:r>
    </w:p>
    <w:p>
      <w:pPr>
        <w:spacing w:after="0" w:line="176"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In August 2019, the Company also entered into multiple cross currency swap agreements with an aggregate notional amount of $650.0 million to manage foreign currency risk by effectively converting a portion of its fixed-rate USD-denominated senior notes, including the semi-annual interest payments thereunder, to fixed-rate GBP-denominated debt of £538.1 million. During the term of the swap agreements, the Company received semi-annual interest payments in USD from the counterparties at fixed interest rates, and the Company made semi-annual interest payments in GBP to the counterparties at fixed interest rates. The interest payments under the cross-currency swap agreements resulted in £25.4 million of annual cash flows from the Company’s U.K. business being converted to $35.8 million.</w:t>
      </w:r>
    </w:p>
    <w:p>
      <w:pPr>
        <w:spacing w:after="0" w:line="7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In conjunction with the U.K. Sale in January 2021, the Company settled its cross currency swap liability and outstanding forward contracts as shown in investing activities on the consolidated statement of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Fair Value Measurements</w:t>
      </w:r>
    </w:p>
    <w:p>
      <w:pPr>
        <w:spacing w:after="0" w:line="229"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carrying amounts reported for cash and cash equivalents, accounts receivable, other current assets, accounts payable and other current liabilities approximate fair value because of the short-term maturity of these instruments.</w:t>
      </w:r>
    </w:p>
    <w:p>
      <w:pPr>
        <w:spacing w:after="0" w:line="162"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The carrying amounts and fair values of the Company’s New Credit Facility, 5.500% Senior Notes and 5.000% Senior Notes at December 31, 2022 and 2021 were as follows (in thousands):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40" w:type="dxa"/>
            <w:vAlign w:val="bottom"/>
          </w:tcPr>
          <w:p>
            <w:pPr>
              <w:spacing w:after="0"/>
              <w:rPr>
                <w:sz w:val="15"/>
                <w:szCs w:val="15"/>
                <w:color w:val="auto"/>
              </w:rPr>
            </w:pP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52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5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Credit Facility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471,489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584,418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471,489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584,418</w:t>
            </w: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5.500% Senior Notes due 2028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444,694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443,894</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422,459</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466,577</w:t>
            </w: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5.000% Senior Notes due 2029</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469,609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468,907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433,214</w:t>
            </w: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481,802</w:t>
            </w:r>
          </w:p>
        </w:tc>
        <w:tc>
          <w:tcPr>
            <w:tcW w:w="120" w:type="dxa"/>
            <w:vAlign w:val="bottom"/>
            <w:shd w:val="clear" w:color="auto" w:fill="CFF0FC"/>
          </w:tcPr>
          <w:p>
            <w:pPr>
              <w:spacing w:after="0"/>
              <w:rPr>
                <w:sz w:val="19"/>
                <w:szCs w:val="19"/>
                <w:color w:val="auto"/>
              </w:rPr>
            </w:pPr>
          </w:p>
        </w:tc>
      </w:tr>
    </w:tbl>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New Credit Facility, 5.500% Senior Notes and 5.000% Senior Notes were categorized as Level 2 in the GAAP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were based on trading activity among the Company’s lenders and the average bid and ask price as determined using published rates.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is, from time to time, subject to various claims, lawsuits, governmental investigations and regulatory actions, including claims for damages for personal injuries, medical malpractice, overpayments, breach of contract, securities law violations, tort and employment related claims. In these actions, plaintiffs request a variety of damages, including, in some instances, punitive and other types of damages that may not be covered by insurance. In addition, healthcare companies are subject to numerous investigations by various governmental agencies. Certain of the Company’s individual facilities have received, and from time to time, other facilities may receive, subpoenas, civil investigative demands, audit requests and other inquiries from, and may be subject to investigation by, federal and state agencies. These investigations can result in repayment obligations, and violations of the False Claims Act can result in substantial monetary penalties and fines, the imposition of a corporate integrity agreement and exclusion from participation in governmental health programs. In addition, the federal False Claims Act permits private parties to bring qui tam, or “whistleblower,” suits against companies that submit false claims for payments to, or improperly retain overpayments from, the government. Some states have adopted similar state whistleblower and false claims provisions.</w:t>
      </w:r>
    </w:p>
    <w:p>
      <w:pPr>
        <w:spacing w:after="0" w:line="84" w:lineRule="exact"/>
        <w:rPr>
          <w:sz w:val="20"/>
          <w:szCs w:val="20"/>
          <w:color w:val="auto"/>
        </w:rPr>
      </w:pPr>
    </w:p>
    <w:p>
      <w:pPr>
        <w:ind w:right="60" w:firstLine="468"/>
        <w:spacing w:after="0" w:line="256" w:lineRule="auto"/>
        <w:rPr>
          <w:sz w:val="20"/>
          <w:szCs w:val="20"/>
          <w:color w:val="auto"/>
        </w:rPr>
      </w:pPr>
      <w:r>
        <w:rPr>
          <w:rFonts w:ascii="Times New Roman" w:cs="Times New Roman" w:eastAsia="Times New Roman" w:hAnsi="Times New Roman"/>
          <w:sz w:val="18"/>
          <w:szCs w:val="18"/>
          <w:color w:val="auto"/>
        </w:rPr>
        <w:t xml:space="preserve">On April 1, 2019, a consolidated complaint was filed against the Company and certain former and current officers in the lawsuit styled </w:t>
      </w:r>
      <w:r>
        <w:rPr>
          <w:rFonts w:ascii="Times New Roman" w:cs="Times New Roman" w:eastAsia="Times New Roman" w:hAnsi="Times New Roman"/>
          <w:sz w:val="18"/>
          <w:szCs w:val="18"/>
          <w:i w:val="1"/>
          <w:iCs w:val="1"/>
          <w:color w:val="auto"/>
        </w:rPr>
        <w:t>St. Clair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County Employees’ Retirement System v. Acadia Healthcare Company, Inc., et al.</w:t>
      </w:r>
      <w:r>
        <w:rPr>
          <w:rFonts w:ascii="Times New Roman" w:cs="Times New Roman" w:eastAsia="Times New Roman" w:hAnsi="Times New Roman"/>
          <w:sz w:val="18"/>
          <w:szCs w:val="18"/>
          <w:color w:val="auto"/>
        </w:rPr>
        <w:t>, Case No. 3:19-cv-00988, which is pending in the United States District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for the Middle District of Tennessee. The complaint purports to be brought on behalf of a class consisting of all persons (other than defendants) who purchased securities of the Company between April 30, 2014 and November 15, 2018, and alleges that defendants violated Sections 10(b) and 20(a) of the Securities Exchange Act of 1934 (the “Exchange Act”) and Rule 10b-5 promulgated thereunder. On September 30, 2022, the court entered an order certifying a class consisting of all persons who purchased or otherwise acquired the common stock of the Company between April 30, 2014 and November 15, 2018. At this time, the Company is not able to quantify any potential liability in connection with this litigation because the case is in its early stages.</w:t>
      </w:r>
    </w:p>
    <w:p>
      <w:pPr>
        <w:spacing w:after="0" w:line="77" w:lineRule="exact"/>
        <w:rPr>
          <w:sz w:val="20"/>
          <w:szCs w:val="20"/>
          <w:color w:val="auto"/>
        </w:rPr>
      </w:pPr>
    </w:p>
    <w:p>
      <w:pPr>
        <w:ind w:right="40" w:firstLine="468"/>
        <w:spacing w:after="0" w:line="268" w:lineRule="auto"/>
        <w:rPr>
          <w:sz w:val="20"/>
          <w:szCs w:val="20"/>
          <w:color w:val="auto"/>
        </w:rPr>
      </w:pPr>
      <w:r>
        <w:rPr>
          <w:rFonts w:ascii="Times New Roman" w:cs="Times New Roman" w:eastAsia="Times New Roman" w:hAnsi="Times New Roman"/>
          <w:sz w:val="17"/>
          <w:szCs w:val="17"/>
          <w:color w:val="auto"/>
        </w:rPr>
        <w:t xml:space="preserve">On February 21, 2019, a purported stockholder filed a related derivative action on behalf of the Company against certain former and current officers and directors in the lawsuit styled </w:t>
      </w:r>
      <w:r>
        <w:rPr>
          <w:rFonts w:ascii="Times New Roman" w:cs="Times New Roman" w:eastAsia="Times New Roman" w:hAnsi="Times New Roman"/>
          <w:sz w:val="17"/>
          <w:szCs w:val="17"/>
          <w:i w:val="1"/>
          <w:iCs w:val="1"/>
          <w:color w:val="auto"/>
        </w:rPr>
        <w:t>Davydov v. Joey A. Jacobs, et al.</w:t>
      </w:r>
      <w:r>
        <w:rPr>
          <w:rFonts w:ascii="Times New Roman" w:cs="Times New Roman" w:eastAsia="Times New Roman" w:hAnsi="Times New Roman"/>
          <w:sz w:val="17"/>
          <w:szCs w:val="17"/>
          <w:color w:val="auto"/>
        </w:rPr>
        <w:t xml:space="preserve">, Case No. 3:19-cv-00167, which is pending in the United States District Court for the Middle District of Tennessee. The complaint alleges claims for violations of Section 10(b) and 14(a) of the Exchange Act, breach of fiduciary duty, waste of corporate assets, and unjust enrichment. On May 23, 2019, a purported stockholder filed a second related derivative action on behalf of the Company against certain former and current officers and directors in the lawsuit styled </w:t>
      </w:r>
      <w:r>
        <w:rPr>
          <w:rFonts w:ascii="Times New Roman" w:cs="Times New Roman" w:eastAsia="Times New Roman" w:hAnsi="Times New Roman"/>
          <w:sz w:val="17"/>
          <w:szCs w:val="17"/>
          <w:i w:val="1"/>
          <w:iCs w:val="1"/>
          <w:color w:val="auto"/>
        </w:rPr>
        <w:t>Beard v. Jacobs, et al.</w:t>
      </w:r>
      <w:r>
        <w:rPr>
          <w:rFonts w:ascii="Times New Roman" w:cs="Times New Roman" w:eastAsia="Times New Roman" w:hAnsi="Times New Roman"/>
          <w:sz w:val="17"/>
          <w:szCs w:val="17"/>
          <w:color w:val="auto"/>
        </w:rPr>
        <w:t xml:space="preserve">, Case No. 3:19-cv-0441, which is pending the United States District Court for the Middle District of Tennessee. The complaint alleges claims for violations of Sections 10(b), 14(a), and 21D of the Exchange Act, breach of fiduciary duty, waste of corporate assets, unjust enrichment, and insider selling. On June 11, 2019, the </w:t>
      </w:r>
      <w:r>
        <w:rPr>
          <w:rFonts w:ascii="Times New Roman" w:cs="Times New Roman" w:eastAsia="Times New Roman" w:hAnsi="Times New Roman"/>
          <w:sz w:val="17"/>
          <w:szCs w:val="17"/>
          <w:i w:val="1"/>
          <w:iCs w:val="1"/>
          <w:color w:val="auto"/>
        </w:rPr>
        <w:t>Davydov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Beard</w:t>
      </w:r>
      <w:r>
        <w:rPr>
          <w:rFonts w:ascii="Times New Roman" w:cs="Times New Roman" w:eastAsia="Times New Roman" w:hAnsi="Times New Roman"/>
          <w:sz w:val="17"/>
          <w:szCs w:val="17"/>
          <w:color w:val="auto"/>
        </w:rPr>
        <w:t xml:space="preserve"> actions were consolidated. On February 16, 2021, the court entered an order staying the case. On October 23, 2020, a purported stockholder filed a third related derivative action on behalf of the Company against former and current officers and directors in the lawsuit styled </w:t>
      </w:r>
      <w:r>
        <w:rPr>
          <w:rFonts w:ascii="Times New Roman" w:cs="Times New Roman" w:eastAsia="Times New Roman" w:hAnsi="Times New Roman"/>
          <w:sz w:val="17"/>
          <w:szCs w:val="17"/>
          <w:i w:val="1"/>
          <w:iCs w:val="1"/>
          <w:color w:val="auto"/>
        </w:rPr>
        <w:t>Pfenning v. Jacobs, et al.,</w:t>
      </w:r>
      <w:r>
        <w:rPr>
          <w:rFonts w:ascii="Times New Roman" w:cs="Times New Roman" w:eastAsia="Times New Roman" w:hAnsi="Times New Roman"/>
          <w:sz w:val="17"/>
          <w:szCs w:val="17"/>
          <w:color w:val="auto"/>
        </w:rPr>
        <w:t xml:space="preserve"> Case No. 2020-0915-JRS, which is pending in the Court of Chancery of the State of Delaware. The complaint alleges claims for breach of fiduciary duty. On February 17, 2021, the court entered an order staying the case. On February 24, 2021, a purported stockholder filed a fourth derivative action on behalf of the Company against former and current officers and directors in the lawsuit styled </w:t>
      </w:r>
      <w:r>
        <w:rPr>
          <w:rFonts w:ascii="Times New Roman" w:cs="Times New Roman" w:eastAsia="Times New Roman" w:hAnsi="Times New Roman"/>
          <w:sz w:val="17"/>
          <w:szCs w:val="17"/>
          <w:i w:val="1"/>
          <w:iCs w:val="1"/>
          <w:color w:val="auto"/>
        </w:rPr>
        <w:t>Solak v. Jacobs, et al</w:t>
      </w:r>
      <w:r>
        <w:rPr>
          <w:rFonts w:ascii="Times New Roman" w:cs="Times New Roman" w:eastAsia="Times New Roman" w:hAnsi="Times New Roman"/>
          <w:sz w:val="17"/>
          <w:szCs w:val="17"/>
          <w:color w:val="auto"/>
        </w:rPr>
        <w:t>., Case No. 2021-0163, which is pending in the Court of Chancery of the State of Delaware. The complaint alleges claims for breach of fiduciary duty, unjust enrichment, waste of corporate assets, and insider selling. At this time, the Company is not able to quantify any potential liability in connection with this litigation because the cases are in their early stages.</w:t>
      </w:r>
    </w:p>
    <w:p>
      <w:pPr>
        <w:spacing w:after="0" w:line="76" w:lineRule="exact"/>
        <w:rPr>
          <w:sz w:val="20"/>
          <w:szCs w:val="20"/>
          <w:color w:val="auto"/>
        </w:rPr>
      </w:pPr>
    </w:p>
    <w:p>
      <w:pPr>
        <w:ind w:right="60" w:firstLine="468"/>
        <w:spacing w:after="0" w:line="255" w:lineRule="auto"/>
        <w:rPr>
          <w:sz w:val="20"/>
          <w:szCs w:val="20"/>
          <w:color w:val="auto"/>
        </w:rPr>
      </w:pPr>
      <w:r>
        <w:rPr>
          <w:rFonts w:ascii="Times New Roman" w:cs="Times New Roman" w:eastAsia="Times New Roman" w:hAnsi="Times New Roman"/>
          <w:sz w:val="18"/>
          <w:szCs w:val="18"/>
          <w:color w:val="auto"/>
        </w:rPr>
        <w:t>In the fall of 2017, the Office of Inspector General (“OIG”) issued subpoenas to three of the Company’s facilities requesting certain documents from January 2013 to the date of the subpoenas. The U.S. Attorney’s Office for the Middle District of Florida issued a civil investigative demand to one of the Company’s facilities in December 2017 requesting certain documents from November 2012 to the date of the demand. In April 2019, the OIG issued subpoenas relating to six additional facilities requesting certain documents and information from January 2013 to the date of the subpoenas. The government’s investigation of each of these facilities is focused on claims not eligible for payment because of alleged violations of certain regulatory requirements relating to, among other things, medical necessity, admission eligibility, discharge decisions, length of stay and patient care issues. The Company is cooperating with the government’s investigation but is not able to quantify any potential liability in connection with these investigations.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Employee Benefit Plans</w:t>
      </w:r>
    </w:p>
    <w:p>
      <w:pPr>
        <w:spacing w:after="0" w:line="229"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 Company maintains a qualified defined contribution 401(k) plan covering substantially all of its employees in the U.S. The Company may, at its discretion, make contributions to the plan. The Company recorded expense of $6.6 million, $2.8 million and $3.8 million related to the 401(k) plan for the years ended December 31, 2022, 2021 and 2020,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Financial Information Combined Wholly-Owned Subsidiaries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Company conducts substantially all of its business through its subsidiaries. The 5.500% Senior Notes and the 5.000% Senior Notes are jointly and severally guaranteed on an unsecured senior basis by all of the Company’s subsidiaries that guarantee the Company’s obligations under the New Credit Facility. Summarized financial information presented below is consistent with the consolidated financial statements of the Company, except transactions between combining entities have been eliminated. Financial information for the combined non-guarantor entities has been excluded. Presented below is financial information for the combined wholly-owned subsidiary guarantors at December 31, 2022 and 2021, and for the year ended December 31, 2022. The summarized balance sheet information at December 31, 2021, has been adjusted to reclassify certain wholly-owned subsidiaries as non-guarantor entities.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Summarized balance sheet information (in thousands):</w:t>
      </w:r>
    </w:p>
    <w:p>
      <w:pPr>
        <w:spacing w:after="0" w:line="313" w:lineRule="exact"/>
        <w:rPr>
          <w:sz w:val="20"/>
          <w:szCs w:val="20"/>
          <w:color w:val="auto"/>
        </w:rPr>
      </w:pPr>
    </w:p>
    <w:tbl>
      <w:tblPr>
        <w:tblLayout w:type="fixed"/>
        <w:tblInd w:w="760" w:type="dxa"/>
        <w:tblCellMar>
          <w:top w:w="0" w:type="dxa"/>
          <w:left w:w="0" w:type="dxa"/>
          <w:bottom w:w="0" w:type="dxa"/>
          <w:right w:w="0" w:type="dxa"/>
        </w:tblCellMar>
      </w:tblPr>
      <w:tr>
        <w:trPr>
          <w:trHeight w:val="173"/>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14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396,553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1,517,893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1,166,409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99"/>
              </w:rPr>
              <w:t>2,105,227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3,921,336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3,527,700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vMerge w:val="restart"/>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vMerge w:val="continue"/>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345,606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340,514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99"/>
              </w:rPr>
              <w:t>1,364,541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1,478,626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1,629,750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1,688,326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2,342,533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1,848,110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Summarized operating results information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2,299,562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Acadia Healthcare Company, Inc.</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40" w:type="dxa"/>
            <w:vAlign w:val="bottom"/>
            <w:gridSpan w:val="2"/>
          </w:tcPr>
          <w:p>
            <w:pPr>
              <w:jc w:val="right"/>
              <w:ind w:right="739"/>
              <w:spacing w:after="0"/>
              <w:rPr>
                <w:sz w:val="20"/>
                <w:szCs w:val="20"/>
                <w:color w:val="auto"/>
              </w:rPr>
            </w:pPr>
            <w:r>
              <w:rPr>
                <w:rFonts w:ascii="Times New Roman" w:cs="Times New Roman" w:eastAsia="Times New Roman" w:hAnsi="Times New Roman"/>
                <w:sz w:val="18"/>
                <w:szCs w:val="18"/>
                <w:color w:val="auto"/>
              </w:rPr>
              <w:t>F-36</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21" w:right="379" w:bottom="1440" w:gutter="0" w:footer="0" w:header="0"/>
        </w:sectPr>
      </w:pPr>
    </w:p>
    <w:bookmarkStart w:id="96" w:name="page97"/>
    <w:bookmarkEnd w:id="96"/>
    <w:p>
      <w:pPr>
        <w:ind w:left="1044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9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60" w:type="dxa"/>
            <w:vAlign w:val="bottom"/>
          </w:tcPr>
          <w:p>
            <w:pPr>
              <w:spacing w:after="0"/>
              <w:rPr>
                <w:sz w:val="20"/>
                <w:szCs w:val="20"/>
                <w:color w:val="auto"/>
              </w:rPr>
            </w:pPr>
          </w:p>
        </w:tc>
      </w:tr>
      <w:tr>
        <w:trPr>
          <w:trHeight w:val="444"/>
        </w:trPr>
        <w:tc>
          <w:tcPr>
            <w:tcW w:w="4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800" w:type="dxa"/>
            <w:vAlign w:val="bottom"/>
          </w:tcPr>
          <w:p>
            <w:pPr>
              <w:spacing w:after="0"/>
              <w:rPr>
                <w:sz w:val="24"/>
                <w:szCs w:val="24"/>
                <w:color w:val="auto"/>
              </w:rPr>
            </w:pP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6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4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8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522"/>
        </w:trPr>
        <w:tc>
          <w:tcPr>
            <w:tcW w:w="4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Abilene Holding Company, LLC</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Abilene Legacy Sub,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Abilene Behavioral Health</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Assurance Company</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Battle Creek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Central Florida JV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Chattanooga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Columbus JV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Crestwyn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CTC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Denver JV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Detroit JV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Eastern NC JV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Fort Wayne JV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IN HoldCo,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JV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Knoxville JV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LaPlace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Management Company,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Merger Sub,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Middlesex JV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Nashville JV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New Bedford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PA JV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Reading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Real Estate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Realty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San Diego JV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St. Paul JV Holdings,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St. Paul JV,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 SCL Health JV,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 Tufts Medicine JV,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 - Vidant Joint Venture,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Acadiana Addiction Center,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Acadiana Addiction Center</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Advanced Treatment Systems,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Coatesville Treatment Center</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Coatesville Comprehensive Treatment Center</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Lebanon Treatment Center</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Lebanon Comprehensive Treatment Center</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Arizona Treatment Center,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dba Casa Grande Comprehensive Treatment Center</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Arkansas Treatment Centers,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Fort Smith Comprehensive Treatment Center</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Ascent Acquisition - CYPDC,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Arkansas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Ascent Acquisition - CYPDC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Ascent Acquisition - PSC,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Arkansas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Ascent Acquisition - PSC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Ascent Acquisition, LLC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Arkansas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Ascent Children’s Health Services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Ascent</w:t>
            </w: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74"/>
        </w:trPr>
        <w:tc>
          <w:tcPr>
            <w:tcW w:w="4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6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5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306"/>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Aspen Education Group, Inc.</w:t>
            </w:r>
          </w:p>
        </w:tc>
        <w:tc>
          <w:tcPr>
            <w:tcW w:w="14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Aspen Youth,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Atlanta Recovery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ATS of Cecil County,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Cumberland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Cumberland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Elkton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Elkton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Pine Heights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Pine Heights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ATS of Delaware,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Claymont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Claymont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Newark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Dover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ATS of North Carolina,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Carolina Treatment Center of Fayetteville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Carolina Treatment Center of Pinehurst</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Carolina Treatment Center of Goldsboro</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Cumberland County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Mountain Health Solutions – North Wilkesboro</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Mountain Health Solutions – Asheville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Fayetteville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Goldsboro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Pinehurst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Asheville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North Wilkesboro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Winston-Salem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Austin Behavioral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Cross Creek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Cross Creek Behavioral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Austin Eating Disorders Partners,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Missouri</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McCallum Place Austin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Cedar Springs Austin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Azure Acres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Baton Rouge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Louisiana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Baton Rouge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Bayside Marin,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Bayside Marin I</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Bayside Marin II</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Bayside Marin III</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Bayside Marin IV</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Bayside San Francisco</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BCA of Detroit,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BCA Stonecrest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StoneCrest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Beckley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West 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Beckley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Beckley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Belmont Behavioral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Philadelphia Children’s Crisis Response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Belmont Physician Services, LLC</w:t>
            </w:r>
          </w:p>
        </w:tc>
        <w:tc>
          <w:tcPr>
            <w:tcW w:w="140" w:type="dxa"/>
            <w:vAlign w:val="bottom"/>
          </w:tcPr>
          <w:p>
            <w:pPr>
              <w:spacing w:after="0"/>
              <w:rPr>
                <w:sz w:val="20"/>
                <w:szCs w:val="20"/>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20"/>
                <w:szCs w:val="20"/>
                <w:color w:val="auto"/>
              </w:rPr>
            </w:pPr>
          </w:p>
        </w:tc>
      </w:tr>
      <w:tr>
        <w:trPr>
          <w:trHeight w:val="574"/>
        </w:trPr>
        <w:tc>
          <w:tcPr>
            <w:tcW w:w="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6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5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306"/>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Bethlehem Behavioral Health, LLC</w:t>
            </w:r>
          </w:p>
        </w:tc>
        <w:tc>
          <w:tcPr>
            <w:tcW w:w="14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BGI of Brandywine,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Bowling Green at Brandywine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Blue Ridge Mountain Recovery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Bowling Green Inn of Pensacola,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Twelve Oaks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Twelve Oaks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Wellness Resource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Bowling Green Inn of South Dakota,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Keystone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Bronson-Acadia Joint Venture,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Michigan</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Bronson Behavioral Health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California Treatment Services,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Recovery Solutions of Santa Ana</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Canopy Cove,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Capestrano Investment Company,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Puerto Rico</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Capestrano Realty Company,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Puerto Rico</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CAPS of Virginia,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Cartersville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Georgia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Cartersville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Cartersville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Cascade Behavioral Holding Company,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Cascade Behavioral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Cascade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CBHS Management Company,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CBHS Management Holdings,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Cedar Crest Clinic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Texas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Center for Behavioral Health-HA,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Harrisburg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Farrell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Center for Behavioral Health-ME,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Maine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Discovery House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South Portland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Center for Behavioral Health-PA,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Cranberry Township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Pittsburgh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CenterPointe Behavioral Health System,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CenterPointe Columbia Real Estate,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Missouri</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Centerpointe Community Based Services,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CenterPointe Hospital of Columbia,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Missouri</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Charleston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West 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Charleston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Charleston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Chicago BH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Montrose Behavioral Health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Clarksburg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West 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Clarksburg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Clarksburg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Clarksville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Clarksville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Clearbrook Treatment Centers,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Huntington Creek Recovery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Clearbrook Treatment Centers Land, LLC</w:t>
            </w:r>
          </w:p>
        </w:tc>
        <w:tc>
          <w:tcPr>
            <w:tcW w:w="140" w:type="dxa"/>
            <w:vAlign w:val="bottom"/>
          </w:tcPr>
          <w:p>
            <w:pPr>
              <w:spacing w:after="0"/>
              <w:rPr>
                <w:sz w:val="20"/>
                <w:szCs w:val="20"/>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20"/>
                <w:szCs w:val="20"/>
                <w:color w:val="auto"/>
              </w:rPr>
            </w:pPr>
          </w:p>
        </w:tc>
      </w:tr>
      <w:tr>
        <w:trPr>
          <w:trHeight w:val="574"/>
        </w:trPr>
        <w:tc>
          <w:tcPr>
            <w:tcW w:w="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6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5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306"/>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Commodore Acquisition Sub, LLC</w:t>
            </w:r>
          </w:p>
        </w:tc>
        <w:tc>
          <w:tcPr>
            <w:tcW w:w="14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Conway Behavioral Health,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Corrections - Comprehensive Treatment Centers,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CP Acquisition Sub,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CPCA,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Ann Arbor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Cedar Rapids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Holland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Midcoast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Western Michigan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CRC ED Treatment,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Center for Hope of the Sierras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Montecatini</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Montecatini II</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Carolina House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Carolina House-Raleigh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Montecatini Outpatient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CRC Group,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CRC Health,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eGetgoing</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CRC Health Oregon,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Oregon</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Albany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Tigard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Allied Health Services Portland -Alder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Allied Health Services Ontario</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Allied Health Services Portland - Belmont</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Allied Health Services East</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Allied Health Services Portland - Burnside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Allied Health Services Beaverton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Allied Health Services - Medford</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Allied Health Services for Drug Recovery</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Willamette Valley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Salem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Downtown Portland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Belmont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East Portland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Medford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Hillsboro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CRC Health Tennessee,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New Life Lodge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New Life Recovery Services-Cookeville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Mirror Lake Recovery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New Life Recovery Services-Jacksboro</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New Life Recovery Services-Jamestown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New Life Recovery Services-Knoxville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New Life Recovery Services-Knoxville West</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CRC Health Treatment Clinics,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North Florida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Maricopa County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Hattiesburg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Gulf Coast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Shelbyville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Southaven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Kentuckian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North Orlando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Volusia County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West Tampa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Volusia County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St. Lucie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Panhandle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Ft. Lauderdale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North Miami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Lakeland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North Florida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Longwood Comprehensive Treatment Center</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74"/>
        </w:trPr>
        <w:tc>
          <w:tcPr>
            <w:tcW w:w="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649"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6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5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306"/>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CRC Recovery, Inc.</w:t>
            </w:r>
          </w:p>
        </w:tc>
        <w:tc>
          <w:tcPr>
            <w:tcW w:w="14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Midcoast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Cedar Rapids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Cedar Rapids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Lansing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Council Bluffs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Ann Arbor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Ann Arbor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Western Michigan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Western Michigan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CRC Wisconsin RD,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Wisconsin</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Burkwood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Crestwyn Health Group,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Crossroads Regional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Longleaf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Cumberland Behavioral Health,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Danville Hospital Opco,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Geisinger Behavioral Health Center Danville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Delta Medical Services,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Detroit Behavioral Institute,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Massachusetts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Capstone Academy</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Detroit Behavioral Institute – Capstone Program</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Detroit Capstone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DHG Services,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Huntingdon Valley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House-BC,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Duncansville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House-BR,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Maine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Bangor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CC,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Mechanicsburg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CU,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dba Clearfield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House-Group,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House-HZ,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House-LT,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Utah</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dba Layton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MA, Inc.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Massachusetts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Monroeville,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House-NC,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dba New Castle Comprehensive Treatment Center</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74"/>
        </w:trPr>
        <w:tc>
          <w:tcPr>
            <w:tcW w:w="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6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5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306"/>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of Central Maine, Inc.</w:t>
            </w:r>
          </w:p>
        </w:tc>
        <w:tc>
          <w:tcPr>
            <w:tcW w:w="14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Maine</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dba Waterville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TV,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Utah</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dba Taylorsville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House-UC,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Utah</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dba Orem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Utah,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Utah</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dba Salt Lake City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WC,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Maine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DHNM - Northern Maine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Presque Isle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Calais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DMC-Memphis,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Delta Medical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Delta Specialty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Delta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Dowell Springs Behavioral Health,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dba East Tennessee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Duffy’s Napa Valley Rehab,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East Indiana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East Indiana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East Indiana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East Lake Behavioral Health,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El Paso Behavioral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Vista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Erlanger Behavioral Health,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Evansville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Evansville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Evansville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FenX Healthcare,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Four Circles Recovery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Four Circles Evolution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FWBH,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Maple Heights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Galax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Life Center of Galax</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New River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Winchester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Christiansburg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New River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Clinch Valley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Generations BH,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Ohio</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Georgia CTC,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Cumming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Dallas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Loganville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Woodstock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Gifford Street Wellness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Gifford Street Wellness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Gifford Street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Ginger Holdco,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Glenmaura Holdings,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Geisinger Behavioral Health Center Northeast</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Greenbrier Acquisition, LLC</w:t>
            </w:r>
          </w:p>
        </w:tc>
        <w:tc>
          <w:tcPr>
            <w:tcW w:w="140" w:type="dxa"/>
            <w:vAlign w:val="bottom"/>
          </w:tcPr>
          <w:p>
            <w:pPr>
              <w:spacing w:after="0"/>
              <w:rPr>
                <w:sz w:val="20"/>
                <w:szCs w:val="20"/>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20"/>
                <w:szCs w:val="20"/>
                <w:color w:val="auto"/>
              </w:rPr>
            </w:pPr>
          </w:p>
        </w:tc>
      </w:tr>
      <w:tr>
        <w:trPr>
          <w:trHeight w:val="574"/>
        </w:trPr>
        <w:tc>
          <w:tcPr>
            <w:tcW w:w="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6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5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306"/>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Greenbrier Holdings, L.L.C.</w:t>
            </w:r>
          </w:p>
        </w:tc>
        <w:tc>
          <w:tcPr>
            <w:tcW w:w="14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Louisiana</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Greenbrier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Louisiana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Covington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Greenbrier Realty,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Louisiana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Greenleaf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Greenleaf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Greenleaf Behavioral Health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Habilitation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Arkansas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Millcreek of Arkansas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Little Creek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Habit Opco,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West Lebanon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Manchester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Wareham</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Lynn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Boston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Brattleboro</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Pottstown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Suburban Treatment Associates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Strathmore Treatment Associates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Allentown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Dunmore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Taunton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Springfield</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Fitchburg</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Fall River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Lowell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Watsontown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Bennington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Amesbury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Allentown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Dunmore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Watsontown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Manchester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West Lebanon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Central Jersey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Brattleboro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Boston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Wareham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Taunton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Brockton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Lawrence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Fitchburg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Springfield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Lynn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Concord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HCP Polaris Investment, LLC</w:t>
            </w:r>
          </w:p>
        </w:tc>
        <w:tc>
          <w:tcPr>
            <w:tcW w:w="140" w:type="dxa"/>
            <w:vAlign w:val="bottom"/>
          </w:tcPr>
          <w:p>
            <w:pPr>
              <w:spacing w:after="0"/>
              <w:rPr>
                <w:sz w:val="19"/>
                <w:szCs w:val="19"/>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Hendersonville Recovery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Henryville Inn,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HEP CenterPointe Holdings,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Hermitage Behavioral, LLC</w:t>
            </w:r>
          </w:p>
        </w:tc>
        <w:tc>
          <w:tcPr>
            <w:tcW w:w="140" w:type="dxa"/>
            <w:vAlign w:val="bottom"/>
          </w:tcPr>
          <w:p>
            <w:pPr>
              <w:spacing w:after="0"/>
              <w:rPr>
                <w:sz w:val="20"/>
                <w:szCs w:val="20"/>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20"/>
                <w:szCs w:val="20"/>
                <w:color w:val="auto"/>
              </w:rPr>
            </w:pPr>
          </w:p>
        </w:tc>
      </w:tr>
      <w:tr>
        <w:trPr>
          <w:trHeight w:val="574"/>
        </w:trPr>
        <w:tc>
          <w:tcPr>
            <w:tcW w:w="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420" w:type="dxa"/>
            <w:vAlign w:val="bottom"/>
          </w:tcPr>
          <w:p>
            <w:pPr>
              <w:spacing w:after="0"/>
              <w:rPr>
                <w:sz w:val="21"/>
                <w:szCs w:val="21"/>
                <w:color w:val="auto"/>
              </w:rPr>
            </w:pP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6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4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4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306"/>
        </w:trPr>
        <w:tc>
          <w:tcPr>
            <w:tcW w:w="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HFHS-Acadia Joint Venture, LLC</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Michigan</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HMIH Cedar Crest,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Cedar Crest Hospital &amp; RTC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HSI-Acadia Joint Venture,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Huntington Treatment Center,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West 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Huntington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Huntington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Indianapolis Treatment Center,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Indianapolis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Indianapolis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Indio Behavioral Hospital,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Integrated Treatment Centers,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Green Bay Integrated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Park Royal Integrated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IVRTC,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Kids Behavioral Health of Montana, Inc.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Montana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Acadia Montana</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Lakeland Hospital Acquisition,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Georgia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Lakeland Regional Hospital</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Lakeland Behavioral Health System</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Little Hills Healthcare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Missouri</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McCallum Group,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Missouri</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McCallum Properties,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Missouri</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Mesa Development Sub,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Middle Tennessee Treatment Centers,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Cleveland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Hermitage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South Nashville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Hendersonville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Millcreek School of Arkansas,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Arkansas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Millcreek Schools,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Mississippi</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Millerton Acquisition Sub,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Milwaukee Health Services System,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10th Street Clinic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River’s Shore Clinic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Madison Health Services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Valley Health Services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Wausau Health Services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Appleton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Madison East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River’s Shore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Wausau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North West Wisconsin Comprehensive Treatment</w:t>
            </w:r>
          </w:p>
        </w:tc>
        <w:tc>
          <w:tcPr>
            <w:tcW w:w="66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Center</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Eau Claire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Mission Treatment Centers, Inc.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Nevada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Hefner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Henderson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Las Vegas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Oklahoma City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Scottsdale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Tulsa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Mission Treatment Services, Inc.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San Diego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Oceanside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Escondido Comprehensive Treatment Center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Mississippi Comprehensive Treatment Centers, LLC</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Jackson Comprehensive Treatment Center</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74"/>
        </w:trPr>
        <w:tc>
          <w:tcPr>
            <w:tcW w:w="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60" w:type="dxa"/>
            <w:vAlign w:val="bottom"/>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5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306"/>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Mount Bachelor Educational Center, Inc.</w:t>
            </w:r>
          </w:p>
        </w:tc>
        <w:tc>
          <w:tcPr>
            <w:tcW w:w="14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Oregon</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Mount Carmel Behavioral Healthcare,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dba Mount Carmel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Mt. Airy Development,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Ohio</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Glenwood Behavioral Health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Cardinal Creek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Muncie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Muncie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NM CenterPointe Holdings,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Northeast Behavioral Health,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North Port BH,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Ochsner-Acadia,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River Place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Ohio Hospital for Psychiatry,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Ohio</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Ohio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Cleveland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Canton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Toledo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Treatment Center Acquisition Corporation</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Options Behavioral Health System</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Options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YFCS OPT</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Parkersburg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West 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Parkersburg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Parkersburg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PC Ohio Treatment Centers,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PHC MeadowWood,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PHC of Michigan,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Massachusetts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Harbor Oaks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Pioneer Healthcare of Michigan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Wellplace Michigan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PHC of Utah, Inc.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Massachusetts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Highland Ridge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Wellplace Utah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PHC of Virginia,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Massachusetts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Mount Regis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Crisis Response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Pine Grove BH Services,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Piney Ridge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Piney Ridge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Piney Ridge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Ridgeview Group Home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Pocono Mountain Recovery Center,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Pocono Mountain Recovery Center Land,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Polaris Hospital Holdings,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Nevada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Psychiatric Resource Partners,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Quality Addiction Management,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Wisconsin</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West Milwaukee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Racine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Madison West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Waukesha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Sheboygan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Green Bay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Beloit Comprehensive Treatment Center</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74"/>
        </w:trPr>
        <w:tc>
          <w:tcPr>
            <w:tcW w:w="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6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5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302"/>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Calibri" w:cs="Calibri" w:eastAsia="Calibri" w:hAnsi="Calibri"/>
                <w:sz w:val="18"/>
                <w:szCs w:val="18"/>
                <w:color w:val="auto"/>
              </w:rPr>
              <w:t>Reading Behavioral Healthcare, LLC</w:t>
            </w:r>
          </w:p>
        </w:tc>
        <w:tc>
          <w:tcPr>
            <w:tcW w:w="14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5980" w:type="dxa"/>
            <w:vAlign w:val="bottom"/>
          </w:tcPr>
          <w:p>
            <w:pPr>
              <w:ind w:left="200"/>
              <w:spacing w:after="0" w:line="215" w:lineRule="exact"/>
              <w:rPr>
                <w:sz w:val="20"/>
                <w:szCs w:val="20"/>
                <w:color w:val="auto"/>
              </w:rPr>
            </w:pPr>
            <w:r>
              <w:rPr>
                <w:rFonts w:ascii="Calibri" w:cs="Calibri" w:eastAsia="Calibri" w:hAnsi="Calibri"/>
                <w:sz w:val="18"/>
                <w:szCs w:val="18"/>
                <w:color w:val="auto"/>
              </w:rPr>
              <w:t>dba Tower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1"/>
        </w:trPr>
        <w:tc>
          <w:tcPr>
            <w:tcW w:w="4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Rebound Behavioral Health, LLC</w:t>
            </w:r>
          </w:p>
        </w:tc>
        <w:tc>
          <w:tcPr>
            <w:tcW w:w="140" w:type="dxa"/>
            <w:vAlign w:val="bottom"/>
          </w:tcPr>
          <w:p>
            <w:pPr>
              <w:spacing w:after="0"/>
              <w:rPr>
                <w:sz w:val="19"/>
                <w:szCs w:val="19"/>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South Carolina</w:t>
            </w:r>
          </w:p>
        </w:tc>
        <w:tc>
          <w:tcPr>
            <w:tcW w:w="6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Rebound Lodge,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South Carolina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Red River Holding Company,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Red River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Red River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Rehabilitation Centers,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Mississippi</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Millcreek of Magee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Millcreek of Pontotoc</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Millcreek of Mississippi</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Resolute Acquisition Corporation</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Resolute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Resolute Treatment Facility</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YFCS REL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Resolute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Polaris Group Home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Success Group Home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Richmond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Richmond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Richmond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R.I.S.A.T.,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Rhode Island</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Providence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Woonsocket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Riverview Behavioral Health,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Texas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Vista Health Texarkana</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Riverview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Providence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RiverWoods Behavioral Health,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Riverwoods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Blue Ridge Mountain Recovery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Acadia Riverwood</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Rock Crest Drive,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Rock Crest LLC Limited Liability Company</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Rolling Hills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Oklahoma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RTC Resource Acquisition Corporation</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YFCS RES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Resource Treatment Facility</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RTC Resource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Polaris Group Home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Carina Group Home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Sahara Health Systems,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Louisiana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San Diego Health Alliance</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El Cajon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El Cajon Integrated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El Cajon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Ramona Integrated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Fashion Valley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Capalina Comprehensive Treatment Center</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74"/>
        </w:trPr>
        <w:tc>
          <w:tcPr>
            <w:tcW w:w="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6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5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306"/>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San Diego Treatment Services, LLC</w:t>
            </w:r>
          </w:p>
        </w:tc>
        <w:tc>
          <w:tcPr>
            <w:tcW w:w="14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Third Avenue Clinic</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San Juan Capestrano Hospital,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Puerto Rico</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SC Legacy Sub,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Ohio</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Serenity Knolls</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Seven Hills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Seymour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Seymour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SG CenterPointe Blocker,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Sheltered Living Incorporated</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Texas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Life Healing Center of Santa Fe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Sierra Tucson,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Sierra Tucson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Sierra Tucson OPAZ,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Sierra Tucson Outpatient</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Sierra at Scottsdale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Sierra Tucson OPTX,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Sierra at Southlake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Signature Behavioral Hospital Operations,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Missouri</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Signature Hospital of Leavenworth,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SJBH,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Skyway House,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Sober Living by the Sea,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Sunrise Recovery Ranch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The Rose of Newport Beach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The Victorian of Newport Beach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Sober Living IOP</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The Landing at Newport Beach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Sunrise Ranch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Sierra by the Sea</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Sonora Behavioral Health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Southern Indiana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Southern Indiana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Southern Indiana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Southstone Behavioral Healthcare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Southwestern Children’s Health Services,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Arizona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Parc Place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Parc Place Behavioral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Oasis Behavioral Health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Southwood Psychiatric Hospital,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Southwood Psychiatric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Intercare – Southwood Psychiatric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Intercare – Southwood Psychiatric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Lakewood Residential Program</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Prosperity House Residential Program</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Southwood Family Home Services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Southwood School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Southwood Outpatient Psychiatric Clinic</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Southwood Partial Hospitalization Program</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Starlite Recovery Center, LLC</w:t>
            </w:r>
          </w:p>
        </w:tc>
        <w:tc>
          <w:tcPr>
            <w:tcW w:w="140" w:type="dxa"/>
            <w:vAlign w:val="bottom"/>
          </w:tcPr>
          <w:p>
            <w:pPr>
              <w:spacing w:after="0"/>
              <w:rPr>
                <w:sz w:val="20"/>
                <w:szCs w:val="20"/>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20"/>
                <w:szCs w:val="20"/>
                <w:color w:val="auto"/>
              </w:rPr>
            </w:pPr>
          </w:p>
        </w:tc>
      </w:tr>
      <w:tr>
        <w:trPr>
          <w:trHeight w:val="574"/>
        </w:trPr>
        <w:tc>
          <w:tcPr>
            <w:tcW w:w="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6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5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306"/>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Calibri" w:cs="Calibri" w:eastAsia="Calibri" w:hAnsi="Calibri"/>
                <w:sz w:val="18"/>
                <w:szCs w:val="18"/>
                <w:color w:val="auto"/>
              </w:rPr>
              <w:t>Stone Crest Clinic</w:t>
            </w:r>
          </w:p>
        </w:tc>
        <w:tc>
          <w:tcPr>
            <w:tcW w:w="14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Michigan</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Structure House,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Wellspring at Structure House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Success Acquisition,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Indiana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SUWS of the Carolinas,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SUWS Seasons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Swift River Academy,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Ten Broeck Tampa,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Florida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North Tampa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Ten Lakes Center,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Ohio</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Texarkana Behavioral Associates, 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Texas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Riverview Behavioral Health Outpatient Program</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Vantage Point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Vantage Point of Northwest Arkansas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Vantage Point of the Ozarks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Valley Behavioral Health System</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Valley Behavioral Health Outpatient Program</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Valley Behavioral Health System Outpatient Program</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Vista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Riverview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Camp Recovery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Azure Acres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Starlite Recovery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The Camp Recovery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Camp IOP-Campbell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Camp IOP-Scotts Valley</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Camp IOP-Monterey</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Azure Acres IOP</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Pavilion at HealthPark,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Florida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Park Royal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Park Royal Psychiatric Hospital at Healthpark</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Park Royal Outpatient Clinic</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Refuge, A Healing Place,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Florida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Refuge-The Nest,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Florida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Refuge - Transitions,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Florida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TK Behavioral Holding Company,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TK Behavioral,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Timberline Knolls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Timberline Knolls Residential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Transcultural Health Development,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Coastal Recovery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Coastal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Treatment Associates,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Sacramento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Sacramento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TrustPoint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Vallejo Acquisition Sub,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Valley Behavioral Health System,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Valley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Valley Behavioral Health System</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Vantage Point Behavioral Health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Vantage Point of Northwest Arkansas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Vermilion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Vermilion Behavioral Health Systems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Vermilion Behavioral Health Systems North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Vermilion Behavioral Health Systems South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Acadia Vermilion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Optima Specialty Hospital</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74"/>
        </w:trPr>
        <w:tc>
          <w:tcPr>
            <w:tcW w:w="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6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5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306"/>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Village Behavioral Health, LLC</w:t>
            </w:r>
          </w:p>
        </w:tc>
        <w:tc>
          <w:tcPr>
            <w:tcW w:w="14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The Village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Virginia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Roanoke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Lynchburg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Roanoke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Lynchburg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Vista Behavioral Holding Company,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Vista Behavioral Hospital,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Pacific Grove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Vista Behavioral Hospital</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Vita Nova,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Rhode Island</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Volunteer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Tennessee</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Volunteer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WCHS,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California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Northwest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Tri-Cities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Kent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Canyon Park Treatment Solutions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The Renton Clinic</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Tacoma Treatment Solutions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Vancouver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Spokane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Anchorage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Longview Treatment Solutions</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Kelso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Grays Harbor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Riverside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Bellingham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Bothell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Colton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Desert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Lakewood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Temecula Valley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Webster Wellness Professionals,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Missouri</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Wellplace,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Massachusetts</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Wellplace Utah</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Wellplace Pennsylvania</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Wheeling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West Virginia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Wheeling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Wheeling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White Deer Realty,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White Deer Run, LLC</w:t>
            </w:r>
          </w:p>
        </w:tc>
        <w:tc>
          <w:tcPr>
            <w:tcW w:w="140" w:type="dxa"/>
            <w:vAlign w:val="bottom"/>
          </w:tcPr>
          <w:p>
            <w:pPr>
              <w:spacing w:after="0"/>
              <w:rPr>
                <w:sz w:val="18"/>
                <w:szCs w:val="18"/>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Pennsylvania</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Cove PREP</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White Deer Run of Lancaster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New Perspectives at White Deer Run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White Deer Run at Blue Mountain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New Directions at Cove Forge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Cove Forge Renewal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White Deer Run of Allentown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White Deer Run of Allenwood</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White Deer Run of Harrisburg</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White Deer Run of Lewisburg</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White Deer Run of Lancaster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White Deer Run of New Castle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White Deer Run of Williamsport</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White Deer Run of York</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Cove Forge Behavioral System at Erie</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Cove Forge Behavioral System at Pittsburg</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Cove Forge Behavioral System at Williamsburg</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Lehigh County Center for Recovery</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The HOPE Program of Cover Forge at Robinson</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White Deer Run Youth Assessment Center</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74"/>
        </w:trPr>
        <w:tc>
          <w:tcPr>
            <w:tcW w:w="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081"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57"/>
        </w:trPr>
        <w:tc>
          <w:tcPr>
            <w:tcW w:w="5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40" w:type="dxa"/>
            <w:vAlign w:val="bottom"/>
          </w:tcPr>
          <w:p>
            <w:pPr>
              <w:spacing w:after="0"/>
              <w:rPr>
                <w:sz w:val="22"/>
                <w:szCs w:val="22"/>
                <w:color w:val="auto"/>
              </w:rPr>
            </w:pPr>
          </w:p>
        </w:tc>
        <w:tc>
          <w:tcPr>
            <w:tcW w:w="5040" w:type="dxa"/>
            <w:vAlign w:val="bottom"/>
            <w:tcBorders>
              <w:top w:val="single" w:sz="8" w:color="auto"/>
            </w:tcBorders>
          </w:tcPr>
          <w:p>
            <w:pPr>
              <w:spacing w:after="0"/>
              <w:rPr>
                <w:sz w:val="22"/>
                <w:szCs w:val="22"/>
                <w:color w:val="auto"/>
              </w:rPr>
            </w:pPr>
          </w:p>
        </w:tc>
      </w:tr>
      <w:tr>
        <w:trPr>
          <w:trHeight w:val="30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Wichita Treatment Center Inc.</w:t>
            </w:r>
          </w:p>
        </w:tc>
        <w:tc>
          <w:tcPr>
            <w:tcW w:w="140" w:type="dxa"/>
            <w:vAlign w:val="bottom"/>
          </w:tcPr>
          <w:p>
            <w:pPr>
              <w:spacing w:after="0"/>
              <w:rPr>
                <w:sz w:val="24"/>
                <w:szCs w:val="24"/>
                <w:color w:val="auto"/>
              </w:rPr>
            </w:pPr>
          </w:p>
        </w:tc>
        <w:tc>
          <w:tcPr>
            <w:tcW w:w="5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Kansas</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Williamson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West Virginia</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Williamson Comprehensive Treatment Center</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Wilmington Treatment Center,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WP Acquisition Sub, LLC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Youth and Family Centered Services of New Mexico,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New Mexico</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Desert Hills of New Mexico</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Youth Care of Utah, Inc.</w:t>
            </w:r>
          </w:p>
        </w:tc>
        <w:tc>
          <w:tcPr>
            <w:tcW w:w="14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Pine Ridge Academy</w:t>
            </w: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Youth Care</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ectPr>
          <w:pgSz w:w="11900" w:h="16838" w:orient="portrait"/>
          <w:cols w:equalWidth="0" w:num="1">
            <w:col w:w="11160"/>
          </w:cols>
          <w:pgMar w:left="360" w:top="360" w:right="37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subsidiaries of the Company were, as of December 31, 2022, guarantors of the Company’s 5.500% Senior Notes and 5.000%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IN Holdco,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JV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LaPlace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Management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Merger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Reading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Realty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Acadiana Addiction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Advanced Treatment Systems,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Aspen Education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Aspen Youth,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ATS of Cecil County,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ATS of Delaware,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ATS of North Carolina,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Behavioral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Azure Acres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Bayside Marin,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BCA of Detroit,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Beckley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Belmont Behavioral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BGI of Brandywine,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Bowling Green Inn of Pensacola,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Bowling Green Inn of South Dakota,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Treatment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Cartersville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Cascade Behavioral Holding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Cascade Behavioral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 for Behavioral Health - HA,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 for Behavioral Health-ME,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 for Behavioral Health-PA,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CenterPointe Behavioral Health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CenterPointe Columbia Real Estate,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CenterPointe Hospital of Columbia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Charleston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BH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Clarksburg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Clearbrook Treatment Centers,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Commodore Acquisition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Conway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Corrections - Comprehensive Treatment Centers,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 Acquisition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CRC ED Treatment,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CRC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CRC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CRC Health Oregon,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CRC Health Treatment Clinics,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CRC Recovery,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CRC Wisconsin RD,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Crossroads Regional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Behavioral Institute,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Discovery House CC,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House CU,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House of Central Maine,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House TV,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House Utah,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House WC,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House,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House-BC,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House-BR,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House-Group,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House-LT,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House-NC,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House-UC,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Duffy’s Napa Valley Rehab,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Indiana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Paso Behavioral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Evansville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Circles Recovery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Galax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 CTC,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Gifford Street Wellness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Greenbrier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Greenbrier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Greenbrier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Greenleaf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Habilitation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Habit Opco,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HEP CenterPointe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Hermitage Behavioral,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HMIH Cedar Crest,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Huntington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Treatment Center,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Indio Behavioral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Integrated Treatment Centers,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Kids Behavioral Health Of Montana,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Lakeland Hospital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Little Hills Healthcare,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McCallum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Millcreek School of Arkansas,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Millcreek Schools,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Millerton Acquisition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Health Services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Mission Treatment Centers,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Mission Treatment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Mississippi Comprehensive Treatment Centers,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Mt. Airy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Muncie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CenterPointe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 Hospital For Psychiatry,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Treatment Center Acquisition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Parkersburg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PHC MeadowWood,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PHC of Michigan,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PHC of Utah,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PHC of Virginia,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Piney Ridge Treatment Center,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Pocono Mountain Recovery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Psychiatric Resource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Quality Addiction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R.I.S.A.T.,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Rebound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Holding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Rehabilitation Centers,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Resolute Acquisition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Riverview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Riverwoods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 Crest LLC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Hills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RTC Resource Acquisition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Sahara Health Systems,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Health Alliance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Treatment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Serenity Knolls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Seven Hills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Seymour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 CenterPointe Blocker,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Shaker Clinic,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Sheltered Living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Sierra Tucson,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Behavioral Hospital Operations,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Hospital of Leavenworth,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SJBH,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Sober Living by the Sea,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Sonora Behavioral Health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Indiana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Southstone Behavioral Healthcare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Southwestern Children’s Health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Southwood Psychiatric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Starlite Recovery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Structure House,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SUWS of the Carolinas,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Broeck Tampa,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Texarkana Behavioral Associates, 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Camp Recovery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Pavilion at HealthPark,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Refuge, A Healing Place,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 Behavioral,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 Behavioral Holding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Transcultural Health Development,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Treatment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Vallejo Acquisition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Valley Behavioral Health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Vermilion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Village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 Behavioral Holding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 Behavioral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WCHS,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Wellplace,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Wheeling Treatment Center,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Deer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Deer Run,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Wichita Treatment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Williamson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WP Acquisition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Youth and Family Centered Services of New Mexico,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Youth Care of Utah, Inc.</w:t>
      </w:r>
    </w:p>
    <w:p>
      <w:pPr>
        <w:sectPr>
          <w:pgSz w:w="11900" w:h="16838" w:orient="portrait"/>
          <w:cols w:equalWidth="0" w:num="1">
            <w:col w:w="10139"/>
          </w:cols>
          <w:pgMar w:left="320" w:top="364"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333-177990) pertaining to the Acadia Healthcare Company, Inc. Incentive Compensation Plan;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333-190232) pertaining to the Acadia Healthcare Company, Inc. Incentive Compensation Plan;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333-211505) pertaining to the Acadia Healthcare Company, Inc. Incentive Compensation Plan;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333-258420) pertaining to the Acadia Healthcare Company, Inc. Incentive Compensation Plan;</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of our reports dated February 28, 2023, with respect to the consolidated financial statements of Acadia Healthcare Company, Inc. and the effectiveness of internal control over financial reporting of Acadia Healthcare Company, Inc., included in this Annual Report (Form 10-K) of Acadia Healthcare Company, Inc. for the year ended December 31, 2022.</w:t>
      </w:r>
    </w:p>
    <w:p>
      <w:pPr>
        <w:spacing w:after="0" w:line="176"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H. Hunter, certify that:</w:t>
      </w:r>
    </w:p>
    <w:p>
      <w:pPr>
        <w:spacing w:after="0" w:line="117" w:lineRule="exact"/>
        <w:rPr>
          <w:sz w:val="20"/>
          <w:szCs w:val="20"/>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Acadia Healthcare Company, Inc.;</w:t>
      </w:r>
    </w:p>
    <w:p>
      <w:pPr>
        <w:spacing w:after="0" w:line="117"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80" w:right="180" w:hanging="572"/>
        <w:spacing w:after="0" w:line="266" w:lineRule="auto"/>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60" w:right="280" w:hanging="572"/>
        <w:spacing w:after="0" w:line="282" w:lineRule="auto"/>
        <w:tabs>
          <w:tab w:leader="none" w:pos="1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22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Christopher H. Hunter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17145</wp:posOffset>
            </wp:positionV>
            <wp:extent cx="30943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Christopher H. Hunter</w:t>
      </w:r>
    </w:p>
    <w:p>
      <w:pPr>
        <w:spacing w:after="0" w:line="2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ectPr>
          <w:pgSz w:w="11900" w:h="16838" w:orient="portrait"/>
          <w:cols w:equalWidth="0" w:num="1">
            <w:col w:w="11240"/>
          </w:cols>
          <w:pgMar w:left="320" w:top="11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 Duckworth, certify that:</w:t>
      </w:r>
    </w:p>
    <w:p>
      <w:pPr>
        <w:spacing w:after="0" w:line="117" w:lineRule="exact"/>
        <w:rPr>
          <w:sz w:val="20"/>
          <w:szCs w:val="20"/>
          <w:color w:val="auto"/>
        </w:rPr>
      </w:pPr>
    </w:p>
    <w:p>
      <w:pPr>
        <w:ind w:left="580" w:hanging="572"/>
        <w:spacing w:after="0"/>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Acadia Healthcare Company, Inc.;</w:t>
      </w:r>
    </w:p>
    <w:p>
      <w:pPr>
        <w:spacing w:after="0" w:line="117"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80" w:right="180" w:hanging="572"/>
        <w:spacing w:after="0" w:line="266" w:lineRule="auto"/>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60" w:right="280" w:hanging="572"/>
        <w:spacing w:after="0" w:line="282" w:lineRule="auto"/>
        <w:tabs>
          <w:tab w:leader="none" w:pos="1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22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David M. Duckworth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17145</wp:posOffset>
            </wp:positionV>
            <wp:extent cx="30943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David M. Duckworth</w:t>
      </w:r>
    </w:p>
    <w:p>
      <w:pPr>
        <w:spacing w:after="0" w:line="2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40" w:firstLine="589"/>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Acadia Healthcare Company, Inc. (the “Company”) on Form 10-K for the year ended December 31, 2022, as filed with the Securities and Exchange Commission on the date hereof (the “Report”), I, Christopher H. Hunter, Chief Executive Officer and Director of the Company, certify, pursuant to 18 U.S.C. Section 1350, as adopted pursuant to Section 906 of the Sarbanes-Oxley Act of 2002, that, to my knowledge:</w:t>
      </w:r>
    </w:p>
    <w:p>
      <w:pPr>
        <w:spacing w:after="0" w:line="50" w:lineRule="exact"/>
        <w:rPr>
          <w:sz w:val="20"/>
          <w:szCs w:val="20"/>
          <w:color w:val="auto"/>
        </w:rPr>
      </w:pPr>
    </w:p>
    <w:p>
      <w:pPr>
        <w:ind w:left="1160" w:hanging="572"/>
        <w:spacing w:after="0"/>
        <w:tabs>
          <w:tab w:leader="none" w:pos="1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1160" w:right="400" w:hanging="572"/>
        <w:spacing w:after="0" w:line="282" w:lineRule="auto"/>
        <w:tabs>
          <w:tab w:leader="none" w:pos="1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Christopher H. Hunter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H. Hunter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ectPr>
          <w:pgSz w:w="11900" w:h="16838" w:orient="portrait"/>
          <w:cols w:equalWidth="0" w:num="1">
            <w:col w:w="11240"/>
          </w:cols>
          <w:pgMar w:left="320" w:top="11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4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Acadia Healthcare Company, Inc. (the “Company”) on Form 10-K for the year ended December 31, 2022, as filed with the Securities and Exchange Commission on the date hereof (the “Report”), I, David M. Duckworth, Chief Financial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1160" w:hanging="572"/>
        <w:spacing w:after="0"/>
        <w:tabs>
          <w:tab w:leader="none" w:pos="1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1160" w:right="400" w:hanging="572"/>
        <w:spacing w:after="0" w:line="282" w:lineRule="auto"/>
        <w:tabs>
          <w:tab w:leader="none" w:pos="1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M. Duckworth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M. Duckworth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upperLetter"/>
      <w:start w:val="49"/>
    </w:lvl>
  </w:abstractNum>
  <w:abstractNum w:abstractNumId="3">
    <w:nsid w:val="79838CB2"/>
    <w:multiLevelType w:val="hybridMultilevel"/>
    <w:lvl w:ilvl="0">
      <w:lvlJc w:val="left"/>
      <w:lvlText w:val="(%1)"/>
      <w:numFmt w:val="lowerRoman"/>
      <w:start w:val="4"/>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upperLetter"/>
      <w:start w:val="68"/>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upperLetter"/>
      <w:start w:val="49"/>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decimal"/>
      <w:start w:val="1"/>
    </w:lvl>
    <w:lvl w:ilvl="1">
      <w:lvlJc w:val="left"/>
      <w:lvlText w:val="(%2)"/>
      <w:numFmt w:val="lowerLetter"/>
      <w:start w:val="1"/>
    </w:lvl>
  </w:abstractNum>
  <w:abstractNum w:abstractNumId="26">
    <w:nsid w:val="3804823E"/>
    <w:multiLevelType w:val="hybridMultilevel"/>
    <w:lvl w:ilvl="0">
      <w:lvlJc w:val="left"/>
      <w:lvlText w:val="%1."/>
      <w:numFmt w:val="decimal"/>
      <w:start w:val="1"/>
    </w:lvl>
    <w:lvl w:ilvl="1">
      <w:lvlJc w:val="left"/>
      <w:lvlText w:val="%2"/>
      <w:numFmt w:val="lowerLetter"/>
      <w:start w:val="1"/>
    </w:lvl>
  </w:abstractNum>
  <w:abstractNum w:abstractNumId="27">
    <w:nsid w:val="77465F01"/>
    <w:multiLevelType w:val="hybridMultilevel"/>
    <w:lvl w:ilvl="0">
      <w:lvlJc w:val="left"/>
      <w:lvlText w:val="%1."/>
      <w:numFmt w:val="decimal"/>
      <w:start w:val="2"/>
    </w:lvl>
  </w:abstractNum>
  <w:abstractNum w:abstractNumId="28">
    <w:nsid w:val="7724C67E"/>
    <w:multiLevelType w:val="hybridMultilevel"/>
    <w:lvl w:ilvl="0">
      <w:lvlJc w:val="left"/>
      <w:lvlText w:val="%1."/>
      <w:numFmt w:val="decimal"/>
      <w:start w:val="3"/>
    </w:lvl>
  </w:abstractNum>
  <w:abstractNum w:abstractNumId="29">
    <w:nsid w:val="5C482A97"/>
    <w:multiLevelType w:val="hybridMultilevel"/>
    <w:lvl w:ilvl="0">
      <w:lvlJc w:val="left"/>
      <w:lvlText w:val="%1"/>
      <w:numFmt w:val="decimal"/>
      <w:start w:val="104"/>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Letter"/>
      <w:start w:val="19"/>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upperLetter"/>
      <w:start w:val="49"/>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lowerRoman"/>
      <w:start w:val="5"/>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73" Type="http://schemas.openxmlformats.org/officeDocument/2006/relationships/hyperlink" Target="http://www.sec.gov/Archives/edgar/data/1520697/000156459021009466/achc-ex21_113.htm" TargetMode="External"/><Relationship Id="rId74" Type="http://schemas.openxmlformats.org/officeDocument/2006/relationships/hyperlink" Target="http://www.sec.gov/Archives/edgar/data/1520697/000156459021009466/achc-ex22_114.htm" TargetMode="External"/><Relationship Id="rId75" Type="http://schemas.openxmlformats.org/officeDocument/2006/relationships/hyperlink" Target="http://www.sec.gov/Archives/edgar/data/1520697/000119312517183851/d383441dex31.htm" TargetMode="External"/><Relationship Id="rId76" Type="http://schemas.openxmlformats.org/officeDocument/2006/relationships/hyperlink" Target="http://www.sec.gov/Archives/edgar/data/1520697/000119312517183851/d383441dex32.htm" TargetMode="External"/><Relationship Id="rId77" Type="http://schemas.openxmlformats.org/officeDocument/2006/relationships/hyperlink" Target="http://www.sec.gov/Archives/edgar/data/1520697/000119312520177619/d949477dex41.htm" TargetMode="External"/><Relationship Id="rId78" Type="http://schemas.openxmlformats.org/officeDocument/2006/relationships/hyperlink" Target="http://www.sec.gov/Archives/edgar/data/1520697/000119312520269130/d942109dex41.htm" TargetMode="External"/><Relationship Id="rId79" Type="http://schemas.openxmlformats.org/officeDocument/2006/relationships/hyperlink" Target="http://www.sec.gov/Archives/edgar/data/1520697/000119312514389882/d810723dex41.htm" TargetMode="External"/><Relationship Id="rId80" Type="http://schemas.openxmlformats.org/officeDocument/2006/relationships/hyperlink" Target="http://www.sec.gov/Archives/edgar/data/1520697/000119312511321378/d258032dex41.htm" TargetMode="External"/><Relationship Id="rId81" Type="http://schemas.openxmlformats.org/officeDocument/2006/relationships/hyperlink" Target="http://www.sec.gov/Archives/edgar/data/1520697/000119312516418747/d113050dex4.htm" TargetMode="External"/><Relationship Id="rId82" Type="http://schemas.openxmlformats.org/officeDocument/2006/relationships/hyperlink" Target="http://www.sec.gov/Archives/edgar/data/1520697/000119312516465367/d129839dex45.htm" TargetMode="External"/><Relationship Id="rId83" Type="http://schemas.openxmlformats.org/officeDocument/2006/relationships/hyperlink" Target="http://www.sec.gov/Archives/edgar/data/1520697/000156459021009466/achc-ex413_6.htm" TargetMode="External"/><Relationship Id="rId84" Type="http://schemas.openxmlformats.org/officeDocument/2006/relationships/hyperlink" Target="http://www.sec.gov/Archives/edgar/data/1520697/000119312521088596/d123139dex101.htm" TargetMode="External"/><Relationship Id="rId85" Type="http://schemas.openxmlformats.org/officeDocument/2006/relationships/hyperlink" Target="http://www.sec.gov/Archives/edgar/data/1520697/000119312521088596/d123139dex102.htm" TargetMode="External"/><Relationship Id="rId86" Type="http://schemas.openxmlformats.org/officeDocument/2006/relationships/hyperlink" Target="http://www.sec.gov/Archives/edgar/data/1520697/000119312521013858/d115514dex101.htm" TargetMode="External"/><Relationship Id="rId89" Type="http://schemas.openxmlformats.org/officeDocument/2006/relationships/hyperlink" Target="http://www.sec.gov/Archives/edgar/data/1520697/000119312522024575/d279825dex101.htm" TargetMode="External"/><Relationship Id="rId90" Type="http://schemas.openxmlformats.org/officeDocument/2006/relationships/hyperlink" Target="http://www.sec.gov/Archives/edgar/data/1520697/000119312522024575/d279825dex102.htm" TargetMode="External"/><Relationship Id="rId91" Type="http://schemas.openxmlformats.org/officeDocument/2006/relationships/hyperlink" Target="http://www.sec.gov/Archives/edgar/data/1520697/000156459022017872/achc-ex102_287.htm" TargetMode="External"/><Relationship Id="rId92" Type="http://schemas.openxmlformats.org/officeDocument/2006/relationships/hyperlink" Target="http://www.sec.gov/Archives/edgar/data/1520697/000119312514140687/d709579dex105.htm" TargetMode="External"/><Relationship Id="rId93" Type="http://schemas.openxmlformats.org/officeDocument/2006/relationships/hyperlink" Target="http://www.sec.gov/Archives/edgar/data/1520697/000119312514140687/d709579dex104.htm" TargetMode="External"/><Relationship Id="rId94" Type="http://schemas.openxmlformats.org/officeDocument/2006/relationships/hyperlink" Target="http://www.sec.gov/Archives/edgar/data/1520697/000119312519214211/d758371dex10.htm" TargetMode="External"/><Relationship Id="rId95" Type="http://schemas.openxmlformats.org/officeDocument/2006/relationships/hyperlink" Target="http://www.sec.gov/Archives/edgar/data/1520697/000119312519214218/d774323dex10.htm" TargetMode="External"/><Relationship Id="rId96" Type="http://schemas.openxmlformats.org/officeDocument/2006/relationships/hyperlink" Target="http://www.sec.gov/Archives/edgar/data/1520697/000119312513308767/d576163dex99.htm" TargetMode="External"/><Relationship Id="rId97" Type="http://schemas.openxmlformats.org/officeDocument/2006/relationships/hyperlink" Target="http://www.sec.gov/Archives/edgar/data/1520697/000119312516664652/d221381dex102.htm" TargetMode="External"/><Relationship Id="rId98" Type="http://schemas.openxmlformats.org/officeDocument/2006/relationships/hyperlink" Target="http://www.sec.gov/Archives/edgar/data/1520697/000119312521092741/d61173ddef14a.htm#toc61173_17" TargetMode="External"/><Relationship Id="rId99" Type="http://schemas.openxmlformats.org/officeDocument/2006/relationships/hyperlink" Target="http://www.sec.gov/Archives/edgar/data/1520697/000119312518150794/d537812dex104.htm" TargetMode="External"/><Relationship Id="rId100" Type="http://schemas.openxmlformats.org/officeDocument/2006/relationships/hyperlink" Target="http://www.sec.gov/Archives/edgar/data/1520697/000095012311083193/c65232a2exv10w25.htm" TargetMode="External"/><Relationship Id="rId101" Type="http://schemas.openxmlformats.org/officeDocument/2006/relationships/hyperlink" Target="http://www.sec.gov/Archives/edgar/data/1520697/000095012311083193/c65232a2exv10w26.htm" TargetMode="External"/><Relationship Id="rId102" Type="http://schemas.openxmlformats.org/officeDocument/2006/relationships/hyperlink" Target="http://www.sec.gov/Archives/edgar/data/1520697/000119312518150794/d537812dex103.htm" TargetMode="External"/><Relationship Id="rId103" Type="http://schemas.openxmlformats.org/officeDocument/2006/relationships/hyperlink" Target="http://www.sec.gov/Archives/edgar/data/1520697/000095012311085847/c65232a3exv10w28.htm" TargetMode="External"/><Relationship Id="rId104" Type="http://schemas.openxmlformats.org/officeDocument/2006/relationships/hyperlink" Target="http://www.sec.gov/Archives/edgar/data/1520697/000119312513196184/d513520dex103.htm" TargetMode="External"/><Relationship Id="rId105" Type="http://schemas.openxmlformats.org/officeDocument/2006/relationships/hyperlink" Target="http://www.sec.gov/Archives/edgar/data/1520697/000119312513196184/d513520dex104.htm" TargetMode="External"/><Relationship Id="rId106" Type="http://schemas.openxmlformats.org/officeDocument/2006/relationships/hyperlink" Target="http://www.sec.gov/Archives/edgar/data/1520697/000119312511290928/d251019dex102.htm" TargetMode="External"/><Relationship Id="rId107" Type="http://schemas.openxmlformats.org/officeDocument/2006/relationships/hyperlink" Target="http://www.sec.gov/Archives/edgar/data/1520697/000119312511290928/d25101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2023-02-28T20:00:03Z</dcterms:created>
  <dcterms:modified xsi:type="dcterms:W3CDTF">2023-02-28T20:00:03Z</dcterms:modified>
</cp:coreProperties>
</file>