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7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December 2, 2011</w:t>
      </w:r>
    </w:p>
    <w:p>
      <w:pPr>
        <w:spacing w:after="0" w:line="14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Acadia Healthcare Company, Inc.</w:t>
      </w:r>
    </w:p>
    <w:p>
      <w:pPr>
        <w:spacing w:after="0" w:line="54"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20"/>
          </w:cols>
          <w:pgMar w:left="240" w:top="314" w:right="639" w:bottom="1440" w:gutter="0" w:footer="0" w:header="0"/>
        </w:sectPr>
      </w:pPr>
    </w:p>
    <w:p>
      <w:pPr>
        <w:spacing w:after="0" w:line="192"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333-175523</w:t>
      </w:r>
    </w:p>
    <w:p>
      <w:pPr>
        <w:spacing w:after="0" w:line="21"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46-2492228</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160" w:space="720"/>
            <w:col w:w="2780" w:space="720"/>
            <w:col w:w="2640"/>
          </w:cols>
          <w:pgMar w:left="240" w:top="314" w:right="639" w:bottom="1440" w:gutter="0" w:footer="0" w:header="0"/>
          <w:type w:val="continuous"/>
        </w:sectPr>
      </w:pPr>
    </w:p>
    <w:p>
      <w:pPr>
        <w:ind w:left="1360"/>
        <w:spacing w:after="0"/>
        <w:rPr>
          <w:sz w:val="20"/>
          <w:szCs w:val="20"/>
          <w:color w:val="auto"/>
        </w:rPr>
      </w:pPr>
      <w:r>
        <w:rPr>
          <w:rFonts w:ascii="Arial" w:cs="Arial" w:eastAsia="Arial" w:hAnsi="Arial"/>
          <w:sz w:val="18"/>
          <w:szCs w:val="18"/>
          <w:color w:val="auto"/>
        </w:rPr>
        <w:t>of incorporation)</w:t>
      </w:r>
    </w:p>
    <w:p>
      <w:pPr>
        <w:spacing w:after="0" w:line="33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830 Crescent Centre Drive, Suite 610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Franklin, Tennessee 37067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3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615-861-6000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32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040" w:right="3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12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2, 2011, the compensation committee of the board of directors of Acadia Healthcare Company, Inc. (the “Company”) approved an increase to the annual base salary, effective November 1, 2011, for the following executive officers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Current Base Salary</w:t>
            </w:r>
          </w:p>
        </w:tc>
        <w:tc>
          <w:tcPr>
            <w:tcW w:w="0" w:type="dxa"/>
            <w:vAlign w:val="bottom"/>
          </w:tcPr>
          <w:p>
            <w:pPr>
              <w:spacing w:after="0"/>
              <w:rPr>
                <w:sz w:val="1"/>
                <w:szCs w:val="1"/>
                <w:color w:val="auto"/>
              </w:rPr>
            </w:pPr>
          </w:p>
        </w:tc>
      </w:tr>
      <w:tr>
        <w:trPr>
          <w:trHeight w:val="149"/>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Executive Officer </w:t>
            </w:r>
            <w:r>
              <w:rPr>
                <w:rFonts w:ascii="Arial" w:cs="Arial" w:eastAsia="Arial" w:hAnsi="Arial"/>
                <w:sz w:val="14"/>
                <w:szCs w:val="14"/>
                <w:b w:val="1"/>
                <w:bCs w:val="1"/>
                <w:i w:val="1"/>
                <w:iCs w:val="1"/>
                <w:color w:val="auto"/>
                <w:w w:val="92"/>
              </w:rPr>
              <w:t>(Name, Title)</w:t>
            </w:r>
          </w:p>
        </w:tc>
        <w:tc>
          <w:tcPr>
            <w:tcW w:w="33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1"/>
              </w:rPr>
              <w:t>(effective as of</w:t>
            </w:r>
          </w:p>
        </w:tc>
        <w:tc>
          <w:tcPr>
            <w:tcW w:w="0" w:type="dxa"/>
            <w:vAlign w:val="bottom"/>
          </w:tcPr>
          <w:p>
            <w:pPr>
              <w:spacing w:after="0"/>
              <w:rPr>
                <w:sz w:val="1"/>
                <w:szCs w:val="1"/>
                <w:color w:val="auto"/>
              </w:rPr>
            </w:pPr>
          </w:p>
        </w:tc>
      </w:tr>
      <w:tr>
        <w:trPr>
          <w:trHeight w:val="159"/>
        </w:trPr>
        <w:tc>
          <w:tcPr>
            <w:tcW w:w="1900" w:type="dxa"/>
            <w:vAlign w:val="bottom"/>
            <w:tcBorders>
              <w:bottom w:val="single" w:sz="8" w:color="auto"/>
            </w:tcBorders>
            <w:vMerge w:val="continue"/>
          </w:tcPr>
          <w:p>
            <w:pPr>
              <w:spacing w:after="0"/>
              <w:rPr>
                <w:sz w:val="13"/>
                <w:szCs w:val="13"/>
                <w:color w:val="auto"/>
              </w:rPr>
            </w:pPr>
          </w:p>
        </w:tc>
        <w:tc>
          <w:tcPr>
            <w:tcW w:w="3320" w:type="dxa"/>
            <w:vAlign w:val="bottom"/>
            <w:vMerge w:val="continue"/>
          </w:tcPr>
          <w:p>
            <w:pPr>
              <w:spacing w:after="0"/>
              <w:rPr>
                <w:sz w:val="13"/>
                <w:szCs w:val="13"/>
                <w:color w:val="auto"/>
              </w:rPr>
            </w:pPr>
          </w:p>
        </w:tc>
        <w:tc>
          <w:tcPr>
            <w:tcW w:w="2640" w:type="dxa"/>
            <w:vAlign w:val="bottom"/>
          </w:tcPr>
          <w:p>
            <w:pPr>
              <w:spacing w:after="0"/>
              <w:rPr>
                <w:sz w:val="13"/>
                <w:szCs w:val="13"/>
                <w:color w:val="auto"/>
              </w:rPr>
            </w:pPr>
          </w:p>
        </w:tc>
        <w:tc>
          <w:tcPr>
            <w:tcW w:w="12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i w:val="1"/>
                <w:iCs w:val="1"/>
                <w:color w:val="auto"/>
                <w:w w:val="84"/>
              </w:rPr>
              <w:t>November 1, 2011)</w:t>
            </w:r>
          </w:p>
        </w:tc>
        <w:tc>
          <w:tcPr>
            <w:tcW w:w="0" w:type="dxa"/>
            <w:vAlign w:val="bottom"/>
          </w:tcPr>
          <w:p>
            <w:pPr>
              <w:spacing w:after="0"/>
              <w:rPr>
                <w:sz w:val="1"/>
                <w:szCs w:val="1"/>
                <w:color w:val="auto"/>
              </w:rPr>
            </w:pPr>
          </w:p>
        </w:tc>
      </w:tr>
      <w:tr>
        <w:trPr>
          <w:trHeight w:val="201"/>
        </w:trPr>
        <w:tc>
          <w:tcPr>
            <w:tcW w:w="5220" w:type="dxa"/>
            <w:vAlign w:val="bottom"/>
            <w:gridSpan w:val="2"/>
          </w:tcPr>
          <w:p>
            <w:pPr>
              <w:spacing w:after="0" w:line="201" w:lineRule="exact"/>
              <w:rPr>
                <w:sz w:val="20"/>
                <w:szCs w:val="20"/>
                <w:color w:val="auto"/>
              </w:rPr>
            </w:pPr>
            <w:r>
              <w:rPr>
                <w:rFonts w:ascii="Arial" w:cs="Arial" w:eastAsia="Arial" w:hAnsi="Arial"/>
                <w:sz w:val="18"/>
                <w:szCs w:val="18"/>
                <w:color w:val="auto"/>
              </w:rPr>
              <w:t>Joey A. Jacobs, Chief Executive Officer</w:t>
            </w:r>
          </w:p>
        </w:tc>
        <w:tc>
          <w:tcPr>
            <w:tcW w:w="2640" w:type="dxa"/>
            <w:vAlign w:val="bottom"/>
          </w:tcPr>
          <w:p>
            <w:pPr>
              <w:spacing w:after="0"/>
              <w:rPr>
                <w:sz w:val="17"/>
                <w:szCs w:val="17"/>
                <w:color w:val="auto"/>
              </w:rPr>
            </w:pP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87"/>
              </w:rPr>
              <w:t>$550,000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Ron Fincher, Chief Operating Officer</w:t>
            </w:r>
          </w:p>
        </w:tc>
        <w:tc>
          <w:tcPr>
            <w:tcW w:w="3920" w:type="dxa"/>
            <w:vAlign w:val="bottom"/>
            <w:gridSpan w:val="2"/>
          </w:tcPr>
          <w:p>
            <w:pPr>
              <w:jc w:val="center"/>
              <w:ind w:left="2572"/>
              <w:spacing w:after="0"/>
              <w:rPr>
                <w:sz w:val="20"/>
                <w:szCs w:val="20"/>
                <w:color w:val="auto"/>
              </w:rPr>
            </w:pPr>
            <w:r>
              <w:rPr>
                <w:rFonts w:ascii="Arial" w:cs="Arial" w:eastAsia="Arial" w:hAnsi="Arial"/>
                <w:sz w:val="18"/>
                <w:szCs w:val="18"/>
                <w:color w:val="auto"/>
                <w:w w:val="87"/>
              </w:rPr>
              <w:t>$380,000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Trey Carter, Co-President</w:t>
            </w:r>
          </w:p>
        </w:tc>
        <w:tc>
          <w:tcPr>
            <w:tcW w:w="3920" w:type="dxa"/>
            <w:vAlign w:val="bottom"/>
            <w:gridSpan w:val="2"/>
          </w:tcPr>
          <w:p>
            <w:pPr>
              <w:jc w:val="center"/>
              <w:ind w:left="2572"/>
              <w:spacing w:after="0"/>
              <w:rPr>
                <w:sz w:val="20"/>
                <w:szCs w:val="20"/>
                <w:color w:val="auto"/>
              </w:rPr>
            </w:pPr>
            <w:r>
              <w:rPr>
                <w:rFonts w:ascii="Arial" w:cs="Arial" w:eastAsia="Arial" w:hAnsi="Arial"/>
                <w:sz w:val="18"/>
                <w:szCs w:val="18"/>
                <w:color w:val="auto"/>
                <w:w w:val="87"/>
              </w:rPr>
              <w:t>$380,000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Brent Turner, Co-President</w:t>
            </w:r>
          </w:p>
        </w:tc>
        <w:tc>
          <w:tcPr>
            <w:tcW w:w="3920" w:type="dxa"/>
            <w:vAlign w:val="bottom"/>
            <w:gridSpan w:val="2"/>
          </w:tcPr>
          <w:p>
            <w:pPr>
              <w:jc w:val="center"/>
              <w:ind w:left="2572"/>
              <w:spacing w:after="0"/>
              <w:rPr>
                <w:sz w:val="20"/>
                <w:szCs w:val="20"/>
                <w:color w:val="auto"/>
              </w:rPr>
            </w:pPr>
            <w:r>
              <w:rPr>
                <w:rFonts w:ascii="Arial" w:cs="Arial" w:eastAsia="Arial" w:hAnsi="Arial"/>
                <w:sz w:val="18"/>
                <w:szCs w:val="18"/>
                <w:color w:val="auto"/>
                <w:w w:val="87"/>
              </w:rPr>
              <w:t>$380,000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Jack E. Polson, Chief Financial Officer</w:t>
            </w:r>
          </w:p>
        </w:tc>
        <w:tc>
          <w:tcPr>
            <w:tcW w:w="3920" w:type="dxa"/>
            <w:vAlign w:val="bottom"/>
            <w:gridSpan w:val="2"/>
          </w:tcPr>
          <w:p>
            <w:pPr>
              <w:jc w:val="center"/>
              <w:ind w:left="2572"/>
              <w:spacing w:after="0"/>
              <w:rPr>
                <w:sz w:val="20"/>
                <w:szCs w:val="20"/>
                <w:color w:val="auto"/>
              </w:rPr>
            </w:pPr>
            <w:r>
              <w:rPr>
                <w:rFonts w:ascii="Arial" w:cs="Arial" w:eastAsia="Arial" w:hAnsi="Arial"/>
                <w:sz w:val="18"/>
                <w:szCs w:val="18"/>
                <w:color w:val="auto"/>
                <w:w w:val="87"/>
              </w:rPr>
              <w:t>$380,000</w:t>
            </w:r>
          </w:p>
        </w:tc>
        <w:tc>
          <w:tcPr>
            <w:tcW w:w="0" w:type="dxa"/>
            <w:vAlign w:val="bottom"/>
          </w:tcPr>
          <w:p>
            <w:pPr>
              <w:spacing w:after="0"/>
              <w:rPr>
                <w:sz w:val="1"/>
                <w:szCs w:val="1"/>
                <w:color w:val="auto"/>
              </w:rPr>
            </w:pPr>
          </w:p>
        </w:tc>
      </w:t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w w:val="97"/>
              </w:rPr>
              <w:t>Christopher L. Howard, Executive Vice President, General Counsel</w:t>
            </w:r>
          </w:p>
        </w:tc>
        <w:tc>
          <w:tcPr>
            <w:tcW w:w="3920" w:type="dxa"/>
            <w:vAlign w:val="bottom"/>
            <w:gridSpan w:val="2"/>
          </w:tcPr>
          <w:p>
            <w:pPr>
              <w:jc w:val="center"/>
              <w:ind w:left="2572"/>
              <w:spacing w:after="0"/>
              <w:rPr>
                <w:sz w:val="20"/>
                <w:szCs w:val="20"/>
                <w:color w:val="auto"/>
              </w:rPr>
            </w:pPr>
            <w:r>
              <w:rPr>
                <w:rFonts w:ascii="Arial" w:cs="Arial" w:eastAsia="Arial" w:hAnsi="Arial"/>
                <w:sz w:val="18"/>
                <w:szCs w:val="18"/>
                <w:color w:val="auto"/>
                <w:w w:val="87"/>
              </w:rPr>
              <w:t>$380,000</w:t>
            </w:r>
          </w:p>
        </w:tc>
        <w:tc>
          <w:tcPr>
            <w:tcW w:w="0" w:type="dxa"/>
            <w:vAlign w:val="bottom"/>
          </w:tcPr>
          <w:p>
            <w:pPr>
              <w:spacing w:after="0"/>
              <w:rPr>
                <w:sz w:val="1"/>
                <w:szCs w:val="1"/>
                <w:color w:val="auto"/>
              </w:rPr>
            </w:pPr>
          </w:p>
        </w:tc>
      </w:tr>
      <w:tr>
        <w:trPr>
          <w:trHeight w:val="365"/>
        </w:trPr>
        <w:tc>
          <w:tcPr>
            <w:tcW w:w="1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40" w:type="dxa"/>
            <w:vAlign w:val="bottom"/>
          </w:tcPr>
          <w:p>
            <w:pPr>
              <w:jc w:val="right"/>
              <w:ind w:right="2012"/>
              <w:spacing w:after="0"/>
              <w:rPr>
                <w:sz w:val="20"/>
                <w:szCs w:val="20"/>
                <w:color w:val="auto"/>
              </w:rPr>
            </w:pPr>
            <w:r>
              <w:rPr>
                <w:rFonts w:ascii="Arial" w:cs="Arial" w:eastAsia="Arial" w:hAnsi="Arial"/>
                <w:sz w:val="18"/>
                <w:szCs w:val="18"/>
                <w:color w:val="auto"/>
              </w:rPr>
              <w:t>2</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274"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ACADIA HEALTHCARE COMPANY, INC.</w:t>
      </w:r>
    </w:p>
    <w:p>
      <w:pPr>
        <w:spacing w:after="0" w:line="23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Christopher L. Howard</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General Counsel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2019-12-11T09:13:18Z</dcterms:created>
  <dcterms:modified xsi:type="dcterms:W3CDTF">2019-12-11T09:13:18Z</dcterms:modified>
</cp:coreProperties>
</file>