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December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Acadia Healthcare Company, Inc.</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001-35331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46-2492228</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830 Crescent Centre Drive, Suite 610, Franklin, Tennessee 37067</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(615) 861-6000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On November 21, 2012, Commodore Acquisition Sub, LLC, a Delaware limited liability company (“BCA Buyer”) and wholly-owned subsidiary of Acadia Healthcare Company, Inc., a Delaware corporation (“Acadia”), entered into an Acquisition Agreement (the “Acquisition Agreement”) with Behavioral Centers of America, LLC, a Delaware limited liability company (“BCA”), Behavioral Centers of America Holdings, LLC, a Delaware limited liability company (“Holdings”), Linden BCA Blocker Corp., a Delaware corporation (“Linden Blocker”), SBOF-BCA Holdings Corporation, a Delaware corporation (“Siguler Blocker”), HEP BCA Holdings Corp., a Delaware corporation (“HEP Blocker” and together with Linden Blocker and Siguler Blocker, the “Blockers”), Siguler Guff Small Buyout Opportunities Fund, LP, a Delaware limited partnership, and Siguler Guff Small Buyout Opportunities Fund (F), LP, a Delaware limited partnership (together, “Siguler”), Health Enterprise Partners, L.P., a Delaware limited partnership, and HEP BCA Co-Investors, LLC, a Delaware limited liability company (together, “HEP”), and Linden Capital Partners A, LP, a Delaware limited partnership (“Linden”). Under the terms of the Acquisition Agreement,</w:t>
      </w:r>
    </w:p>
    <w:p>
      <w:pPr>
        <w:spacing w:after="0" w:line="6" w:lineRule="exact"/>
        <w:rPr>
          <w:sz w:val="20"/>
          <w:szCs w:val="20"/>
          <w:color w:val="auto"/>
        </w:rPr>
      </w:pPr>
    </w:p>
    <w:p>
      <w:pPr>
        <w:ind w:right="80" w:firstLine="8"/>
        <w:spacing w:after="0" w:line="255"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Linden, Siguler and HEP will sell to BCA Buyer, and BCA Buyer will buy from Linden, Siguler and HEP, all of the outstanding capital stock of the Blockers, and (ii) Holdings will sell to BCA Buyer and BCA Buyer will buy from Holdings, all of the outstanding membership interests of BCA held by Holdings, such that BCA Buyer will own, directly or indirectly, all of the outstanding membership interests of BCA.</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2012, Acadia entered into a Membership Interest Purchase Agreement (the “Purchase Agreement”) with 2C4K, LP, a Texas limited partnership (“2C4K”), ARTC Acquisitions, Inc., a Delaware corporation (“ARTC”, and together with 2C4K, each a “Seller” and collectively, the “AmiCare Sellers”), and Acadia Vista, LLC, a Delaware limited liability company and wholly-owned subsidiary of Acadia (“AmiCare Buyer”). Under the terms of the Purchase Agreement, the AmiCare Sellers will sell to AmiCare Buyer, and AmiCare Buyer will buy from the AmiCare Sellers, all of the outstanding membership interests of AmiCare Behavioral Centers, LLC, a Delaware limited liability company (“AmiCare”).</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BCA, AmiCare and their respective subsidiaries are engaged in the business of owning, operating and managing behavioral healthcare facilities. The closing of each of the BCA and AmiCare transactions is subject to the satisfaction of certain conditions. If these conditions are satisfied, Acadia expects to close the transactions in late December 2012.</w:t>
      </w:r>
    </w:p>
    <w:p>
      <w:pPr>
        <w:sectPr>
          <w:pgSz w:w="11900" w:h="16838" w:orient="portrait"/>
          <w:cols w:equalWidth="0" w:num="1">
            <w:col w:w="11400"/>
          </w:cols>
          <w:pgMar w:left="240" w:top="274" w:right="259" w:bottom="1440" w:gutter="0" w:footer="0" w:header="0"/>
        </w:sectPr>
      </w:pPr>
    </w:p>
    <w:bookmarkStart w:id="2" w:name="page3"/>
    <w:bookmarkEnd w:id="2"/>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purpose of this Current Report on Form 8-K is to file the following historical and pro forma financial information and other items set forth in Item 9.01 hereto, all of which are incorporated by reference herein, to provide required financial information relating to Acadia’s significant acquisitions, some of which has been filed previously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Pro Forma Condensed Combined Financial Information of Acadia and its Subsidiaries</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Balance Sheet as of September 30,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Nine Months Ended September 30,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Nine Months Ended September 30,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Notes to Unaudited Pro Forma Condensed Combined 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Behavioral Centers of America, LLC and Subsidiaries Consolidated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Unaudited Condensed Consolidated Financial Statements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Unaudited Consolidated Balance Sheets as of September 30, 2012 and December 31, 2011</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Unaudited Consolidated Statements of Operations and Changes in Member’s Equity for the Nine Months Ended September 30, 2012 and September 30, 2011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Unaudited Consolidated Statements of Cash Flows for the Nine Months Ended September 30, 2012 and September 30,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Notes to Unaudited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Audited Consolidated Financial Statements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 of Independent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Balance Sheets as of December 31,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Statements of Operations and Changes in Member’s Equity for the Years Ended December 31,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AmiCare Behavioral Centers, LLC and Subsidiaries Consolidated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Unaudited Condensed Consolidated Financial Statements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Unaudited Consolidated Balance Sheets as of September 30, 2012 and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Unaudited Consolidated Statements of Operations for the Nine Months Ended September 30, 2012 and September 30,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Unaudited Consolidated Statement of Changes in Members’ Equity for the Nine Months Ended September 30,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Unaudited Consolidated Statements of Cash Flows for the Nine Months Ended September 30, 2012 and September 30,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Notes to Unaudited Consolidated Financial Statements</w:t>
      </w:r>
    </w:p>
    <w:p>
      <w:pPr>
        <w:sectPr>
          <w:pgSz w:w="11900" w:h="16838" w:orient="portrait"/>
          <w:cols w:equalWidth="0" w:num="1">
            <w:col w:w="11420"/>
          </w:cols>
          <w:pgMar w:left="240" w:top="280" w:right="23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Audited Consolidated Financial Statements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 of Independent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Balance Sheet as of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Statement of Operations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Statement of Changes in Members’ Equity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Statement of Cash Flows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Haven Hospital Holdings, LLC and Haven Hospital Holdings of Texas, LLC Combined Financial Statements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March 1, 2012, Acadia completed the acquisition of three inpatient behavioral healthcare facilities with a combined 166 licensed beds from Haven Behavioral Healthcare Holdings, LLC.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Audited Combined Financial Statements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 of Independent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Combined Balance Sheets as of December 31, 2011 and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Combined Income Statements for the Years Ended December 31, 2011 and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Combined Statements of Members’ Equity for the Years Ended December 31, 2011 and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Combined Statements of Cash Flows for the Years Ended December 31, 2011 and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to Combined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Youth and Family Centered Services, Inc. and Subsidiaries Consolidated Financial Statements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April 1, 2011, Acadia acquired Youth and Family Centered Services, Inc., the largest private, for-profit provider of behavioral health, education and long term support services exclusively for abused and neglected children and adolescents.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Unaudited Condensed Consolidated Financial Statements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 Consolidated Balance Sheets as of March 31, 2011 and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 Consolidated Statements of Operations for the Three Months Ended March 31, 2011 and March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 Consolidated Statements of Cash Flows for the Three Months Ended March 31, 2011 and March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to Unaudited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Audited Consolidated Financial Statements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 of Independent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Balance Sheets as of December 31, 2010 and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2010, 2009 and 2008</w:t>
      </w:r>
    </w:p>
    <w:p>
      <w:pPr>
        <w:sectPr>
          <w:pgSz w:w="11900" w:h="16838" w:orient="portrait"/>
          <w:cols w:equalWidth="0" w:num="1">
            <w:col w:w="11100"/>
          </w:cols>
          <w:pgMar w:left="240" w:top="280" w:right="559" w:bottom="1440" w:gutter="0" w:footer="0" w:header="0"/>
        </w:sectPr>
      </w:pPr>
    </w:p>
    <w:bookmarkStart w:id="4" w:name="page5"/>
    <w:bookmarkEnd w:id="4"/>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Statements of Stockholders’ Equity for the Years Ended December 31, 2010, 2009 and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2010, 2009 and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PHC, Inc. and Subsidiaries Consolidated Financial Statements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November 1, 2011, Acadia completed the acquisition of PHC, Inc. (“PHC”), a publicly-traded behavioral health services company providing psychiatric services to individuals who have behavioral health disorders, including alcohol and drug dependency.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Unaudited Condensed Consolidated Financial Statements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Unaudited Consolidated Balance Sheets as of September 30, 2011 and June 30,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Unaudited Consolidated Statements of Operations for the Three Months Ended September 30, 2011 and September 30,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Unaudited Consolidated Statements of Cash Flows for the Three Months Ended September 30, 2011 and September 30,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Notes to Unaudited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Audited Consolidated Financial Statements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Balance Sheets as of June 30,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June 30,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Years Ended June 30,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June 30,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HHC Delaware, Inc. and Subsidiary Consolidated Financial Statements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July 2011, PHC had acquired all of the assets of HHC Delaware, Inc., consisting principally of the MeadowWood Behavioral Health System, an acute care psychiatric hospital (“MeadowWood”). Acadia acquired MeadowWood when it acquired PHC.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 of Independent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Balance Sheets as of December 31, 2010 and 2009 (Predecessor) and as of June 30, 2011 (Unaudited)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Statements of Operations and Changes in Invested Equity (Deficit) for the period from November 16, 2010 to December 31, 2010, for the period from January 1, 2010 to November 15, 2010 (Predecessor), the year ended December 31, 2009 (Predecessor) and the six months ended June 30, 2011 (Unaudited) and 2010 (Unaudited and Predecessor)</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Statements of Cash Flows for the period from November 16, 2010 to December 31, 2010, for the period from January 1, 2010 to November 15, 2010 (Predecessor), the year ended December 31, 2009 (Predecessor) and the six months ended June 30, 2011 (Unaudited) and 2010 (Unaudited and Predecessor)</w:t>
      </w:r>
    </w:p>
    <w:p>
      <w:pPr>
        <w:sectPr>
          <w:pgSz w:w="11900" w:h="16838" w:orient="portrait"/>
          <w:cols w:equalWidth="0" w:num="1">
            <w:col w:w="11300"/>
          </w:cols>
          <w:pgMar w:left="240" w:top="280" w:right="359" w:bottom="1440" w:gutter="0" w:footer="0" w:header="0"/>
        </w:sectPr>
      </w:pPr>
    </w:p>
    <w:bookmarkStart w:id="5" w:name="page6"/>
    <w:bookmarkEnd w:id="5"/>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Credit Facility</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connection with its acquisition of Park Royal Hospital on November 11, 2012, Acadia entered into the sixth amendment to its Senior Secured Credit Facility to allow for the assumption of approximately $23.0 million in debt as part of the transaction. The amendment is filed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attached hereto and is incorporated by reference herein.</w:t>
      </w:r>
    </w:p>
    <w:p>
      <w:pPr>
        <w:spacing w:after="0" w:line="14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connection with the proposed acquisitions of BCA and AmiCare, Acadia anticipates amending the Senior Secured Credit Facility to provide for a credit facility of approximately $389.0 million. We anticipate that the Senior Secured Credit Facility will provide for a $75.0 million revolver, a $149.0 million Existing Term Loan and a $165.0 million Incremental Term Loan A. Acadia is currently negotiating such an amendment and expects it to be effective commensurate with the closing of the acquisitions of BCA and AmiCare in late December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1"/>
              </w:rPr>
              <w:t>Sixth Amendment to the Credit Agreement, dated as of November 9, 2012, by and among Bank of America, NA (Administrative Agent, Swing</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89"/>
              </w:rPr>
              <w:t>Line Lender and L/C Issuer), Acadia Healthcare Company, Inc. (f/k/a Acadia Healthcare Company, LLC), and the lenders listed on the signature</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pages thereto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89"/>
              </w:rPr>
              <w:t>Consent of Lattimore Black Morgan &amp; Cain, an independent registered public accounting firm, with respect to the audited financials of Behavioral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Centers of America,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0"/>
              </w:rPr>
              <w:t>Consent of Lattimore Black Morgan &amp; Cain, an independent registered public accounting firm, with respect to the audited financials of AmiCare</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Behavioral Centers,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2"/>
              </w:rPr>
              <w:t>Consent of Ernst &amp; Young LLP, independent auditors, with respect to the audited combined financials of Haven Hospital Holdings, LLC and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Haven Hospital Holdings of Texas,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23.4</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2"/>
              </w:rPr>
              <w:t>Consent of Ernst &amp; Young LLP, independent auditors, with respect to the audited financials of Youth and Family Centered Services, Inc. and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Subsidiaries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23.5</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89"/>
              </w:rPr>
              <w:t>Consent of BDO USA, LLP, an independent registered public accounting firm, with respect to the audited financials of PHC, Inc. and Subsidiaries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23.6</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9"/>
              </w:rPr>
              <w:t>Consent of Ernst &amp; Young LLP, independent auditors, with respect to the audited financials of HHC Delaware, Inc. and Subsidiary</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Unaudited Pro Forma Condensed Combined Financial Information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Behavioral Centers of America, LLC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AmiCare Behavioral Centers, LLC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Haven Hospital Holdings, LLC and Haven Hospital Holdings of Texas, LLC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99.5</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Youth and Family Centered Services, Inc.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99.6</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PHC, Inc.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99.7</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HHC Delaware, Inc. and Subsidiary listed in Item 8.01</w:t>
            </w:r>
          </w:p>
        </w:tc>
      </w:tr>
    </w:tbl>
    <w:p>
      <w:pPr>
        <w:sectPr>
          <w:pgSz w:w="11900" w:h="16838" w:orient="portrait"/>
          <w:cols w:equalWidth="0" w:num="1">
            <w:col w:w="11380"/>
          </w:cols>
          <w:pgMar w:left="240" w:top="280" w:right="279" w:bottom="1440" w:gutter="0" w:footer="0" w:header="0"/>
        </w:sectPr>
      </w:pPr>
    </w:p>
    <w:bookmarkStart w:id="6" w:name="page7"/>
    <w:bookmarkEnd w:id="6"/>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ACADIA HEALTHCARE COMPANY, INC.</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4, 2012</w:t>
      </w:r>
      <w:r>
        <w:rPr>
          <w:sz w:val="20"/>
          <w:szCs w:val="20"/>
          <w:color w:val="auto"/>
        </w:rPr>
        <w:tab/>
      </w:r>
      <w:r>
        <w:rPr>
          <w:rFonts w:ascii="Arial" w:cs="Arial" w:eastAsia="Arial" w:hAnsi="Arial"/>
          <w:sz w:val="16"/>
          <w:szCs w:val="16"/>
          <w:color w:val="auto"/>
        </w:rPr>
        <w:t>By: /s/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Christopher L. Howard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Executive Vice President, Secretary and General Counsel</w:t>
      </w:r>
    </w:p>
    <w:p>
      <w:pPr>
        <w:sectPr>
          <w:pgSz w:w="11900" w:h="16838" w:orient="portrait"/>
          <w:cols w:equalWidth="0" w:num="1">
            <w:col w:w="10540"/>
          </w:cols>
          <w:pgMar w:left="240" w:top="274" w:right="11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088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1"/>
              </w:rPr>
              <w:t>Sixth Amendment to the Credit Agreement, dated as of November 9, 2012, by and among Bank of America, NA (Administrative Agent, Swing</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89"/>
              </w:rPr>
              <w:t>Line Lender and L/C Issuer), Acadia Healthcare Company, Inc. (f/k/a Acadia Healthcare Company, LLC), and the lenders listed on the signature</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pages thereto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89"/>
              </w:rPr>
              <w:t>Consent of Lattimore Black Morgan &amp; Cain, an independent registered public accounting firm, with respect to the audited financials of Behavioral</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Centers of America,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0"/>
              </w:rPr>
              <w:t>Consent of Lattimore Black Morgan &amp; Cain, an independent registered public accounting firm, with respect to the audited financials of AmiCare</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Behavioral Centers,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2"/>
              </w:rPr>
              <w:t>Consent of Ernst &amp; Young LLP, independent auditors, with respect to the audited combined financials of Haven Hospital Holdings, LLC and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Haven Hospital Holdings of Texas,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23.4</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2"/>
              </w:rPr>
              <w:t>Consent of Ernst &amp; Young LLP, independent auditors, with respect to the audited financials of Youth and Family Centered Services, Inc. and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Subsidiaries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23.5</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89"/>
              </w:rPr>
              <w:t>Consent of BDO USA, LLP, an independent registered public accounting firm, with respect to the audited financials of PHC, Inc. and Subsidiaries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23.6</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w w:val="99"/>
              </w:rPr>
              <w:t>Consent of Ernst &amp; Young LLP, independent auditors, with respect to the audited financials of HHC Delaware, Inc. and Subsidiary</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Unaudited Pro Forma Condensed Combined Financial Information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Behavioral Centers of America, LLC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AmiCare Behavioral Centers, LLC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Haven Hospital Holdings, LLC and Haven Hospital Holdings of Texas, LLC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99.5</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Youth and Family Centered Services, Inc.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99.6</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PHC, Inc. and Subsidiaries listed in Item 8.01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99.7</w:t>
            </w:r>
          </w:p>
        </w:tc>
        <w:tc>
          <w:tcPr>
            <w:tcW w:w="10880" w:type="dxa"/>
            <w:vAlign w:val="bottom"/>
            <w:gridSpan w:val="3"/>
          </w:tcPr>
          <w:p>
            <w:pPr>
              <w:ind w:left="580"/>
              <w:spacing w:after="0"/>
              <w:rPr>
                <w:sz w:val="20"/>
                <w:szCs w:val="20"/>
                <w:color w:val="auto"/>
              </w:rPr>
            </w:pPr>
            <w:r>
              <w:rPr>
                <w:rFonts w:ascii="Arial" w:cs="Arial" w:eastAsia="Arial" w:hAnsi="Arial"/>
                <w:sz w:val="18"/>
                <w:szCs w:val="18"/>
                <w:color w:val="auto"/>
              </w:rPr>
              <w:t>Financial Statements of HHC Delaware, Inc. and Subsidiary listed in Item 8.01</w:t>
            </w:r>
          </w:p>
        </w:tc>
      </w:tr>
    </w:tbl>
    <w:p>
      <w:pPr>
        <w:ind w:left="580"/>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AMENDMENT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THIS SIXTH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November 9, 2012, to the Credit Agreement referenced below is by and among Acadia Healthcare Company, Inc. (f/k/a Acadia Healthcare Company, LLC),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identified on the signature pages hereto, the Lenders identified on the signature pages hereto and Bank of America, N.A., in its capacity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WHEREAS, revolving credit and term loan facilities have been extended to the Borrower pursuant to the Credit Agreement (as amended, modified, supplemented, increased and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April 1, 2011, by and among the Borrower, the Guarantors identified therein, the Lenders identified therein and the Administrative Agent; and</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Borrower has requested certain modifications to the Credit Agreement and the Required Lenders have agreed to such modifications to the Credit Agreement on the terms and conditions set forth herein.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Defined Terms</w:t>
      </w:r>
      <w:r>
        <w:rPr>
          <w:rFonts w:ascii="Arial" w:cs="Arial" w:eastAsia="Arial" w:hAnsi="Arial"/>
          <w:sz w:val="15"/>
          <w:szCs w:val="15"/>
          <w:color w:val="auto"/>
        </w:rPr>
        <w:t>. Capitalized terms used herein but not otherwise defined herein shall have the meanings provided to such terms in the Credit Agreement.</w:t>
      </w:r>
    </w:p>
    <w:p>
      <w:pPr>
        <w:spacing w:after="0" w:line="124" w:lineRule="exact"/>
        <w:rPr>
          <w:rFonts w:ascii="Arial" w:cs="Arial" w:eastAsia="Arial" w:hAnsi="Arial"/>
          <w:sz w:val="15"/>
          <w:szCs w:val="15"/>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Credit Agreement is amended as follows:</w:t>
      </w:r>
    </w:p>
    <w:p>
      <w:pPr>
        <w:spacing w:after="0" w:line="90"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2.1 In the definition of “</w:t>
      </w:r>
      <w:r>
        <w:rPr>
          <w:rFonts w:ascii="Arial" w:cs="Arial" w:eastAsia="Arial" w:hAnsi="Arial"/>
          <w:sz w:val="18"/>
          <w:szCs w:val="18"/>
          <w:u w:val="single" w:color="auto"/>
          <w:color w:val="auto"/>
        </w:rPr>
        <w:t>Consolidated EBITDA</w:t>
      </w:r>
      <w:r>
        <w:rPr>
          <w:rFonts w:ascii="Arial" w:cs="Arial" w:eastAsia="Arial" w:hAnsi="Arial"/>
          <w:sz w:val="18"/>
          <w:szCs w:val="18"/>
          <w:color w:val="auto"/>
        </w:rPr>
        <w:t>” in Section 1.01, in clause (b) the “and” after clause (xxvii) is deleted and replaced with a “;” and a new clause (xxix) is inserted after clause (xxviii) to read as follows:</w:t>
      </w:r>
    </w:p>
    <w:p>
      <w:pPr>
        <w:spacing w:after="0" w:line="51"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 xml:space="preserve">and; (xxix) for any period of four fiscal quarters ending after the effective date of the Sixth Amendment to this Agreement, fees and out-of-pocket expenses incurred in such period in connection with any Permitted Acquisition (whether or not consummated) in an amount not to exceed 10% of the aggregate consideration of such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amount of fees and out-of-pocket expenses added back pursuant to this clause (xxix) for all Permitted Acquisitions in such period shall not exceed $3,000,000;</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The following definitions are added to Section 1.01 in the appropriate alphabetical order to read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Park Royal</w:t>
      </w:r>
      <w:r>
        <w:rPr>
          <w:rFonts w:ascii="Arial" w:cs="Arial" w:eastAsia="Arial" w:hAnsi="Arial"/>
          <w:sz w:val="18"/>
          <w:szCs w:val="18"/>
          <w:color w:val="auto"/>
        </w:rPr>
        <w:t>” means, The Pavilion at HealthPark, LLC, a Florida limited liability company, d/b/a Park Royal Hospital.</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Park Royal IRB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ectPr>
          <w:pgSz w:w="11900" w:h="16838" w:orient="portrait"/>
          <w:cols w:equalWidth="0" w:num="1">
            <w:col w:w="11420"/>
          </w:cols>
          <w:pgMar w:left="240" w:top="131" w:right="239" w:bottom="1440" w:gutter="0" w:footer="0" w:header="0"/>
        </w:sectPr>
      </w:pPr>
    </w:p>
    <w:bookmarkStart w:id="9" w:name="page10"/>
    <w:bookmarkEnd w:id="9"/>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In Section 7.12 of the Credit Agreement the following is added to the end of that section before the period:</w:t>
      </w:r>
    </w:p>
    <w:p>
      <w:pPr>
        <w:spacing w:after="0" w:line="90" w:lineRule="exact"/>
        <w:rPr>
          <w:sz w:val="20"/>
          <w:szCs w:val="20"/>
          <w:color w:val="auto"/>
        </w:rPr>
      </w:pPr>
    </w:p>
    <w:p>
      <w:pPr>
        <w:ind w:left="840" w:right="3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Park Royal shall not be required to become a Guarantor so long as the Park Royal IRB Debt prohibits Park Royal from granting a Guaranty of the Obligations.</w:t>
      </w:r>
    </w:p>
    <w:p>
      <w:pPr>
        <w:spacing w:after="0" w:line="51" w:lineRule="exact"/>
        <w:rPr>
          <w:sz w:val="20"/>
          <w:szCs w:val="20"/>
          <w:color w:val="auto"/>
        </w:rPr>
      </w:pPr>
    </w:p>
    <w:p>
      <w:pPr>
        <w:ind w:left="380" w:right="320"/>
        <w:spacing w:after="0" w:line="268" w:lineRule="auto"/>
        <w:rPr>
          <w:sz w:val="20"/>
          <w:szCs w:val="20"/>
          <w:color w:val="auto"/>
        </w:rPr>
      </w:pPr>
      <w:r>
        <w:rPr>
          <w:rFonts w:ascii="Arial" w:cs="Arial" w:eastAsia="Arial" w:hAnsi="Arial"/>
          <w:sz w:val="18"/>
          <w:szCs w:val="18"/>
          <w:color w:val="auto"/>
        </w:rPr>
        <w:t>2.4 In Section 8.01 of the Credit Agreement the “and” after clause (t) is deleted, clause (u) is renumbered clause (v) and a new clause (u) is added after clause (t) to read as follows:</w:t>
      </w:r>
    </w:p>
    <w:p>
      <w:pPr>
        <w:spacing w:after="0" w:line="51" w:lineRule="exact"/>
        <w:rPr>
          <w:sz w:val="20"/>
          <w:szCs w:val="20"/>
          <w:color w:val="auto"/>
        </w:rPr>
      </w:pPr>
    </w:p>
    <w:p>
      <w:pPr>
        <w:ind w:left="840" w:right="240" w:firstLine="1"/>
        <w:spacing w:after="0" w:line="332" w:lineRule="auto"/>
        <w:tabs>
          <w:tab w:leader="none" w:pos="10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Liens securing the Park Royal IRB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does not at any time encumber any property other than the assets of Park Royal described in the documents governing the Park Royal IRB Debt as of the date of the Permitted Acquisition of Park Royal; and</w:t>
      </w:r>
    </w:p>
    <w:p>
      <w:pPr>
        <w:spacing w:after="0" w:line="4" w:lineRule="exact"/>
        <w:rPr>
          <w:sz w:val="20"/>
          <w:szCs w:val="20"/>
          <w:color w:val="auto"/>
        </w:rPr>
      </w:pPr>
    </w:p>
    <w:p>
      <w:pPr>
        <w:ind w:left="380" w:right="360"/>
        <w:spacing w:after="0" w:line="268" w:lineRule="auto"/>
        <w:rPr>
          <w:sz w:val="20"/>
          <w:szCs w:val="20"/>
          <w:color w:val="auto"/>
        </w:rPr>
      </w:pPr>
      <w:r>
        <w:rPr>
          <w:rFonts w:ascii="Arial" w:cs="Arial" w:eastAsia="Arial" w:hAnsi="Arial"/>
          <w:sz w:val="18"/>
          <w:szCs w:val="18"/>
          <w:color w:val="auto"/>
        </w:rPr>
        <w:t>2.5 In Section 8.02 of the Credit Agreement, the “and” after clause (j) is deleted, clause (k) is renumbered clause (m) and a new clauses (k) and (l) are inserted to read as follows:</w:t>
      </w:r>
    </w:p>
    <w:p>
      <w:pPr>
        <w:spacing w:after="0" w:line="51" w:lineRule="exact"/>
        <w:rPr>
          <w:sz w:val="20"/>
          <w:szCs w:val="20"/>
          <w:color w:val="auto"/>
        </w:rPr>
      </w:pPr>
    </w:p>
    <w:p>
      <w:pPr>
        <w:ind w:left="1080" w:hanging="239"/>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in Park Royal for working capital in an amount not to exceed $3 million in the aggregate at any time outstanding;</w:t>
      </w:r>
    </w:p>
    <w:p>
      <w:pPr>
        <w:spacing w:after="0" w:line="90" w:lineRule="exact"/>
        <w:rPr>
          <w:rFonts w:ascii="Arial" w:cs="Arial" w:eastAsia="Arial" w:hAnsi="Arial"/>
          <w:sz w:val="18"/>
          <w:szCs w:val="18"/>
          <w:color w:val="auto"/>
        </w:rPr>
      </w:pPr>
    </w:p>
    <w:p>
      <w:pPr>
        <w:ind w:left="840" w:right="100" w:firstLine="1"/>
        <w:spacing w:after="0" w:line="259" w:lineRule="auto"/>
        <w:tabs>
          <w:tab w:leader="none" w:pos="10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Investments by any Loan Party consisting of the purchase of bonds issued by the Lee County Industrial Development Authority, the proceeds of which were used to fund the Park Royal IRB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shall have occurred and be continuing at the time of such purchase; and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2.6 In Section 8.03 of the Credit Agreement clause (f) is amended in its entirety to read as follows:</w:t>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(f) Guarantees with respect to Indebtedness permitted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other than the Park Royal IRB Debt;</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2.7 In Section 8.03 of the Credit Agreement clause (n) is renumbered clause (o) and a new clause (n) is added after clause (m) to read as follows:</w:t>
      </w:r>
    </w:p>
    <w:p>
      <w:pPr>
        <w:spacing w:after="0" w:line="113" w:lineRule="exact"/>
        <w:rPr>
          <w:sz w:val="20"/>
          <w:szCs w:val="20"/>
          <w:color w:val="auto"/>
        </w:rPr>
      </w:pPr>
    </w:p>
    <w:p>
      <w:pPr>
        <w:ind w:left="840" w:right="220" w:firstLine="1"/>
        <w:spacing w:after="0" w:line="268" w:lineRule="auto"/>
        <w:tabs>
          <w:tab w:leader="none" w:pos="10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Indebtedness of Park Royal constituting loans from the Lee County Industrial Development Authority in an amount not to exceed $23 million assumed in connection with the Permitted Acquisition of Park Royal (the “</w:t>
      </w:r>
      <w:r>
        <w:rPr>
          <w:rFonts w:ascii="Arial" w:cs="Arial" w:eastAsia="Arial" w:hAnsi="Arial"/>
          <w:sz w:val="18"/>
          <w:szCs w:val="18"/>
          <w:u w:val="single" w:color="auto"/>
          <w:color w:val="auto"/>
        </w:rPr>
        <w:t>Park Royal IRB Debt</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left="-80" w:right="260" w:firstLine="464"/>
        <w:spacing w:after="0" w:line="268" w:lineRule="auto"/>
        <w:tabs>
          <w:tab w:leader="none" w:pos="5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become effective as of the date hereof upon receipt by the Administrative Agent of counterparts of this Amendment executed by the Borrower, the Guarantors, the Required Lenders and the Administrative Agent.</w:t>
      </w:r>
    </w:p>
    <w:p>
      <w:pPr>
        <w:spacing w:after="0" w:line="131" w:lineRule="exact"/>
        <w:rPr>
          <w:rFonts w:ascii="Arial" w:cs="Arial" w:eastAsia="Arial" w:hAnsi="Arial"/>
          <w:sz w:val="18"/>
          <w:szCs w:val="18"/>
          <w:color w:val="auto"/>
        </w:rPr>
      </w:pPr>
    </w:p>
    <w:p>
      <w:pPr>
        <w:ind w:left="-80" w:right="240" w:firstLine="464"/>
        <w:spacing w:after="0" w:line="259" w:lineRule="auto"/>
        <w:tabs>
          <w:tab w:leader="none" w:pos="5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 is a “Loan Document”</w:t>
      </w:r>
      <w:r>
        <w:rPr>
          <w:rFonts w:ascii="Arial" w:cs="Arial" w:eastAsia="Arial" w:hAnsi="Arial"/>
          <w:sz w:val="18"/>
          <w:szCs w:val="18"/>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140" w:lineRule="exact"/>
        <w:rPr>
          <w:rFonts w:ascii="Arial" w:cs="Arial" w:eastAsia="Arial" w:hAnsi="Arial"/>
          <w:sz w:val="18"/>
          <w:szCs w:val="18"/>
          <w:color w:val="auto"/>
        </w:rPr>
      </w:pPr>
    </w:p>
    <w:p>
      <w:pPr>
        <w:ind w:left="-80" w:firstLine="464"/>
        <w:spacing w:after="0" w:line="294" w:lineRule="auto"/>
        <w:tabs>
          <w:tab w:leader="none" w:pos="55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Each Loan Party represents and warrants to the Administrative Agent and each Lender that after giving effect to this Amendment (a) the representations and warranties of each Loan Party contained in the Credit Agreement or any other Loan Document, or which are contained in any document furnished at any time under or in connection with the Credit Agreement or any other Loan Document are true and correct in all material respects on and as of the date hereof, except to the extent that such representations and warranties specifically refer to an earlier date, in which case such representations and warranties are true and correct in all material respects as of such earlier date, and (b) no Default exists.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80" w:right="299" w:bottom="1440" w:gutter="0" w:footer="0" w:header="0"/>
        </w:sectPr>
      </w:pPr>
    </w:p>
    <w:bookmarkStart w:id="10" w:name="page11"/>
    <w:bookmarkEnd w:id="10"/>
    <w:p>
      <w:pPr>
        <w:ind w:left="-60" w:firstLine="464"/>
        <w:spacing w:after="0" w:line="259"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Reaffirmation of Obligations</w:t>
      </w:r>
      <w:r>
        <w:rPr>
          <w:rFonts w:ascii="Arial" w:cs="Arial" w:eastAsia="Arial" w:hAnsi="Arial"/>
          <w:sz w:val="18"/>
          <w:szCs w:val="18"/>
          <w:color w:val="auto"/>
        </w:rPr>
        <w:t>. Each Loan Party (a) acknowledges and consents to all of the terms and conditions of this Amendment, (b) affirms all of its obligations under the Loan Documents and (c) agrees that this Amendment does not operate to reduce or discharge such Loan Party’s obligations under the Loan Documents.</w:t>
      </w:r>
    </w:p>
    <w:p>
      <w:pPr>
        <w:spacing w:after="0" w:line="140" w:lineRule="exact"/>
        <w:rPr>
          <w:rFonts w:ascii="Arial" w:cs="Arial" w:eastAsia="Arial" w:hAnsi="Arial"/>
          <w:sz w:val="18"/>
          <w:szCs w:val="18"/>
          <w:color w:val="auto"/>
        </w:rPr>
      </w:pPr>
    </w:p>
    <w:p>
      <w:pPr>
        <w:ind w:left="-60" w:right="240" w:firstLine="464"/>
        <w:spacing w:after="0" w:line="259"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Reaffirmation of Security Interests</w:t>
      </w:r>
      <w:r>
        <w:rPr>
          <w:rFonts w:ascii="Arial" w:cs="Arial" w:eastAsia="Arial" w:hAnsi="Arial"/>
          <w:sz w:val="18"/>
          <w:szCs w:val="18"/>
          <w:color w:val="auto"/>
        </w:rPr>
        <w:t>. Each Loan Party (a) affirms that each of the Liens granted in or pursuant to the Loan Documents are valid and subsisting and (b) agrees that this Amendment does not in any manner impair or otherwise adversely affect any of the Liens granted in or pursuant to the Loan Documents.</w:t>
      </w:r>
    </w:p>
    <w:p>
      <w:pPr>
        <w:spacing w:after="0" w:line="140" w:lineRule="exact"/>
        <w:rPr>
          <w:rFonts w:ascii="Arial" w:cs="Arial" w:eastAsia="Arial" w:hAnsi="Arial"/>
          <w:sz w:val="18"/>
          <w:szCs w:val="18"/>
          <w:color w:val="auto"/>
        </w:rPr>
      </w:pPr>
    </w:p>
    <w:p>
      <w:pPr>
        <w:ind w:left="580" w:hanging="17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 Other Changes</w:t>
      </w:r>
      <w:r>
        <w:rPr>
          <w:rFonts w:ascii="Arial" w:cs="Arial" w:eastAsia="Arial" w:hAnsi="Arial"/>
          <w:sz w:val="16"/>
          <w:szCs w:val="16"/>
          <w:color w:val="auto"/>
        </w:rPr>
        <w:t>. Except as modified hereby, all of the terms and provisions of the Loan Documents shall remain in full force and effect.</w:t>
      </w:r>
    </w:p>
    <w:p>
      <w:pPr>
        <w:spacing w:after="0" w:line="194" w:lineRule="exact"/>
        <w:rPr>
          <w:rFonts w:ascii="Arial" w:cs="Arial" w:eastAsia="Arial" w:hAnsi="Arial"/>
          <w:sz w:val="16"/>
          <w:szCs w:val="16"/>
          <w:color w:val="auto"/>
        </w:rPr>
      </w:pPr>
    </w:p>
    <w:p>
      <w:pPr>
        <w:jc w:val="both"/>
        <w:ind w:left="-60" w:right="20" w:firstLine="464"/>
        <w:spacing w:after="0" w:line="259"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Counterparts; Delivery</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facsimile or other electronic imaging means shall be effective as an original.</w:t>
      </w:r>
    </w:p>
    <w:p>
      <w:pPr>
        <w:spacing w:after="0" w:line="140" w:lineRule="exact"/>
        <w:rPr>
          <w:rFonts w:ascii="Arial" w:cs="Arial" w:eastAsia="Arial" w:hAnsi="Arial"/>
          <w:sz w:val="18"/>
          <w:szCs w:val="18"/>
          <w:color w:val="auto"/>
        </w:rPr>
      </w:pPr>
    </w:p>
    <w:p>
      <w:pPr>
        <w:ind w:left="-60" w:right="60" w:firstLine="464"/>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a contract made under, and for all purposes shall be construed in accordance with, the laws of the State of New York.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11" w:name="page12"/>
    <w:bookmarkEnd w:id="1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5"/>
          <w:szCs w:val="15"/>
          <w:i w:val="1"/>
          <w:iCs w:val="1"/>
          <w:color w:val="auto"/>
        </w:rPr>
        <w:t>,</w:t>
      </w:r>
      <w:r>
        <w:rPr>
          <w:rFonts w:ascii="Arial" w:cs="Arial" w:eastAsia="Arial" w:hAnsi="Arial"/>
          <w:sz w:val="15"/>
          <w:szCs w:val="15"/>
          <w:color w:val="auto"/>
        </w:rPr>
        <w:t xml:space="preserve"> the parties hereto have caused this Sixth Amendment to be duly executed as of the date first above written.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BORROWER:</w:t>
            </w: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HEALTHCARE COMPANY, INC.,</w:t>
            </w:r>
          </w:p>
        </w:tc>
      </w:tr>
      <w:tr>
        <w:trPr>
          <w:trHeight w:val="222"/>
        </w:trPr>
        <w:tc>
          <w:tcPr>
            <w:tcW w:w="1440" w:type="dxa"/>
            <w:vAlign w:val="bottom"/>
          </w:tcPr>
          <w:p>
            <w:pPr>
              <w:spacing w:after="0"/>
              <w:rPr>
                <w:sz w:val="19"/>
                <w:szCs w:val="19"/>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 Delaware corporation</w:t>
            </w:r>
          </w:p>
        </w:tc>
      </w:tr>
      <w:tr>
        <w:trPr>
          <w:trHeight w:val="394"/>
        </w:trPr>
        <w:tc>
          <w:tcPr>
            <w:tcW w:w="1440" w:type="dxa"/>
            <w:vAlign w:val="bottom"/>
          </w:tcPr>
          <w:p>
            <w:pPr>
              <w:spacing w:after="0"/>
              <w:rPr>
                <w:sz w:val="24"/>
                <w:szCs w:val="24"/>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By: /s/ Brent Turner</w:t>
            </w:r>
          </w:p>
        </w:tc>
      </w:tr>
      <w:tr>
        <w:trPr>
          <w:trHeight w:val="20"/>
        </w:trPr>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28"/>
        </w:trPr>
        <w:tc>
          <w:tcPr>
            <w:tcW w:w="1440" w:type="dxa"/>
            <w:vAlign w:val="bottom"/>
          </w:tcPr>
          <w:p>
            <w:pPr>
              <w:spacing w:after="0"/>
              <w:rPr>
                <w:sz w:val="19"/>
                <w:szCs w:val="19"/>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Name: Brent Turner</w:t>
            </w:r>
          </w:p>
        </w:tc>
      </w:tr>
      <w:tr>
        <w:trPr>
          <w:trHeight w:val="222"/>
        </w:trPr>
        <w:tc>
          <w:tcPr>
            <w:tcW w:w="1440" w:type="dxa"/>
            <w:vAlign w:val="bottom"/>
          </w:tcPr>
          <w:p>
            <w:pPr>
              <w:spacing w:after="0"/>
              <w:rPr>
                <w:sz w:val="19"/>
                <w:szCs w:val="19"/>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Title: President</w:t>
            </w: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GUARANTORS:</w:t>
            </w: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MANAGEMENT COMPANY, INC., a Delaware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ACADIA-YFCS HOLDINGS, INC., a Delaware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6"/>
              </w:rPr>
              <w:t>YOUTH &amp; FAMILY CENTERED SERVICES, INC., a Georgia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HOSPITAL OF LONGVIEW, LLC,</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 Delaware limited liability company</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3"/>
              </w:rPr>
              <w:t>KIDS BEHAVIORAL HEALTH OF MONTANA, INC., a Montana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VILLAGE, LLC, a Delaware limited liability company</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LAKEVIEW BEHAVIORAL HEALTH SYSTEM LLC,</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 Delaware limited liability company</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RIVERWOODS, LLC, a Delaware limited liability company</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LOUISIANA, LLC, a Delaware limited liability company</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ABILENE, LLC, a Delaware limited liability company</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ACADIA HOSPITAL OF LAFAYETTE, LLC,</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 Delaware limited liability company</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YFCS MANAGEMENT, INC., a Georgia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YFCS HOLDINGS-GEORGIA, INC., a Georgia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4"/>
              </w:rPr>
              <w:t>OPTIONS COMMUNITY BASED SERVICES, INC., an Indiana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OPTIONS TREATMENT CENTER ACQUISITION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an Indiana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RESOLUTE ACQUISITION CORPORATION, an Indiana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1"/>
              </w:rPr>
              <w:t>RESOURCE COMMUNITY BASED SERVICES, INC., an Indiana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4"/>
              </w:rPr>
              <w:t>RTC RESOURCE ACQUISITION CORPORATION, an Indiana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SUCCESS ACQUISITION CORPORATION, an Indiana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ASCENT ACQUISITION CORPORATION, an Arkansas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1"/>
              </w:rPr>
              <w:t>SOUTHWOOD PSYCHIATRIC HOSPITAL, INC., a Pennsylvania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MEMORIAL HOSPITAL ACQUISITION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 New Mexico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MILLCREEK MANAGEMENT CORPORATION, a Georgia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REHABILITATION CENTERS, INC., a Mississippi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LAKELAND HOSPITAL ACQUISITION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 Georgia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3"/>
              </w:rPr>
              <w:t>PSYCHSOLUTIONS ACQUISITION CORPORATION, a Florida corporation</w:t>
            </w:r>
          </w:p>
        </w:tc>
      </w:tr>
      <w:tr>
        <w:trPr>
          <w:trHeight w:val="216"/>
        </w:trPr>
        <w:tc>
          <w:tcPr>
            <w:tcW w:w="144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w w:val="96"/>
              </w:rPr>
              <w:t>YOUTH AND FAMILY CENTERED SERVICES OF NEW MEXICO, INC.,</w:t>
            </w:r>
          </w:p>
        </w:tc>
      </w:tr>
      <w:tr>
        <w:trPr>
          <w:trHeight w:val="222"/>
        </w:trPr>
        <w:tc>
          <w:tcPr>
            <w:tcW w:w="1440" w:type="dxa"/>
            <w:vAlign w:val="bottom"/>
          </w:tcPr>
          <w:p>
            <w:pPr>
              <w:spacing w:after="0"/>
              <w:rPr>
                <w:sz w:val="19"/>
                <w:szCs w:val="19"/>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 New Mexico corporation</w:t>
            </w:r>
          </w:p>
        </w:tc>
      </w:tr>
      <w:tr>
        <w:trPr>
          <w:trHeight w:val="394"/>
        </w:trPr>
        <w:tc>
          <w:tcPr>
            <w:tcW w:w="1440" w:type="dxa"/>
            <w:vAlign w:val="bottom"/>
          </w:tcPr>
          <w:p>
            <w:pPr>
              <w:spacing w:after="0"/>
              <w:rPr>
                <w:sz w:val="24"/>
                <w:szCs w:val="24"/>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By: /s/ Brent Turner</w:t>
            </w:r>
          </w:p>
        </w:tc>
      </w:tr>
      <w:tr>
        <w:trPr>
          <w:trHeight w:val="20"/>
        </w:trPr>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28"/>
        </w:trPr>
        <w:tc>
          <w:tcPr>
            <w:tcW w:w="1440" w:type="dxa"/>
            <w:vAlign w:val="bottom"/>
          </w:tcPr>
          <w:p>
            <w:pPr>
              <w:spacing w:after="0"/>
              <w:rPr>
                <w:sz w:val="19"/>
                <w:szCs w:val="19"/>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Name: Brent Turner</w:t>
            </w:r>
          </w:p>
        </w:tc>
      </w:tr>
      <w:tr>
        <w:trPr>
          <w:trHeight w:val="222"/>
        </w:trPr>
        <w:tc>
          <w:tcPr>
            <w:tcW w:w="1440" w:type="dxa"/>
            <w:vAlign w:val="bottom"/>
          </w:tcPr>
          <w:p>
            <w:pPr>
              <w:spacing w:after="0"/>
              <w:rPr>
                <w:sz w:val="19"/>
                <w:szCs w:val="19"/>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Title: President</w:t>
            </w:r>
          </w:p>
        </w:tc>
      </w:tr>
      <w:tr>
        <w:trPr>
          <w:trHeight w:val="378"/>
        </w:trPr>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80" w:type="dxa"/>
            <w:vAlign w:val="bottom"/>
          </w:tcPr>
          <w:p>
            <w:pPr>
              <w:ind w:left="1020"/>
              <w:spacing w:after="0"/>
              <w:rPr>
                <w:sz w:val="20"/>
                <w:szCs w:val="20"/>
                <w:color w:val="auto"/>
              </w:rPr>
            </w:pPr>
            <w:r>
              <w:rPr>
                <w:rFonts w:ascii="Arial" w:cs="Arial" w:eastAsia="Arial" w:hAnsi="Arial"/>
                <w:sz w:val="18"/>
                <w:szCs w:val="18"/>
                <w:color w:val="auto"/>
              </w:rPr>
              <w:t>[SIGNATURE PAGES CONTINUE]</w:t>
            </w:r>
          </w:p>
        </w:tc>
      </w:tr>
    </w:tbl>
    <w:p>
      <w:pPr>
        <w:sectPr>
          <w:pgSz w:w="11900" w:h="16838" w:orient="portrait"/>
          <w:cols w:equalWidth="0" w:num="1">
            <w:col w:w="10219"/>
          </w:cols>
          <w:pgMar w:left="240" w:top="280" w:right="1440"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SOUTHWESTERN CHILDREN’S HEALTH SERVICES, INC., an Arizona corporation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YOUTH AND FAMILY CENTERED SERVICES OF FLORIDA, INC.,a Florida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PEDIATRIC SPECIALTY CARE, INC., an Arkansas corporation</w:t>
      </w:r>
    </w:p>
    <w:p>
      <w:pPr>
        <w:spacing w:after="0" w:line="9" w:lineRule="exact"/>
        <w:rPr>
          <w:sz w:val="20"/>
          <w:szCs w:val="20"/>
          <w:color w:val="auto"/>
        </w:rPr>
      </w:pPr>
    </w:p>
    <w:p>
      <w:pPr>
        <w:ind w:left="420" w:right="2959"/>
        <w:spacing w:after="0" w:line="250" w:lineRule="auto"/>
        <w:rPr>
          <w:sz w:val="20"/>
          <w:szCs w:val="20"/>
          <w:color w:val="auto"/>
        </w:rPr>
      </w:pPr>
      <w:r>
        <w:rPr>
          <w:rFonts w:ascii="Arial" w:cs="Arial" w:eastAsia="Arial" w:hAnsi="Arial"/>
          <w:sz w:val="18"/>
          <w:szCs w:val="18"/>
          <w:color w:val="auto"/>
        </w:rPr>
        <w:t>CHILD &amp; YOUTH PEDIATRIC DAY CLINICS, INC, an Arkansas corporation MED PROPERTIES, INC., an Arkansas corporation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ASCENT ACQUISITION CORPORATION-CYPDC, an Arkansas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ASCENT ACQUISITION CORPORATION-PSC, an Arkansas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MEDUCARE TRANSPORT, L.L.C., an Arkansas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PEDIATRIC SPECIALTY CARE PROPERTIES, LLC,an Arkansas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CHILDRENS MEDICAL TRANSPORTATION SERVICES, LLC,an Arkansas limited liability company</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MILLCREEK SCHOOLS INC., a Mississippi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HABILITATION CENTER, INC., an Arkansas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MILLCREEK SCHOOL OF ARKANSAS, INC., an Arkansas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PSYCHSOLUTIONS, INC., a Florida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WELLPLACE, INC., a Massachusetts corporation</w:t>
      </w:r>
    </w:p>
    <w:p>
      <w:pPr>
        <w:spacing w:after="0" w:line="9" w:lineRule="exact"/>
        <w:rPr>
          <w:sz w:val="20"/>
          <w:szCs w:val="20"/>
          <w:color w:val="auto"/>
        </w:rPr>
      </w:pPr>
    </w:p>
    <w:p>
      <w:pPr>
        <w:ind w:left="420" w:right="3239"/>
        <w:spacing w:after="0" w:line="281" w:lineRule="auto"/>
        <w:rPr>
          <w:sz w:val="20"/>
          <w:szCs w:val="20"/>
          <w:color w:val="auto"/>
        </w:rPr>
      </w:pPr>
      <w:r>
        <w:rPr>
          <w:rFonts w:ascii="Arial" w:cs="Arial" w:eastAsia="Arial" w:hAnsi="Arial"/>
          <w:sz w:val="16"/>
          <w:szCs w:val="16"/>
          <w:color w:val="auto"/>
        </w:rPr>
        <w:t>DETROIT BEHAVIORAL INSTITUTE, INC., a Massachusetts corporation RENAISSANCE RECOVERY, INC., a Massachusetts corporation</w:t>
      </w:r>
    </w:p>
    <w:p>
      <w:pPr>
        <w:spacing w:after="0" w:line="1" w:lineRule="exact"/>
        <w:rPr>
          <w:sz w:val="20"/>
          <w:szCs w:val="20"/>
          <w:color w:val="auto"/>
        </w:rPr>
      </w:pPr>
    </w:p>
    <w:p>
      <w:pPr>
        <w:ind w:left="420" w:right="3539"/>
        <w:spacing w:after="0" w:line="250" w:lineRule="auto"/>
        <w:rPr>
          <w:sz w:val="20"/>
          <w:szCs w:val="20"/>
          <w:color w:val="auto"/>
        </w:rPr>
      </w:pPr>
      <w:r>
        <w:rPr>
          <w:rFonts w:ascii="Arial" w:cs="Arial" w:eastAsia="Arial" w:hAnsi="Arial"/>
          <w:sz w:val="18"/>
          <w:szCs w:val="18"/>
          <w:color w:val="auto"/>
        </w:rPr>
        <w:t>PHC OF MICHIGAN, INC., a Massachusetts corporation NORTH POINT PIONEER, INC., a Massachusetts PHC MEADOWWOOD, INC., a Delaware corporation PHC OF UTAH, INC., a Massachusetts corporation PHC OF VIRGINIA, INC., a Massachusetts corporation PHC OF NEVADA, INC., a Massachusetts corporation SEVEN HILLS HOSPITAL, INC., a Delaware corporation BEHAVIORAL HEALTH ONLINE, INC., a Massachusetts corporation</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REBOUND BEHAVIORAL HEALTH, LLC,a South Carolina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PSYCHIATRIC RESOURCE PARTNERS, INC.,a Delaware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SUNCOAST BEHAVIORAL, LLC, a Delaware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ACADIA MERGER SUB, LLC, a Delaware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HERMITAGE BEHAVIORAL, LLC, a Delaware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RED RIVER HOSPITAL, LLC, a Delaware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SONORA BEHAVIORAL HEALTH HOSPITAL, LLC,a Delaware limited liability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ROLLING HILLS PROPERTIES, INC., an Oklahoma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ROLLING HILLS HOSPITAL, INC., an Oklahoma corporation</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Brent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-13970</wp:posOffset>
            </wp:positionV>
            <wp:extent cx="930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091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Brent Turner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9019"/>
          </w:cols>
          <w:pgMar w:left="1440" w:top="280" w:right="1440" w:bottom="1440" w:gutter="0" w:footer="0" w:header="0"/>
        </w:sectPr>
      </w:pPr>
    </w:p>
    <w:bookmarkStart w:id="13" w:name="page14"/>
    <w:bookmarkEnd w:id="13"/>
    <w:p>
      <w:pPr>
        <w:spacing w:after="0"/>
        <w:tabs>
          <w:tab w:leader="none" w:pos="5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w:t>
      </w:r>
      <w:r>
        <w:rPr>
          <w:sz w:val="20"/>
          <w:szCs w:val="20"/>
          <w:color w:val="auto"/>
        </w:rPr>
        <w:tab/>
      </w:r>
      <w:r>
        <w:rPr>
          <w:rFonts w:ascii="Arial" w:cs="Arial" w:eastAsia="Arial" w:hAnsi="Arial"/>
          <w:sz w:val="16"/>
          <w:szCs w:val="16"/>
          <w:color w:val="auto"/>
        </w:rPr>
        <w:t>BANK OF AMERICA, N.A., as Administrative Agent</w:t>
      </w:r>
    </w:p>
    <w:p>
      <w:pPr>
        <w:sectPr>
          <w:pgSz w:w="11900" w:h="16838" w:orient="portrait"/>
          <w:cols w:equalWidth="0" w:num="1">
            <w:col w:w="10219"/>
          </w:cols>
          <w:pgMar w:left="240" w:top="280" w:right="1440" w:bottom="1440" w:gutter="0" w:footer="0" w:header="0"/>
        </w:sectPr>
      </w:pPr>
    </w:p>
    <w:p>
      <w:pPr>
        <w:spacing w:after="0" w:line="202" w:lineRule="exact"/>
        <w:rPr>
          <w:sz w:val="20"/>
          <w:szCs w:val="20"/>
          <w:color w:val="auto"/>
        </w:rPr>
      </w:pPr>
    </w:p>
    <w:tbl>
      <w:tblPr>
        <w:tblLayout w:type="fixed"/>
        <w:tblInd w:w="58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Roberto Salazar</w:t>
            </w:r>
          </w:p>
        </w:tc>
      </w:t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700" w:type="dxa"/>
            <w:vAlign w:val="bottom"/>
          </w:tcPr>
          <w:p>
            <w:pPr>
              <w:spacing w:after="0"/>
              <w:rPr>
                <w:sz w:val="20"/>
                <w:szCs w:val="20"/>
                <w:color w:val="auto"/>
              </w:rPr>
            </w:pPr>
            <w:r>
              <w:rPr>
                <w:rFonts w:ascii="Arial" w:cs="Arial" w:eastAsia="Arial" w:hAnsi="Arial"/>
                <w:sz w:val="18"/>
                <w:szCs w:val="18"/>
                <w:color w:val="auto"/>
              </w:rPr>
              <w:t>Roberto Salazar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7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219"/>
          </w:cols>
          <w:pgMar w:left="240" w:top="280" w:right="1440" w:bottom="1440" w:gutter="0" w:footer="0" w:header="0"/>
          <w:type w:val="continuous"/>
        </w:sectPr>
      </w:pPr>
    </w:p>
    <w:bookmarkStart w:id="14" w:name="page15"/>
    <w:bookmarkEnd w:id="14"/>
    <w:p>
      <w:pPr>
        <w:spacing w:after="0"/>
        <w:tabs>
          <w:tab w:leader="none" w:pos="16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w:t>
      </w:r>
      <w:r>
        <w:rPr>
          <w:sz w:val="20"/>
          <w:szCs w:val="20"/>
          <w:color w:val="auto"/>
        </w:rPr>
        <w:tab/>
      </w:r>
      <w:r>
        <w:rPr>
          <w:rFonts w:ascii="Arial" w:cs="Arial" w:eastAsia="Arial" w:hAnsi="Arial"/>
          <w:sz w:val="16"/>
          <w:szCs w:val="16"/>
          <w:color w:val="auto"/>
        </w:rPr>
        <w:t>BANK OF AMERICA, N.A., as a Lender, L/C Issuer and Swing Line Lender</w:t>
      </w:r>
    </w:p>
    <w:p>
      <w:pPr>
        <w:sectPr>
          <w:pgSz w:w="11900" w:h="16838" w:orient="portrait"/>
          <w:cols w:equalWidth="0" w:num="1">
            <w:col w:w="10219"/>
          </w:cols>
          <w:pgMar w:left="240" w:top="280" w:right="1440" w:bottom="1440" w:gutter="0" w:footer="0" w:header="0"/>
        </w:sect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Suzanne B.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1158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Suzanne B. Smith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FIFTH THIRD BANK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William D. Priester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1221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1740"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William D. Priester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Laura Fogarty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990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Laura Fogarty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REGIONS BANK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Gregory M. Ratliff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11995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Gregory M. Ratliff</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RAYMOND JAMES BANK, N.A.</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Alexander L. Rody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1213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Alexander L. Rody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ROYAL BANK OF CANADA</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Sharon M. 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1040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Sharon M. Liss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FIRST TENNESSEE BANK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Cathy Wind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893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344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Cathy Wind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SVP</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CAPSTAR BANK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Timothy B. Fouts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-13970</wp:posOffset>
            </wp:positionV>
            <wp:extent cx="11423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Name: Timothy B. Fouts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219"/>
          </w:cols>
          <w:pgMar w:left="240" w:top="280" w:right="1440" w:bottom="1440" w:gutter="0" w:footer="0" w:header="0"/>
          <w:type w:val="continuous"/>
        </w:sectPr>
      </w:pPr>
    </w:p>
    <w:bookmarkStart w:id="15" w:name="page16"/>
    <w:bookmarkEnd w:id="1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CAPITAL BANK,</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Formerly known as GE CAPITAL FINANCIAL INC.</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Heather-Leigh 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-13970</wp:posOffset>
            </wp:positionV>
            <wp:extent cx="12979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Heather-Leigh Glade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Duly Authorized Signatory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GENERAL ELECTRIC CAPITAL CORPORATION</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John 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-13970</wp:posOffset>
            </wp:positionV>
            <wp:extent cx="805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518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John Dale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Duly Authorized Signatory</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JEFFERIES FINANCE LLC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Michael Leder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-13970</wp:posOffset>
            </wp:positionV>
            <wp:extent cx="10090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Michael Leder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JFIN FUND III, LLC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Daniel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-13970</wp:posOffset>
            </wp:positionV>
            <wp:extent cx="953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377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Daniel Duval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General Counsel</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JFIN CLO 2007 LTD,</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Jefferies Finance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Collateral Manager</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Daniel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-13970</wp:posOffset>
            </wp:positionV>
            <wp:extent cx="953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5377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Daniel Duval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9019"/>
          </w:cols>
          <w:pgMar w:left="1440" w:top="280"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Statements on Form S-3 (Reg. No. 333-184456) pertaining to the registration of shares of common stock, Form S-8 (No. 333-177990) pertaining to the Acadia Healthcare Company, Inc. 2011 Incentive Compensation Plan, and Post-Effective Amendment No. 1 to Form S-4 on Form S-8 (No. 333-175523) pertaining to the PHC, Inc. 2004 Non-Employee Director Stock Option Plan, the PHC, Inc. 2003 Stock Purchase and Option Plan, the PHC, Inc. 1995 Employee Stock Purchase Plan and the PHC, Inc. 1993 Stock Purchase and Option Plan, of Acadia Healthcare Company, Inc., of our report dated December 3, 2012, with respect to the audited consolidated financial statements of Behavioral Centers of America, LLC, included in this Form 8-K of Acadia Healthcare Company, Inc.</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Lattimore Black Morgan &amp; Cain, PC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Brentwood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23.2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Statements on Form S-3 (Reg. No. 333-184456) pertaining to the registration of shares of common stock, Form S-8 (No. 333-177990) pertaining to the Acadia Healthcare Company, Inc. 2011 Incentive Compensation Plan, and Post-Effective Amendment No. 1 to Form S-4 on Form S-8 (No. 333-175523) pertaining to the PHC, Inc. 2004 Non-Employee Director Stock Option Plan, the PHC, Inc. 2003 Stock Purchase and Option Plan, the PHC, Inc. 1995 Employee Stock Purchase Plan and the PHC, Inc. 1993 Stock Purchase and Option Plan, of Acadia Healthcare Company, Inc., of our report dated December 3, 2012, with respect to the audited consolidated financial statements of AmiCare Behavioral Centers, LLC, included in this Form 8-K of Acadia Healthcare Company, Inc.</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Lattimore Black Morgan &amp; Cain, PC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Brentwood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ectPr>
          <w:pgSz w:w="11900" w:h="16838" w:orient="portrait"/>
          <w:cols w:equalWidth="0" w:num="1">
            <w:col w:w="11420"/>
          </w:cols>
          <w:pgMar w:left="240" w:top="1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23.3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7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S-3 No. 333-184456) and in the related Prospectus of Acadia Healthcare Company, Inc. for the registration of shares of its common stock of our report dated April 26, 2012, with respect to the combined financial statements of Haven Hospital Holdings, LLC and Haven Hospital Holdings of Texas, LLC included in this Current Report on Form 8-K of Acadia Healthcare Company, Inc.</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ectPr>
          <w:pgSz w:w="11900" w:h="16838" w:orient="portrait"/>
          <w:cols w:equalWidth="0" w:num="1">
            <w:col w:w="11420"/>
          </w:cols>
          <w:pgMar w:left="240" w:top="1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23.4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77"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S-3 No. 333-184456) and in the related Prospectus of Acadia Healthcare Company, Inc. for the registration of shares of its common stock of our report dated March 31, 2011, with respect to the consolidated financial statements of Youth and Family Centered Services, Inc. and Subsidiaries included in this Current Report on Form 8-K of Acadia Healthcare Company, Inc.</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ectPr>
          <w:pgSz w:w="11900" w:h="16838" w:orient="portrait"/>
          <w:cols w:equalWidth="0" w:num="1">
            <w:col w:w="11420"/>
          </w:cols>
          <w:pgMar w:left="240" w:top="1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23.5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We hereby consent to the incorporation by reference in the Registration Statement on Form S-3 (No. 333-184456) of Acadia Healthcare Company, Inc. and subsidiaries, of our report dated August 18, 2011, relating to the consolidated financial statements of PHC, Inc. and subsidiaries which appears in this Form 8-K.</w:t>
      </w:r>
    </w:p>
    <w:p>
      <w:pPr>
        <w:spacing w:after="0" w:line="6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BDO USA,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23.6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S-3 No. 333-184456) and in the related Prospectus of Acadia Healthcare Company, Inc. for the registration of shares of its common stock of our report dated June 24, 2011, except for Note 8 as to which the date is August 18, 2011, with respect to the consolidated financial statements of HHC Delaware, Inc. and Subsidiary included in this Current Report on Form 8-K of Acadia Healthcare Company, Inc.</w:t>
      </w:r>
    </w:p>
    <w:p>
      <w:pPr>
        <w:spacing w:after="0" w:line="14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ectPr>
          <w:pgSz w:w="11900" w:h="16838" w:orient="portrait"/>
          <w:cols w:equalWidth="0" w:num="1">
            <w:col w:w="11420"/>
          </w:cols>
          <w:pgMar w:left="240" w:top="13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following tables set forth the unaudited pro forma condensed combined financial data for Acadia Healthcare Company, Inc. (“Acadia”), Youth and Family Centered Services, Inc. (“YFCS”), PHC, Inc. (“PHC”), HHC Delaware, Inc. (“HHC Delaware”), three inpatient behavioral health facilities from Haven Behavioral Healthcare Holdings, LLC (“the Haven Facilities”), AmiCare Behavioral Centers, LLC (“AmiCare”) and Behavioral Centers of America, LLC (“BCA”) as a combined company, giving effect to:</w:t>
      </w:r>
    </w:p>
    <w:p>
      <w:pPr>
        <w:spacing w:after="0" w:line="62"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Acadia’s acquisition of YFCS and the related debt and equity financing transactions on April 1,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PHC’s acquisition of MeadowWood on July 1,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Acadia’s acquisition of PHC and related debt and equity transactions on November 1,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Acadia’s acquisition of the Haven Facilities and the related debt financing on March 1, 2012;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Acadia’s planned acquisitions of BCA and AmiCare and the related debt financing and equity issuance.</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unaudited pro forma condensed combined statements of operations give effect to each transaction as if it occurred on January 1, 2011. Acadia’s condensed consolidated statement of operations for the year ended December 31, 2011 reflects the results of operations for YFCS for the period from April 1, 2011 to December 31, 2011 and PHC for the period from November 1, 2011 to December 31, 2011. Acadia’s condensed consolidated statement of operations for the nine months ended September 30, 2012 reflects the results of operations for the Haven Facilities for the period from March 1, 2012 to September 30, 2012.</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Acadia’s condensed consolidated balance sheet as of September 30, 2012 reflects the effect of the acquisitions of YFCS, PHC, HHC Delaware and the Haven Facilities. The unaudited pro forma condensed combined balance sheet at September 30, 2012 combines the condensed consolidated balance sheet of Acadia at September 30, 2012 with (a) the unaudited consolidated balance sheet of BCA at September 30, 2012 and (b) the unaudited consolidated balance sheet of AmiCare at September 30, 2012.</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2011 combines the audited consolidated statement of operations of Acadia for that period with:</w:t>
      </w:r>
    </w:p>
    <w:p>
      <w:pPr>
        <w:spacing w:after="0" w:line="51"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YFCS for the three months ended March 31,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HHC Delaware for the six months ended June 30, 2011;</w:t>
      </w:r>
    </w:p>
    <w:p>
      <w:pPr>
        <w:spacing w:after="0" w:line="90" w:lineRule="exact"/>
        <w:rPr>
          <w:rFonts w:ascii="Arial" w:cs="Arial" w:eastAsia="Arial" w:hAnsi="Arial"/>
          <w:sz w:val="18"/>
          <w:szCs w:val="18"/>
          <w:color w:val="auto"/>
        </w:rPr>
      </w:pPr>
    </w:p>
    <w:p>
      <w:pPr>
        <w:ind w:left="1480" w:right="160" w:hanging="446"/>
        <w:spacing w:after="0" w:line="255"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PHC for the ten months ended October 31, 2011 (which was derived from the audited consolidated statement of operations of PHC for the fiscal year ended June 30, 2011 less the unaudited condensed consolidated statement of operations of PHC for the six months ended December 31, 2010 plus the unaudited condensed consolidated statement of operations of PHC for the three months ended September 30, 2011 plus the unaudited condensed consolidated statement of operations of PHC for the month ended October 31, 2011);</w:t>
      </w:r>
    </w:p>
    <w:p>
      <w:pPr>
        <w:spacing w:after="0" w:line="61"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audited consolidated statement of operations of the Haven Facilities for the year ended December 31,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audited consolidated statement of operations of BCA for the year ended December 31, 2011;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audited consolidated statement of operations of AmiCare for the year ended December 31, 2011.</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2012 combines the unaudited consolidated statement of operations of Acadia for that period with:</w:t>
      </w:r>
    </w:p>
    <w:p>
      <w:pPr>
        <w:spacing w:after="0" w:line="51" w:lineRule="exact"/>
        <w:rPr>
          <w:sz w:val="20"/>
          <w:szCs w:val="20"/>
          <w:color w:val="auto"/>
        </w:rPr>
      </w:pPr>
    </w:p>
    <w:p>
      <w:pPr>
        <w:ind w:left="1480" w:right="280" w:hanging="446"/>
        <w:spacing w:after="0" w:line="268"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the Haven Facilities for the period from January 1, 2012 to February 29, 2012;</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BCA for the nine months ended September 30, 2012;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AmiCare for the nine months ended September 30,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3" w:name="page24"/>
    <w:bookmarkEnd w:id="23"/>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unaudited pro forma condensed combined statement of operations for the nine months ended September 30, 2011 combines the unaudited consolidated statement of operations of Acadia for that period with:</w:t>
      </w:r>
    </w:p>
    <w:p>
      <w:pPr>
        <w:spacing w:after="0" w:line="51"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YFCS for the three months ended March 31,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HHC Delaware for the six months ended June 30, 2011;</w:t>
      </w:r>
    </w:p>
    <w:p>
      <w:pPr>
        <w:spacing w:after="0" w:line="90" w:lineRule="exact"/>
        <w:rPr>
          <w:rFonts w:ascii="Arial" w:cs="Arial" w:eastAsia="Arial" w:hAnsi="Arial"/>
          <w:sz w:val="18"/>
          <w:szCs w:val="18"/>
          <w:color w:val="auto"/>
        </w:rPr>
      </w:pPr>
    </w:p>
    <w:p>
      <w:pPr>
        <w:ind w:left="1480" w:right="260" w:hanging="446"/>
        <w:spacing w:after="0" w:line="298" w:lineRule="auto"/>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unaudited condensed consolidated statement of operations of PHC for the nine months ended September 30, 2011 (which was derived from the audited consolidated statement of operations of PHC for the fiscal year ended June 30, 2011 less the unaudited condensed consolidated statement of operations of PHC for the six months ended December 31, 2010 plus the unaudited condensed consolidated statement of operations of PHC for the three months ended September 30, 2011);</w:t>
      </w:r>
    </w:p>
    <w:p>
      <w:pPr>
        <w:spacing w:after="0" w:line="31" w:lineRule="exact"/>
        <w:rPr>
          <w:rFonts w:ascii="Arial" w:cs="Arial" w:eastAsia="Arial" w:hAnsi="Arial"/>
          <w:sz w:val="16"/>
          <w:szCs w:val="16"/>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unaudited consolidated statement of operations of the Haven Facilities for the nine months ended September 30,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BCA for the nine months ended September 30, 2011;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AmiCare for the nine months ended September 30, 2011.</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unaudited pro forma condensed combined financial data has been prepared using the acquisition method of accounting for business combinations under Generally Accepted Accounting Principles (“GAAP”). The adjustments necessary to fairly present the unaudited pro forma condensed combined financial data have been made based on available information and in the opinion of management are reasonable. Assumptions underlying the pro forma adjustments are described in the accompanying notes, which should be read in conjunction with this unaudited pro forma condensed combined financial data. The pro forma adjustments relating to the planned acquisitions of BCA and AmiCare are preliminary and revisions to the fair value of assets acquired and liabilities assumed may have a significant impact on the pro forma adjustments. A final valuation of assets acquired and liabilities assumed has not been completed and the completion of fair value determinations may result in changes in the values assigned to property and equipment and other assets (including intangibles) acquired and liabilities assumed.</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condensed combined financial data is for illustrative purposes only and does not purport to represent what our financial position or results of operations actually would have been had the events noted above in fact occurred on the assumed dates or to project our financial position or results of operations for any future date or future period.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unaudited pro forma condensed combined financial data should be read in conjunction with the consolidated financial statements and notes thereto of Acadia, YFCS, PHC, HHC Delaware, the Haven Facilities, BCA and AmiCare.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ACADIA </w:t>
            </w:r>
            <w:r>
              <w:rPr>
                <w:rFonts w:ascii="Arial" w:cs="Arial" w:eastAsia="Arial" w:hAnsi="Arial"/>
                <w:sz w:val="22"/>
                <w:szCs w:val="22"/>
                <w:b w:val="1"/>
                <w:bCs w:val="1"/>
                <w:color w:val="auto"/>
                <w:vertAlign w:val="superscript"/>
              </w:rPr>
              <w:t>(1)</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 xml:space="preserve">AMICARE </w:t>
            </w:r>
            <w:r>
              <w:rPr>
                <w:rFonts w:ascii="Arial" w:cs="Arial" w:eastAsia="Arial" w:hAnsi="Arial"/>
                <w:sz w:val="22"/>
                <w:szCs w:val="22"/>
                <w:b w:val="1"/>
                <w:bCs w:val="1"/>
                <w:color w:val="auto"/>
                <w:w w:val="94"/>
                <w:vertAlign w:val="superscript"/>
              </w:rPr>
              <w:t>(2)</w:t>
            </w:r>
          </w:p>
        </w:tc>
        <w:tc>
          <w:tcPr>
            <w:tcW w:w="380" w:type="dxa"/>
            <w:vAlign w:val="bottom"/>
          </w:tcPr>
          <w:p>
            <w:pPr>
              <w:spacing w:after="0"/>
              <w:rPr>
                <w:sz w:val="15"/>
                <w:szCs w:val="15"/>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27"/>
                <w:szCs w:val="27"/>
                <w:b w:val="1"/>
                <w:bCs w:val="1"/>
                <w:color w:val="auto"/>
                <w:w w:val="90"/>
                <w:vertAlign w:val="subscript"/>
              </w:rPr>
              <w:t>BCA</w:t>
            </w:r>
            <w:r>
              <w:rPr>
                <w:rFonts w:ascii="Arial" w:cs="Arial" w:eastAsia="Arial" w:hAnsi="Arial"/>
                <w:sz w:val="11"/>
                <w:szCs w:val="11"/>
                <w:b w:val="1"/>
                <w:bCs w:val="1"/>
                <w:color w:val="auto"/>
                <w:w w:val="90"/>
              </w:rPr>
              <w:t xml:space="preserve"> (3)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PRO FORMA</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NOTES</w:t>
            </w:r>
          </w:p>
        </w:tc>
        <w:tc>
          <w:tcPr>
            <w:tcW w:w="1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45,499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33,780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54,777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66,277</w:t>
            </w:r>
          </w:p>
        </w:tc>
        <w:tc>
          <w:tcPr>
            <w:tcW w:w="0" w:type="dxa"/>
            <w:vAlign w:val="bottom"/>
          </w:tcPr>
          <w:p>
            <w:pPr>
              <w:spacing w:after="0"/>
              <w:rPr>
                <w:sz w:val="1"/>
                <w:szCs w:val="1"/>
                <w:color w:val="auto"/>
              </w:rPr>
            </w:pPr>
          </w:p>
        </w:tc>
      </w:tr>
      <w:tr>
        <w:trPr>
          <w:trHeight w:val="216"/>
        </w:trPr>
        <w:tc>
          <w:tcPr>
            <w:tcW w:w="5080" w:type="dxa"/>
            <w:vAlign w:val="bottom"/>
          </w:tcPr>
          <w:p>
            <w:pPr>
              <w:ind w:left="88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5,230</w:t>
            </w:r>
          </w:p>
        </w:tc>
        <w:tc>
          <w:tcPr>
            <w:tcW w:w="2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18,138</w:t>
            </w:r>
          </w:p>
        </w:tc>
        <w:tc>
          <w:tcPr>
            <w:tcW w:w="0" w:type="dxa"/>
            <w:vAlign w:val="bottom"/>
          </w:tcPr>
          <w:p>
            <w:pPr>
              <w:spacing w:after="0"/>
              <w:rPr>
                <w:sz w:val="1"/>
                <w:szCs w:val="1"/>
                <w:color w:val="auto"/>
              </w:rPr>
            </w:pPr>
          </w:p>
        </w:tc>
      </w:tr>
      <w:tr>
        <w:trPr>
          <w:trHeight w:val="222"/>
        </w:trPr>
        <w:tc>
          <w:tcPr>
            <w:tcW w:w="508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87,031</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10,690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135,144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155,188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200,058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(7b)</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held for sale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334,622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16,550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74,812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539,644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99,485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(7b)</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12,534</w:t>
            </w:r>
          </w:p>
        </w:tc>
        <w:tc>
          <w:tcPr>
            <w:tcW w:w="2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1,790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(7b)</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14,383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603,758</w:t>
            </w: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41,034</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51,550</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212,395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908,737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2,613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(11,046)</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13,323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16,670</w:t>
            </w:r>
          </w:p>
        </w:tc>
        <w:tc>
          <w:tcPr>
            <w:tcW w:w="0" w:type="dxa"/>
            <w:vAlign w:val="bottom"/>
          </w:tcPr>
          <w:p>
            <w:pPr>
              <w:spacing w:after="0"/>
              <w:rPr>
                <w:sz w:val="1"/>
                <w:szCs w:val="1"/>
                <w:color w:val="auto"/>
              </w:rPr>
            </w:pPr>
          </w:p>
        </w:tc>
      </w:tr>
      <w:tr>
        <w:trPr>
          <w:trHeight w:val="216"/>
        </w:trPr>
        <w:tc>
          <w:tcPr>
            <w:tcW w:w="5080" w:type="dxa"/>
            <w:vAlign w:val="bottom"/>
          </w:tcPr>
          <w:p>
            <w:pPr>
              <w:ind w:left="880"/>
              <w:spacing w:after="0"/>
              <w:rPr>
                <w:sz w:val="20"/>
                <w:szCs w:val="20"/>
                <w:color w:val="auto"/>
              </w:rPr>
            </w:pPr>
            <w:r>
              <w:rPr>
                <w:rFonts w:ascii="Arial" w:cs="Arial" w:eastAsia="Arial" w:hAnsi="Arial"/>
                <w:sz w:val="18"/>
                <w:szCs w:val="18"/>
                <w:color w:val="auto"/>
              </w:rPr>
              <w:t>Accrued salaries and benefits</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19,125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24,034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14,617</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3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57,822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8,685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(11,436)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63,171</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284,632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148,197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453,782</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Deferred tax liabilities – noncurrent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350,195</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26,910</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11,959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136,330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525,394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281,687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131,220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412,907</w:t>
            </w:r>
          </w:p>
        </w:tc>
        <w:tc>
          <w:tcPr>
            <w:tcW w:w="0" w:type="dxa"/>
            <w:vAlign w:val="bottom"/>
          </w:tcPr>
          <w:p>
            <w:pPr>
              <w:spacing w:after="0"/>
              <w:rPr>
                <w:sz w:val="1"/>
                <w:szCs w:val="1"/>
                <w:color w:val="auto"/>
              </w:rPr>
            </w:pPr>
          </w:p>
        </w:tc>
      </w:tr>
      <w:tr>
        <w:trPr>
          <w:trHeight w:val="216"/>
        </w:trPr>
        <w:tc>
          <w:tcPr>
            <w:tcW w:w="5080" w:type="dxa"/>
            <w:vAlign w:val="bottom"/>
          </w:tcPr>
          <w:p>
            <w:pPr>
              <w:ind w:left="8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(28,542)</w:t>
            </w:r>
          </w:p>
        </w:tc>
        <w:tc>
          <w:tcPr>
            <w:tcW w:w="2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(30,042)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39,591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(53,715)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44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253,563</w:t>
            </w: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39,591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383,343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603,758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51,550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212,395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908,737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ACADIA </w:t>
            </w:r>
            <w:r>
              <w:rPr>
                <w:rFonts w:ascii="Arial" w:cs="Arial" w:eastAsia="Arial" w:hAnsi="Arial"/>
                <w:sz w:val="22"/>
                <w:szCs w:val="22"/>
                <w:b w:val="1"/>
                <w:bCs w:val="1"/>
                <w:color w:val="auto"/>
                <w:vertAlign w:val="superscript"/>
              </w:rPr>
              <w:t>(1)</w:t>
            </w: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COMPLETED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AMICARE </w:t>
            </w:r>
            <w:r>
              <w:rPr>
                <w:rFonts w:ascii="Arial" w:cs="Arial" w:eastAsia="Arial" w:hAnsi="Arial"/>
                <w:sz w:val="22"/>
                <w:szCs w:val="22"/>
                <w:b w:val="1"/>
                <w:bCs w:val="1"/>
                <w:color w:val="auto"/>
                <w:vertAlign w:val="superscript"/>
              </w:rPr>
              <w:t>(2)</w:t>
            </w:r>
          </w:p>
        </w:tc>
        <w:tc>
          <w:tcPr>
            <w:tcW w:w="140" w:type="dxa"/>
            <w:vAlign w:val="bottom"/>
          </w:tcPr>
          <w:p>
            <w:pPr>
              <w:spacing w:after="0"/>
              <w:rPr>
                <w:sz w:val="14"/>
                <w:szCs w:val="14"/>
                <w:color w:val="auto"/>
              </w:rPr>
            </w:pP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27"/>
                <w:szCs w:val="27"/>
                <w:b w:val="1"/>
                <w:bCs w:val="1"/>
                <w:color w:val="auto"/>
                <w:w w:val="90"/>
                <w:vertAlign w:val="subscript"/>
              </w:rPr>
              <w:t>BCA</w:t>
            </w:r>
            <w:r>
              <w:rPr>
                <w:rFonts w:ascii="Arial" w:cs="Arial" w:eastAsia="Arial" w:hAnsi="Arial"/>
                <w:sz w:val="11"/>
                <w:szCs w:val="11"/>
                <w:b w:val="1"/>
                <w:bCs w:val="1"/>
                <w:color w:val="auto"/>
                <w:w w:val="90"/>
              </w:rPr>
              <w:t xml:space="preserve"> (3)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PRO FORMA</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5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ACQUISITIONS </w:t>
            </w:r>
            <w:r>
              <w:rPr>
                <w:rFonts w:ascii="Arial" w:cs="Arial" w:eastAsia="Arial" w:hAnsi="Arial"/>
                <w:sz w:val="20"/>
                <w:szCs w:val="20"/>
                <w:b w:val="1"/>
                <w:bCs w:val="1"/>
                <w:color w:val="auto"/>
                <w:vertAlign w:val="superscript"/>
              </w:rPr>
              <w:t>(16)</w:t>
            </w:r>
          </w:p>
        </w:tc>
        <w:tc>
          <w:tcPr>
            <w:tcW w:w="10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NOTES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Revenue before provision for doubtful</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219,704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186,977</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59,842</w:t>
            </w:r>
          </w:p>
        </w:tc>
        <w:tc>
          <w:tcPr>
            <w:tcW w:w="2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54,507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521,030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(3,206)</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(6,207)</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(1,443)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216,498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180,770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53,064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152,609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102,044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28,920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8,896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Supplies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11,349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9,060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20,171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20,395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734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(20f)</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9,191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(21b)</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Sponsor management fees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(2,271)</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41,547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(41,547)</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Legal settlement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254,964</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173,315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47,940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(40,637)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489,959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7"/>
              </w:rPr>
              <w:t>Income (loss) from continuing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(38,466)</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5,124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40,637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18,834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15,848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from continuing operations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(33,194)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24,922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w w:val="96"/>
              </w:rPr>
              <w:t>Earnings per share — income (loss) from</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gridSpan w:val="2"/>
            <w:vMerge w:val="continue"/>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18,757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13,342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9,488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(27c)</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18,757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13,342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9,488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(27c)</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6" w:name="page27"/>
    <w:bookmarkEnd w:id="26"/>
    <w:p>
      <w:pPr>
        <w:jc w:val="center"/>
        <w:ind w:left="260" w:right="22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 For the Nine Months Ended September 30, 2012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ACADIA </w:t>
            </w:r>
            <w:r>
              <w:rPr>
                <w:rFonts w:ascii="Arial" w:cs="Arial" w:eastAsia="Arial" w:hAnsi="Arial"/>
                <w:sz w:val="22"/>
                <w:szCs w:val="22"/>
                <w:b w:val="1"/>
                <w:bCs w:val="1"/>
                <w:color w:val="auto"/>
                <w:vertAlign w:val="superscript"/>
              </w:rPr>
              <w:t>(1)</w:t>
            </w:r>
          </w:p>
        </w:tc>
        <w:tc>
          <w:tcPr>
            <w:tcW w:w="12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COMPLETED</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AMICARE </w:t>
            </w:r>
            <w:r>
              <w:rPr>
                <w:rFonts w:ascii="Arial" w:cs="Arial" w:eastAsia="Arial" w:hAnsi="Arial"/>
                <w:sz w:val="22"/>
                <w:szCs w:val="22"/>
                <w:b w:val="1"/>
                <w:bCs w:val="1"/>
                <w:color w:val="auto"/>
                <w:vertAlign w:val="superscript"/>
              </w:rPr>
              <w:t>(2)</w:t>
            </w:r>
          </w:p>
        </w:tc>
        <w:tc>
          <w:tcPr>
            <w:tcW w:w="920" w:type="dxa"/>
            <w:vAlign w:val="bottom"/>
            <w:gridSpan w:val="3"/>
            <w:vMerge w:val="restart"/>
          </w:tcPr>
          <w:p>
            <w:pPr>
              <w:jc w:val="right"/>
              <w:ind w:right="420"/>
              <w:spacing w:after="0"/>
              <w:rPr>
                <w:sz w:val="20"/>
                <w:szCs w:val="20"/>
                <w:color w:val="auto"/>
              </w:rPr>
            </w:pPr>
            <w:r>
              <w:rPr>
                <w:rFonts w:ascii="Arial" w:cs="Arial" w:eastAsia="Arial" w:hAnsi="Arial"/>
                <w:sz w:val="27"/>
                <w:szCs w:val="27"/>
                <w:b w:val="1"/>
                <w:bCs w:val="1"/>
                <w:color w:val="auto"/>
                <w:w w:val="86"/>
                <w:vertAlign w:val="subscript"/>
              </w:rPr>
              <w:t>BCA</w:t>
            </w:r>
            <w:r>
              <w:rPr>
                <w:rFonts w:ascii="Arial" w:cs="Arial" w:eastAsia="Arial" w:hAnsi="Arial"/>
                <w:sz w:val="11"/>
                <w:szCs w:val="11"/>
                <w:b w:val="1"/>
                <w:bCs w:val="1"/>
                <w:color w:val="auto"/>
                <w:w w:val="86"/>
              </w:rPr>
              <w:t xml:space="preserve"> (3)</w:t>
            </w:r>
          </w:p>
        </w:tc>
        <w:tc>
          <w:tcPr>
            <w:tcW w:w="100" w:type="dxa"/>
            <w:vAlign w:val="bottom"/>
          </w:tcPr>
          <w:p>
            <w:pPr>
              <w:spacing w:after="0"/>
              <w:rPr>
                <w:sz w:val="11"/>
                <w:szCs w:val="11"/>
                <w:color w:val="auto"/>
              </w:rPr>
            </w:pPr>
          </w:p>
        </w:tc>
        <w:tc>
          <w:tcPr>
            <w:tcW w:w="12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3"/>
              </w:rPr>
              <w:t>PRO FORMA</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7"/>
              </w:rPr>
              <w:t>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5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ACQUISITIONS </w:t>
            </w:r>
            <w:r>
              <w:rPr>
                <w:rFonts w:ascii="Arial" w:cs="Arial" w:eastAsia="Arial" w:hAnsi="Arial"/>
                <w:sz w:val="20"/>
                <w:szCs w:val="20"/>
                <w:b w:val="1"/>
                <w:bCs w:val="1"/>
                <w:color w:val="auto"/>
                <w:vertAlign w:val="superscript"/>
              </w:rPr>
              <w:t>(17)</w:t>
            </w:r>
          </w:p>
        </w:tc>
        <w:tc>
          <w:tcPr>
            <w:tcW w:w="118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NOTES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Revenue before provision for doubtful accounts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298,638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30,079</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47,220</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48,427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424,364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(5,429)</w:t>
            </w:r>
          </w:p>
        </w:tc>
        <w:tc>
          <w:tcPr>
            <w:tcW w:w="1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(1,157)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293,209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47,270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415,749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173,590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15,391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29,877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24,650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Supplies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30,768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6,044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(21b)</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Sponsor management fees</w:t>
            </w: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(524)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267,886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41,474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39,454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370,618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25,323</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32,903</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income (loss) from</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36,795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4,900</w:t>
            </w: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(27c)</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37,006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4,900</w:t>
            </w: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(27c)</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7" w:name="page28"/>
    <w:bookmarkEnd w:id="27"/>
    <w:p>
      <w:pPr>
        <w:jc w:val="center"/>
        <w:ind w:left="260" w:right="22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 For the Nine Months Ended September 30, 2011 (In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ACADIA </w:t>
            </w:r>
            <w:r>
              <w:rPr>
                <w:rFonts w:ascii="Arial" w:cs="Arial" w:eastAsia="Arial" w:hAnsi="Arial"/>
                <w:sz w:val="22"/>
                <w:szCs w:val="22"/>
                <w:b w:val="1"/>
                <w:bCs w:val="1"/>
                <w:color w:val="auto"/>
                <w:vertAlign w:val="superscript"/>
              </w:rPr>
              <w:t>(1)</w:t>
            </w: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COMPLETED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AMICARE </w:t>
            </w:r>
            <w:r>
              <w:rPr>
                <w:rFonts w:ascii="Arial" w:cs="Arial" w:eastAsia="Arial" w:hAnsi="Arial"/>
                <w:sz w:val="22"/>
                <w:szCs w:val="22"/>
                <w:b w:val="1"/>
                <w:bCs w:val="1"/>
                <w:color w:val="auto"/>
                <w:vertAlign w:val="superscript"/>
              </w:rPr>
              <w:t>(2)</w:t>
            </w:r>
          </w:p>
        </w:tc>
        <w:tc>
          <w:tcPr>
            <w:tcW w:w="140" w:type="dxa"/>
            <w:vAlign w:val="bottom"/>
          </w:tcPr>
          <w:p>
            <w:pPr>
              <w:spacing w:after="0"/>
              <w:rPr>
                <w:sz w:val="14"/>
                <w:szCs w:val="14"/>
                <w:color w:val="auto"/>
              </w:rPr>
            </w:pP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 xml:space="preserve">BCA </w:t>
            </w:r>
            <w:r>
              <w:rPr>
                <w:rFonts w:ascii="Arial" w:cs="Arial" w:eastAsia="Arial" w:hAnsi="Arial"/>
                <w:sz w:val="22"/>
                <w:szCs w:val="22"/>
                <w:b w:val="1"/>
                <w:bCs w:val="1"/>
                <w:color w:val="auto"/>
                <w:w w:val="95"/>
                <w:vertAlign w:val="superscript"/>
              </w:rPr>
              <w:t>(3)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PRO FORMA</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5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ACQUISITIONS </w:t>
            </w:r>
            <w:r>
              <w:rPr>
                <w:rFonts w:ascii="Arial" w:cs="Arial" w:eastAsia="Arial" w:hAnsi="Arial"/>
                <w:sz w:val="20"/>
                <w:szCs w:val="20"/>
                <w:b w:val="1"/>
                <w:bCs w:val="1"/>
                <w:color w:val="auto"/>
                <w:vertAlign w:val="superscript"/>
              </w:rPr>
              <w:t>(18)</w:t>
            </w:r>
          </w:p>
        </w:tc>
        <w:tc>
          <w:tcPr>
            <w:tcW w:w="10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NOTES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Revenue before provision for doubtful</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142,797</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161,249</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43,539</w:t>
            </w:r>
          </w:p>
        </w:tc>
        <w:tc>
          <w:tcPr>
            <w:tcW w:w="2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40,915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388,500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(5,220)</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(1,351)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141,143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39,564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108,158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88,869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22,189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Supplies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17,895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593</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(20f)</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(21b)</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Sponsor management fees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(1,948)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(10,595)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Legal settlement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156,138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36,191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373,998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1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(14,995)</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9,928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3,872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(18,421)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3,213</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income (loss) from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9,488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(27c)</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9,488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(27c)</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 FINANCIAL INFORMATION</w:t>
      </w:r>
    </w:p>
    <w:p>
      <w:pPr>
        <w:spacing w:after="0" w:line="2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84"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represent, for Acadia, actual results for the periods presented.</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represent, for AmiCare, actual results for the periods presented.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represent, for BCA, actual results for the periods presented.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cash not acquired as part of the acquisitions.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elimination of equity accounts of BCA and AmiCare.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elimination of deferred financing costs in connection with the repayment of debt.</w:t>
      </w:r>
    </w:p>
    <w:p>
      <w:pPr>
        <w:spacing w:after="0" w:line="9" w:lineRule="exact"/>
        <w:rPr>
          <w:rFonts w:ascii="Arial" w:cs="Arial" w:eastAsia="Arial" w:hAnsi="Arial"/>
          <w:sz w:val="18"/>
          <w:szCs w:val="18"/>
          <w:color w:val="auto"/>
        </w:rPr>
      </w:pPr>
    </w:p>
    <w:p>
      <w:pPr>
        <w:ind w:left="452" w:right="360" w:hanging="452"/>
        <w:spacing w:after="0" w:line="361" w:lineRule="auto"/>
        <w:tabs>
          <w:tab w:leader="none" w:pos="452"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adjustments based on preliminary estimates of fair value and the adjustment to goodwill derived from the difference in the estimated total consideration to be transferred by Acadia and the estimated fair value of assets acquired and liabilities assumed by Acadia, calculated as follows:</w:t>
      </w:r>
    </w:p>
    <w:p>
      <w:pPr>
        <w:sectPr>
          <w:pgSz w:w="11900" w:h="16838" w:orient="portrait"/>
          <w:cols w:equalWidth="0" w:num="1">
            <w:col w:w="11272"/>
          </w:cols>
          <w:pgMar w:left="248" w:top="274" w:right="379" w:bottom="1440" w:gutter="0" w:footer="0" w:header="0"/>
        </w:sectPr>
      </w:pPr>
    </w:p>
    <w:p>
      <w:pPr>
        <w:spacing w:after="0" w:line="110" w:lineRule="exact"/>
        <w:rPr>
          <w:sz w:val="20"/>
          <w:szCs w:val="20"/>
          <w:color w:val="auto"/>
        </w:rPr>
      </w:pPr>
    </w:p>
    <w:p>
      <w:pPr>
        <w:ind w:left="892" w:hanging="446"/>
        <w:spacing w:after="0"/>
        <w:tabs>
          <w:tab w:leader="none" w:pos="8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AmiCare:</w:t>
      </w:r>
    </w:p>
    <w:p>
      <w:pPr>
        <w:spacing w:after="0" w:line="21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Estimated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-125730</wp:posOffset>
            </wp:positionV>
            <wp:extent cx="49225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Intangible assets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Accrued salaries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Other accrued liabilities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Fair value of assets acquired less liabilities assumed</w:t>
      </w:r>
    </w:p>
    <w:p>
      <w:pPr>
        <w:spacing w:after="0" w:line="3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Estimated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-125730</wp:posOffset>
            </wp:positionV>
            <wp:extent cx="49225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Less: historical goodwill</w:t>
      </w:r>
    </w:p>
    <w:p>
      <w:pPr>
        <w:spacing w:after="0" w:line="30"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Goodwill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-125730</wp:posOffset>
            </wp:positionV>
            <wp:extent cx="49225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6" w:lineRule="exact"/>
        <w:rPr>
          <w:sz w:val="20"/>
          <w:szCs w:val="20"/>
          <w:color w:val="auto"/>
        </w:rPr>
      </w:pPr>
    </w:p>
    <w:p>
      <w:pPr>
        <w:ind w:left="892" w:hanging="446"/>
        <w:spacing w:after="0"/>
        <w:tabs>
          <w:tab w:leader="none" w:pos="8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$113,000</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4,405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885</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20,923</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1,790</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(504)</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(2,373)</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(940)</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20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10" w:lineRule="exact"/>
        <w:rPr>
          <w:sz w:val="20"/>
          <w:szCs w:val="20"/>
          <w:color w:val="auto"/>
        </w:rPr>
      </w:pPr>
    </w:p>
    <w:p>
      <w:pPr>
        <w:ind w:left="180" w:hanging="180"/>
        <w:spacing w:after="0"/>
        <w:tabs>
          <w:tab w:leader="none" w:pos="180" w:val="left"/>
        </w:tabs>
        <w:numPr>
          <w:ilvl w:val="0"/>
          <w:numId w:val="2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24,013</w:t>
      </w:r>
    </w:p>
    <w:p>
      <w:pPr>
        <w:spacing w:after="0" w:line="59" w:lineRule="exact"/>
        <w:rPr>
          <w:rFonts w:ascii="Arial" w:cs="Arial" w:eastAsia="Arial" w:hAnsi="Arial"/>
          <w:sz w:val="16"/>
          <w:szCs w:val="16"/>
          <w:u w:val="single" w:color="auto"/>
          <w:color w:val="auto"/>
        </w:rPr>
      </w:pPr>
    </w:p>
    <w:p>
      <w:pPr>
        <w:ind w:left="180" w:hanging="180"/>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88,987</w:t>
      </w:r>
    </w:p>
    <w:p>
      <w:pPr>
        <w:spacing w:after="0" w:line="3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(14,175)</w:t>
      </w:r>
    </w:p>
    <w:p>
      <w:pPr>
        <w:spacing w:after="0" w:line="52" w:lineRule="exact"/>
        <w:rPr>
          <w:rFonts w:ascii="Arial" w:cs="Arial" w:eastAsia="Arial" w:hAnsi="Arial"/>
          <w:sz w:val="16"/>
          <w:szCs w:val="16"/>
          <w:color w:val="auto"/>
        </w:rPr>
      </w:pPr>
    </w:p>
    <w:p>
      <w:pPr>
        <w:ind w:left="180" w:hanging="180"/>
        <w:spacing w:after="0"/>
        <w:tabs>
          <w:tab w:leader="none" w:pos="180" w:val="left"/>
        </w:tabs>
        <w:numPr>
          <w:ilvl w:val="0"/>
          <w:numId w:val="2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74,812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4203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42545</wp:posOffset>
            </wp:positionV>
            <wp:extent cx="420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8092" w:space="720"/>
            <w:col w:w="2460"/>
          </w:cols>
          <w:pgMar w:left="248" w:top="274" w:right="379" w:bottom="1440" w:gutter="0" w:footer="0" w:header="0"/>
          <w:type w:val="continuous"/>
        </w:sectPr>
      </w:pPr>
    </w:p>
    <w:p>
      <w:pPr>
        <w:spacing w:after="0" w:line="1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Estimated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-125730</wp:posOffset>
            </wp:positionV>
            <wp:extent cx="49225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Intangible assets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Accrued salaries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Other accrued liabilities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32"/>
        <w:spacing w:after="0"/>
        <w:rPr>
          <w:sz w:val="20"/>
          <w:szCs w:val="20"/>
          <w:color w:val="auto"/>
        </w:rPr>
      </w:pPr>
      <w:r>
        <w:rPr>
          <w:rFonts w:ascii="Arial" w:cs="Arial" w:eastAsia="Arial" w:hAnsi="Arial"/>
          <w:sz w:val="15"/>
          <w:szCs w:val="15"/>
          <w:color w:val="auto"/>
        </w:rPr>
        <w:t>Fair value of assets acquired less liabilities assumed</w:t>
      </w:r>
    </w:p>
    <w:p>
      <w:pPr>
        <w:spacing w:after="0" w:line="71"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Estimated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-125730</wp:posOffset>
            </wp:positionV>
            <wp:extent cx="49225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Less: historical goodwill</w:t>
      </w:r>
    </w:p>
    <w:p>
      <w:pPr>
        <w:spacing w:after="0" w:line="30"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Goodwill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-125730</wp:posOffset>
            </wp:positionV>
            <wp:extent cx="49225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$145,000</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7,095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1,948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23,947</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1,925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259</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(2,843)</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(2,536)</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(303)</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4286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0" w:lineRule="exact"/>
        <w:rPr>
          <w:sz w:val="20"/>
          <w:szCs w:val="20"/>
          <w:color w:val="auto"/>
        </w:rPr>
      </w:pPr>
    </w:p>
    <w:p>
      <w:pPr>
        <w:ind w:left="200" w:hanging="193"/>
        <w:spacing w:after="0"/>
        <w:tabs>
          <w:tab w:leader="none" w:pos="200" w:val="left"/>
        </w:tabs>
        <w:numPr>
          <w:ilvl w:val="0"/>
          <w:numId w:val="3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28,965</w:t>
      </w:r>
    </w:p>
    <w:p>
      <w:pPr>
        <w:spacing w:after="0" w:line="59" w:lineRule="exact"/>
        <w:rPr>
          <w:rFonts w:ascii="Arial" w:cs="Arial" w:eastAsia="Arial" w:hAnsi="Arial"/>
          <w:sz w:val="16"/>
          <w:szCs w:val="16"/>
          <w:u w:val="single" w:color="auto"/>
          <w:color w:val="auto"/>
        </w:rPr>
      </w:pPr>
    </w:p>
    <w:p>
      <w:pPr>
        <w:ind w:left="120" w:hanging="113"/>
        <w:spacing w:after="0"/>
        <w:tabs>
          <w:tab w:leader="none" w:pos="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116,035</w:t>
      </w:r>
    </w:p>
    <w:p>
      <w:pPr>
        <w:spacing w:after="0" w:line="38"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6"/>
          <w:szCs w:val="16"/>
          <w:color w:val="auto"/>
        </w:rPr>
        <w:t>(16,550)</w:t>
      </w:r>
    </w:p>
    <w:p>
      <w:pPr>
        <w:spacing w:after="0" w:line="52" w:lineRule="exact"/>
        <w:rPr>
          <w:rFonts w:ascii="Arial" w:cs="Arial" w:eastAsia="Arial" w:hAnsi="Arial"/>
          <w:sz w:val="16"/>
          <w:szCs w:val="16"/>
          <w:color w:val="auto"/>
        </w:rPr>
      </w:pPr>
    </w:p>
    <w:p>
      <w:pPr>
        <w:ind w:left="200" w:hanging="193"/>
        <w:spacing w:after="0"/>
        <w:tabs>
          <w:tab w:leader="none" w:pos="200" w:val="left"/>
        </w:tabs>
        <w:numPr>
          <w:ilvl w:val="0"/>
          <w:numId w:val="3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99,485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-128270</wp:posOffset>
            </wp:positionV>
            <wp:extent cx="4286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42545</wp:posOffset>
            </wp:positionV>
            <wp:extent cx="4286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72" w:space="720"/>
            <w:col w:w="2480"/>
          </w:cols>
          <w:pgMar w:left="248" w:top="274" w:right="379" w:bottom="1440" w:gutter="0" w:footer="0" w:header="0"/>
          <w:type w:val="continuous"/>
        </w:sectPr>
      </w:pPr>
    </w:p>
    <w:p>
      <w:pPr>
        <w:spacing w:after="0" w:line="25" w:lineRule="exact"/>
        <w:rPr>
          <w:sz w:val="20"/>
          <w:szCs w:val="20"/>
          <w:color w:val="auto"/>
        </w:rPr>
      </w:pPr>
    </w:p>
    <w:p>
      <w:pPr>
        <w:ind w:left="452"/>
        <w:spacing w:after="0" w:line="289" w:lineRule="auto"/>
        <w:rPr>
          <w:sz w:val="20"/>
          <w:szCs w:val="20"/>
          <w:color w:val="auto"/>
        </w:rPr>
      </w:pPr>
      <w:r>
        <w:rPr>
          <w:rFonts w:ascii="Arial" w:cs="Arial" w:eastAsia="Arial" w:hAnsi="Arial"/>
          <w:sz w:val="16"/>
          <w:szCs w:val="16"/>
          <w:color w:val="auto"/>
        </w:rPr>
        <w:t>The acquired assets and liabilities assumed will be recorded at their relative fair values as of the closing date of the acquisitions. Estimated goodwill is based upon a determination of the fair value of assets acquired and liabilities assumed that is preliminary and subject to revision as the value of total consideration is finalized and additional information related to the fair value of property and equipment and other assets (including intangible assets) acquired and liabilities assumed becomes available. The actual determination of the fair value of assets acquired and liabilities assumed will differ from that assumed in these unaudited pro forma condensed combined financial statements and such differences may be material. Qualitative factors comprising goodwill include efficiencies derived through synergies expected by the elimination of certain redundant corporate functions and expenses, the ability to leverage call center referrals to a broader provider base, coordination of services provided across the combined network of facilities, achievement of operating efficiencies by benchmarking performance and applying best practices throughout the combined company.</w:t>
      </w:r>
    </w:p>
    <w:p>
      <w:pPr>
        <w:spacing w:after="0" w:line="10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72"/>
          </w:cols>
          <w:pgMar w:left="248" w:top="274" w:right="379" w:bottom="1440" w:gutter="0" w:footer="0" w:header="0"/>
          <w:type w:val="continuous"/>
        </w:sectPr>
      </w:pPr>
    </w:p>
    <w:bookmarkStart w:id="29" w:name="page30"/>
    <w:bookmarkEnd w:id="29"/>
    <w:p>
      <w:pPr>
        <w:ind w:left="460" w:right="40" w:hanging="452"/>
        <w:spacing w:after="0" w:line="29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a $33,780 increase in cash as a result of the planned acquisitions of BCA and AmiCare and relating financing transactions. Acadia expects to issue $165,000 of incremental term loans through an amendment to its existing senior credit facility (“Incremental Term Loans”) and to issue additional common shares for estimated net proceeds of $131,280. Based on the assumed public offering price of $22.95, which was the closing price of our common stock on November 30, 2012, as reported on The NASDAQ Global Market, the number of shares to be issued is 6,000,000 with a par value of $0.01, which results in additional common stock of $60 and additional paid-in capital of $131,220 and includes estimated underwriting discounts and other offering expenses of $6,420. The sources and uses of cash in connection with the acquisitions are expected to be as follows:</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Sources: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Incremental Term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165,000</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issuance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131,280</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Uses: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AmiCare cash consideration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(113,000)</w:t>
            </w: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BCA cash consideration</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(145,000)</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Transaction-related expenses</w:t>
            </w:r>
            <w:r>
              <w:rPr>
                <w:rFonts w:ascii="Arial" w:cs="Arial" w:eastAsia="Arial" w:hAnsi="Arial"/>
                <w:sz w:val="11"/>
                <w:szCs w:val="11"/>
                <w:color w:val="auto"/>
              </w:rPr>
              <w:t>(a)</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w:t>
            </w: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Cash adjustment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33,780</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420" w:hanging="446"/>
        <w:spacing w:after="0" w:line="228" w:lineRule="auto"/>
        <w:tabs>
          <w:tab w:leader="none" w:pos="90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color w:val="auto"/>
        </w:rPr>
        <w:t>Estimated costs to be incurred in connection with the BCA and AmiCare transactions include $3,000 of debt financing costs associated with the Incremental Term Loans and $1,500 of acquisition costs.</w:t>
      </w:r>
    </w:p>
    <w:p>
      <w:pPr>
        <w:spacing w:after="0" w:line="197" w:lineRule="exact"/>
        <w:rPr>
          <w:rFonts w:ascii="Arial" w:cs="Arial" w:eastAsia="Arial" w:hAnsi="Arial"/>
          <w:sz w:val="22"/>
          <w:szCs w:val="22"/>
          <w:color w:val="auto"/>
          <w:vertAlign w:val="superscript"/>
        </w:rPr>
      </w:pPr>
    </w:p>
    <w:p>
      <w:pPr>
        <w:ind w:left="460" w:right="1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issuance of Incremental Term Loans, the elimination of debt not assumed in the BCA and AmiCare acquisitions and the amendment to the credit agreement to adjust the payment schedule for existing loans,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2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61"/>
        </w:trPr>
        <w:tc>
          <w:tcPr>
            <w:tcW w:w="6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PORTION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PORTION</w:t>
            </w:r>
          </w:p>
        </w:tc>
        <w:tc>
          <w:tcPr>
            <w:tcW w:w="2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DEBT</w:t>
            </w:r>
          </w:p>
        </w:tc>
      </w:tr>
      <w:tr>
        <w:trPr>
          <w:trHeight w:val="210"/>
        </w:trPr>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Elimination of AmiCare debt not assumed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(4,283)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(22,920)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Elimination of BCA debt not assumed</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(2,316)</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(4,929)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Incremental Term Loan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160,875</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165,000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Amendment to credit agreement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(11,046)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148,197</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137,151</w:t>
            </w: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Represents the following adjustments to eliminate the assets and liabilities of BCA’s Permian Basin facility, which will be divested prior to the acquisition:</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held for sale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8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amounts in this column represent, for YFCS, actual results for the periods presented, up to the April 1, 2011 acquisition date. The condensed consolidated statements of operations of YFCS have been reclassified to present the provision for doubtful accounts as a deduction from revenue in accordance with Accounting Standards Update (“ASU”) No. 2011-07, </w:t>
      </w:r>
      <w:r>
        <w:rPr>
          <w:rFonts w:ascii="Arial" w:cs="Arial" w:eastAsia="Arial" w:hAnsi="Arial"/>
          <w:sz w:val="16"/>
          <w:szCs w:val="16"/>
          <w:i w:val="1"/>
          <w:iCs w:val="1"/>
          <w:color w:val="auto"/>
        </w:rPr>
        <w:t>“Health Care Entities</w:t>
      </w:r>
      <w:r>
        <w:rPr>
          <w:rFonts w:ascii="Arial" w:cs="Arial" w:eastAsia="Arial" w:hAnsi="Arial"/>
          <w:sz w:val="16"/>
          <w:szCs w:val="16"/>
          <w:color w:val="auto"/>
        </w:rPr>
        <w:t xml:space="preserve"> (Topic 954): </w:t>
      </w:r>
      <w:r>
        <w:rPr>
          <w:rFonts w:ascii="Arial" w:cs="Arial" w:eastAsia="Arial" w:hAnsi="Arial"/>
          <w:sz w:val="16"/>
          <w:szCs w:val="16"/>
          <w:i w:val="1"/>
          <w:iCs w:val="1"/>
          <w:color w:val="auto"/>
        </w:rPr>
        <w:t>Presentation and Disclosure of Patient Service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Provision for Bad Debts, and the Allowance for Doubtful Accounts for Certain Health Care Entities” </w:t>
      </w:r>
      <w:r>
        <w:rPr>
          <w:rFonts w:ascii="Arial" w:cs="Arial" w:eastAsia="Arial" w:hAnsi="Arial"/>
          <w:sz w:val="16"/>
          <w:szCs w:val="16"/>
          <w:color w:val="auto"/>
        </w:rPr>
        <w:t>(“ASU 2011-07”).</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represent, for PHC, actual results for the periods presented, up to the November 1, 2011 acquisition date. The condensed consolidated statements of operations of PHC have been reclassified to conform to Acadia’s expense classification policies, including the reclassification of the provision for doubtful accounts from operating expenses to a deduction from revenue.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represent, for HHC Delaware, actual results for the periods presented, up to July 1, 2011, the date of PHC’s acquisition of HHC Delaware. The condensed consolidated statements of operations of HHC Delaware have been reclassified to present the provision for doubtful accounts as a deduction from revenue in accordance with ASU 2011-07.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in this column represent, for the Haven Facilities, actual results for the periods presented, up to the March 1, 2012 acquisition date.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represent, for other acquisitions, actual results for the periods presented, up to the acquisition dates.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0" w:name="page31"/>
    <w:bookmarkEnd w:id="30"/>
    <w:p>
      <w:pPr>
        <w:ind w:left="460" w:right="3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this column represent pro forma combined results of operations for acquisitions completed as of September 30, 2012 for the year ended December 31, 2011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YFCS </w:t>
            </w:r>
            <w:r>
              <w:rPr>
                <w:rFonts w:ascii="Arial" w:cs="Arial" w:eastAsia="Arial" w:hAnsi="Arial"/>
                <w:sz w:val="22"/>
                <w:szCs w:val="22"/>
                <w:b w:val="1"/>
                <w:bCs w:val="1"/>
                <w:color w:val="auto"/>
                <w:vertAlign w:val="superscript"/>
              </w:rPr>
              <w:t>(11)</w:t>
            </w:r>
          </w:p>
        </w:tc>
        <w:tc>
          <w:tcPr>
            <w:tcW w:w="880" w:type="dxa"/>
            <w:vAlign w:val="bottom"/>
            <w:gridSpan w:val="3"/>
            <w:vMerge w:val="restart"/>
          </w:tcPr>
          <w:p>
            <w:pPr>
              <w:jc w:val="right"/>
              <w:ind w:right="340"/>
              <w:spacing w:after="0"/>
              <w:rPr>
                <w:sz w:val="20"/>
                <w:szCs w:val="20"/>
                <w:color w:val="auto"/>
              </w:rPr>
            </w:pPr>
            <w:r>
              <w:rPr>
                <w:rFonts w:ascii="Arial" w:cs="Arial" w:eastAsia="Arial" w:hAnsi="Arial"/>
                <w:sz w:val="27"/>
                <w:szCs w:val="27"/>
                <w:b w:val="1"/>
                <w:bCs w:val="1"/>
                <w:color w:val="auto"/>
                <w:w w:val="85"/>
                <w:vertAlign w:val="subscript"/>
              </w:rPr>
              <w:t>PHC</w:t>
            </w:r>
            <w:r>
              <w:rPr>
                <w:rFonts w:ascii="Arial" w:cs="Arial" w:eastAsia="Arial" w:hAnsi="Arial"/>
                <w:sz w:val="11"/>
                <w:szCs w:val="11"/>
                <w:b w:val="1"/>
                <w:bCs w:val="1"/>
                <w:color w:val="auto"/>
                <w:w w:val="85"/>
              </w:rPr>
              <w:t xml:space="preserve"> (12)</w:t>
            </w:r>
          </w:p>
        </w:tc>
        <w:tc>
          <w:tcPr>
            <w:tcW w:w="2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HHC</w:t>
            </w:r>
          </w:p>
        </w:tc>
        <w:tc>
          <w:tcPr>
            <w:tcW w:w="16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HAVEN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PRO FORMA</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COMPLETED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DELAWARE </w:t>
            </w:r>
            <w:r>
              <w:rPr>
                <w:rFonts w:ascii="Arial" w:cs="Arial" w:eastAsia="Arial" w:hAnsi="Arial"/>
                <w:sz w:val="20"/>
                <w:szCs w:val="20"/>
                <w:b w:val="1"/>
                <w:bCs w:val="1"/>
                <w:color w:val="auto"/>
                <w:vertAlign w:val="superscript"/>
              </w:rPr>
              <w:t>(13)</w:t>
            </w:r>
          </w:p>
        </w:tc>
        <w:tc>
          <w:tcPr>
            <w:tcW w:w="11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FACILITIES </w:t>
            </w:r>
            <w:r>
              <w:rPr>
                <w:rFonts w:ascii="Arial" w:cs="Arial" w:eastAsia="Arial" w:hAnsi="Arial"/>
                <w:sz w:val="20"/>
                <w:szCs w:val="20"/>
                <w:b w:val="1"/>
                <w:bCs w:val="1"/>
                <w:color w:val="auto"/>
                <w:vertAlign w:val="superscript"/>
              </w:rPr>
              <w:t>(14)</w:t>
            </w:r>
          </w:p>
        </w:tc>
        <w:tc>
          <w:tcPr>
            <w:tcW w:w="120" w:type="dxa"/>
            <w:vAlign w:val="bottom"/>
          </w:tcPr>
          <w:p>
            <w:pPr>
              <w:spacing w:after="0"/>
              <w:rPr>
                <w:sz w:val="15"/>
                <w:szCs w:val="15"/>
                <w:color w:val="auto"/>
              </w:rPr>
            </w:pPr>
          </w:p>
        </w:tc>
        <w:tc>
          <w:tcPr>
            <w:tcW w:w="13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ACQUISITIONS </w:t>
            </w:r>
            <w:r>
              <w:rPr>
                <w:rFonts w:ascii="Arial" w:cs="Arial" w:eastAsia="Arial" w:hAnsi="Arial"/>
                <w:sz w:val="20"/>
                <w:szCs w:val="20"/>
                <w:b w:val="1"/>
                <w:bCs w:val="1"/>
                <w:color w:val="auto"/>
                <w:vertAlign w:val="superscript"/>
              </w:rPr>
              <w:t>(15)</w:t>
            </w:r>
          </w:p>
        </w:tc>
        <w:tc>
          <w:tcPr>
            <w:tcW w:w="1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NOTES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Revenue before provision for</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doubtful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45,686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59,786</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43,448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Provision for doubtful</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accounts</w:t>
            </w: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(3,466)</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45,478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56,320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29,502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21,391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Supplies</w:t>
            </w: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2,204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7,576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(5,425)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(20b)</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(20c)</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419</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17,661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Sponsor management fees</w:t>
            </w: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expenses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Change in fair value of</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41,954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56,888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30,987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22,336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14,422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before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(14,422)</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Provision (benefit) for income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(5,625)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(8,797)</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9,268</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(27b)</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9,268</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(27b)</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93"/>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ind w:left="460" w:right="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this column represent pro forma information for acquisitions completed as of September 30, 2012 for the nine months ended September 30, 2012.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HAVEN</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PRO FORMA</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COMPLETED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8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FACILITIES </w:t>
            </w:r>
            <w:r>
              <w:rPr>
                <w:rFonts w:ascii="Arial" w:cs="Arial" w:eastAsia="Arial" w:hAnsi="Arial"/>
                <w:sz w:val="20"/>
                <w:szCs w:val="20"/>
                <w:b w:val="1"/>
                <w:bCs w:val="1"/>
                <w:color w:val="auto"/>
                <w:vertAlign w:val="superscript"/>
              </w:rPr>
              <w:t>(14)</w:t>
            </w:r>
          </w:p>
        </w:tc>
        <w:tc>
          <w:tcPr>
            <w:tcW w:w="340" w:type="dxa"/>
            <w:vAlign w:val="bottom"/>
          </w:tcPr>
          <w:p>
            <w:pPr>
              <w:spacing w:after="0"/>
              <w:rPr>
                <w:sz w:val="15"/>
                <w:szCs w:val="15"/>
                <w:color w:val="auto"/>
              </w:rPr>
            </w:pPr>
          </w:p>
        </w:tc>
        <w:tc>
          <w:tcPr>
            <w:tcW w:w="186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ACQUISITIONS </w:t>
            </w:r>
            <w:r>
              <w:rPr>
                <w:rFonts w:ascii="Arial" w:cs="Arial" w:eastAsia="Arial" w:hAnsi="Arial"/>
                <w:sz w:val="20"/>
                <w:szCs w:val="20"/>
                <w:b w:val="1"/>
                <w:bCs w:val="1"/>
                <w:color w:val="auto"/>
                <w:vertAlign w:val="superscript"/>
              </w:rPr>
              <w:t>(15)</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NOTES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 before provision for doubtful accounts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22,465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3,694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2,671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(20c)</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6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(20d)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(21a)</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5,317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16,414</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6,051</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(328)</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595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2,360</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(128)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2" w:name="page33"/>
    <w:bookmarkEnd w:id="32"/>
    <w:p>
      <w:pPr>
        <w:ind w:left="460" w:right="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this column represent pro forma information for acquisitions completed as of September 30, 2012 for the nine months ended September 30, 2011.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YFCS </w:t>
            </w:r>
            <w:r>
              <w:rPr>
                <w:rFonts w:ascii="Arial" w:cs="Arial" w:eastAsia="Arial" w:hAnsi="Arial"/>
                <w:sz w:val="22"/>
                <w:szCs w:val="22"/>
                <w:b w:val="1"/>
                <w:bCs w:val="1"/>
                <w:color w:val="auto"/>
                <w:vertAlign w:val="superscript"/>
              </w:rPr>
              <w:t>(11)</w:t>
            </w: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27"/>
                <w:szCs w:val="27"/>
                <w:b w:val="1"/>
                <w:bCs w:val="1"/>
                <w:color w:val="auto"/>
                <w:w w:val="85"/>
                <w:vertAlign w:val="subscript"/>
              </w:rPr>
              <w:t>PHC</w:t>
            </w:r>
            <w:r>
              <w:rPr>
                <w:rFonts w:ascii="Arial" w:cs="Arial" w:eastAsia="Arial" w:hAnsi="Arial"/>
                <w:sz w:val="11"/>
                <w:szCs w:val="11"/>
                <w:b w:val="1"/>
                <w:bCs w:val="1"/>
                <w:color w:val="auto"/>
                <w:w w:val="85"/>
              </w:rPr>
              <w:t xml:space="preserve"> (12)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HHC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HAVEN</w:t>
            </w:r>
          </w:p>
        </w:tc>
        <w:tc>
          <w:tcPr>
            <w:tcW w:w="22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PRO FORMA</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COMPLETED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DELAWARE </w:t>
            </w:r>
            <w:r>
              <w:rPr>
                <w:rFonts w:ascii="Arial" w:cs="Arial" w:eastAsia="Arial" w:hAnsi="Arial"/>
                <w:sz w:val="20"/>
                <w:szCs w:val="20"/>
                <w:b w:val="1"/>
                <w:bCs w:val="1"/>
                <w:color w:val="auto"/>
                <w:vertAlign w:val="superscript"/>
              </w:rPr>
              <w:t>(13)</w:t>
            </w:r>
          </w:p>
        </w:tc>
        <w:tc>
          <w:tcPr>
            <w:tcW w:w="120" w:type="dxa"/>
            <w:vAlign w:val="bottom"/>
          </w:tcPr>
          <w:p>
            <w:pPr>
              <w:spacing w:after="0"/>
              <w:rPr>
                <w:sz w:val="15"/>
                <w:szCs w:val="15"/>
                <w:color w:val="auto"/>
              </w:rPr>
            </w:pPr>
          </w:p>
        </w:tc>
        <w:tc>
          <w:tcPr>
            <w:tcW w:w="130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FACILITIES </w:t>
            </w:r>
            <w:r>
              <w:rPr>
                <w:rFonts w:ascii="Arial" w:cs="Arial" w:eastAsia="Arial" w:hAnsi="Arial"/>
                <w:sz w:val="20"/>
                <w:szCs w:val="20"/>
                <w:b w:val="1"/>
                <w:bCs w:val="1"/>
                <w:color w:val="auto"/>
                <w:vertAlign w:val="superscript"/>
              </w:rPr>
              <w:t>(14)</w:t>
            </w:r>
          </w:p>
        </w:tc>
        <w:tc>
          <w:tcPr>
            <w:tcW w:w="14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ACQUISITIONS </w:t>
            </w:r>
            <w:r>
              <w:rPr>
                <w:rFonts w:ascii="Arial" w:cs="Arial" w:eastAsia="Arial" w:hAnsi="Arial"/>
                <w:sz w:val="20"/>
                <w:szCs w:val="20"/>
                <w:b w:val="1"/>
                <w:bCs w:val="1"/>
                <w:color w:val="auto"/>
                <w:vertAlign w:val="superscript"/>
              </w:rPr>
              <w:t>(15)</w:t>
            </w:r>
          </w:p>
        </w:tc>
        <w:tc>
          <w:tcPr>
            <w:tcW w:w="1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NOTES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Revenue before provision for</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doubtful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45,686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52,989</w:t>
            </w: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32,872</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Provision for doubtful</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accounts</w:t>
            </w: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45,478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29,502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27,840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Supplies</w:t>
            </w: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2,204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(5,425)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397</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(20b)</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(20c)</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Sponsor management fees</w:t>
            </w: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expenses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(2,896)</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Change in fair value of</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41,954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50,410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16,542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12,619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before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(12,619)</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Provision (benefit) for income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(4,921)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(7,698)</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9,583</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(27b)</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(27a)</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9,583</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(27b)</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reclassification from YFCS other operating expenses of: (a) professional fees of $1,901 for the three months ended March 31, 2011,</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(b) supplies expense of $2,204 for the three months ended March 31, 2011, and (c) rent expense of $1,320 for the three months ended March 31, 2011.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3" w:name="page34"/>
    <w:bookmarkEnd w:id="33"/>
    <w:p>
      <w:pPr>
        <w:ind w:left="460" w:right="8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adjustments to depreciation and amortization expense as a result of recording the property and equipment and intangible assets at preliminary estimates of fair value as of the respective dates of the acquisitions, as follows: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YFCS acquisition: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TWELVE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USEFUL LIVES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8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MONTHLY</w:t>
            </w:r>
          </w:p>
        </w:tc>
        <w:tc>
          <w:tcPr>
            <w:tcW w:w="20" w:type="dxa"/>
            <w:vAlign w:val="bottom"/>
          </w:tcPr>
          <w:p>
            <w:pPr>
              <w:spacing w:after="0"/>
              <w:rPr>
                <w:sz w:val="11"/>
                <w:szCs w:val="11"/>
                <w:color w:val="auto"/>
              </w:rPr>
            </w:pPr>
          </w:p>
        </w:tc>
        <w:tc>
          <w:tcPr>
            <w:tcW w:w="142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28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2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(IN YEARS)</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6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2,694</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21,562</w:t>
            </w:r>
          </w:p>
        </w:tc>
        <w:tc>
          <w:tcPr>
            <w:tcW w:w="20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5"/>
              </w:rPr>
              <w:t>25, or lease term</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2,024</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w:t>
            </w:r>
          </w:p>
        </w:tc>
        <w:tc>
          <w:tcPr>
            <w:tcW w:w="20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31,641</w:t>
            </w: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3,835</w:t>
            </w:r>
          </w:p>
        </w:tc>
        <w:tc>
          <w:tcPr>
            <w:tcW w:w="20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Non-compete intangible asset</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321</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Patient-related intangible asset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60" w:type="dxa"/>
            <w:vAlign w:val="bottom"/>
            <w:gridSpan w:val="2"/>
          </w:tcPr>
          <w:p>
            <w:pPr>
              <w:spacing w:after="0"/>
              <w:rPr>
                <w:sz w:val="20"/>
                <w:szCs w:val="20"/>
                <w:color w:val="auto"/>
              </w:rPr>
            </w:pPr>
            <w:r>
              <w:rPr>
                <w:rFonts w:ascii="Arial" w:cs="Arial" w:eastAsia="Arial" w:hAnsi="Arial"/>
                <w:sz w:val="18"/>
                <w:szCs w:val="18"/>
                <w:color w:val="auto"/>
              </w:rPr>
              <w:t>Total depreciation and amortization</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depreciation and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5"/>
        </w:trPr>
        <w:tc>
          <w:tcPr>
            <w:tcW w:w="356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52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The adjustment to decrease depreciation and amortization expense relates to the excess of the historical amortization of the pre-acquisition intangible assets of YFCS over the amortization expense resulting from the intangible assets identified by Acadia in its acquisition of YFCS.</w:t>
      </w:r>
    </w:p>
    <w:p>
      <w:pPr>
        <w:spacing w:after="0" w:line="1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(b)</w:t>
        <w:tab/>
        <w:t>PHC acquisition: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TWELVE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USEFUL LIVES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28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rPr>
              <w:t>MONTHLY</w:t>
            </w:r>
          </w:p>
        </w:tc>
        <w:tc>
          <w:tcPr>
            <w:tcW w:w="580" w:type="dxa"/>
            <w:vAlign w:val="bottom"/>
          </w:tcPr>
          <w:p>
            <w:pPr>
              <w:spacing w:after="0"/>
              <w:rPr>
                <w:sz w:val="11"/>
                <w:szCs w:val="11"/>
                <w:color w:val="auto"/>
              </w:rPr>
            </w:pPr>
          </w:p>
        </w:tc>
        <w:tc>
          <w:tcPr>
            <w:tcW w:w="14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28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5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8"/>
              </w:rPr>
              <w:t>DEPRECIATION</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7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6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12,194</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25, or lease term</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1,751</w:t>
            </w:r>
          </w:p>
        </w:tc>
        <w:tc>
          <w:tcPr>
            <w:tcW w:w="148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16,885</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Customer contract intangibles</w:t>
            </w:r>
          </w:p>
        </w:tc>
        <w:tc>
          <w:tcPr>
            <w:tcW w:w="12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2,100</w:t>
            </w:r>
          </w:p>
        </w:tc>
        <w:tc>
          <w:tcPr>
            <w:tcW w:w="1480" w:type="dxa"/>
            <w:vAlign w:val="bottom"/>
          </w:tcPr>
          <w:p>
            <w:pPr>
              <w:jc w:val="right"/>
              <w:ind w:right="617"/>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5"/>
        </w:trPr>
        <w:tc>
          <w:tcPr>
            <w:tcW w:w="3640" w:type="dxa"/>
            <w:vAlign w:val="bottom"/>
            <w:gridSpan w:val="2"/>
          </w:tcPr>
          <w:p>
            <w:pPr>
              <w:spacing w:after="0"/>
              <w:rPr>
                <w:sz w:val="20"/>
                <w:szCs w:val="20"/>
                <w:color w:val="auto"/>
              </w:rPr>
            </w:pPr>
            <w:r>
              <w:rPr>
                <w:rFonts w:ascii="Arial" w:cs="Arial" w:eastAsia="Arial" w:hAnsi="Arial"/>
                <w:sz w:val="18"/>
                <w:szCs w:val="18"/>
                <w:color w:val="auto"/>
              </w:rPr>
              <w:t>Less: PHC and MeadowWood historical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w:t>
            </w:r>
          </w:p>
        </w:tc>
        <w:tc>
          <w:tcPr>
            <w:tcW w:w="52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vMerge w:val="restart"/>
          </w:tcPr>
          <w:p>
            <w:pPr>
              <w:jc w:val="right"/>
              <w:ind w:right="457"/>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4" w:name="page35"/>
    <w:bookmarkEnd w:id="34"/>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Haven Facilities acquisition: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9"/>
              </w:rPr>
              <w:t>TWELVE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NINE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USEFUL LIVES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4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2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MONTHLY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4"/>
          </w:tcPr>
          <w:p>
            <w:pPr>
              <w:jc w:val="center"/>
              <w:ind w:right="52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1"/>
                <w:szCs w:val="11"/>
                <w:color w:val="auto"/>
              </w:rPr>
            </w:pPr>
          </w:p>
        </w:tc>
        <w:tc>
          <w:tcPr>
            <w:tcW w:w="138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SEPTEMBER 30,</w:t>
            </w:r>
          </w:p>
        </w:tc>
        <w:tc>
          <w:tcPr>
            <w:tcW w:w="2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55"/>
              <w:spacing w:after="0"/>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2,960</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8,840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25, or lease term</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w w:val="79"/>
              </w:rPr>
              <w:t>348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180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528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Indefinite-lived intangible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1,050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Non-compete intangible asset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rPr>
              <w:t>Total depreciation and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w w:val="79"/>
              </w:rPr>
              <w:t>576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depreciation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amortization expense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expense adjustment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(470)</w:t>
            </w: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(76)</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vMerge w:val="restart"/>
          </w:tcPr>
          <w:p>
            <w:pPr>
              <w:ind w:left="440"/>
              <w:spacing w:after="0"/>
              <w:rPr>
                <w:sz w:val="20"/>
                <w:szCs w:val="20"/>
                <w:color w:val="auto"/>
              </w:rPr>
            </w:pPr>
            <w:r>
              <w:rPr>
                <w:rFonts w:ascii="Arial" w:cs="Arial" w:eastAsia="Arial" w:hAnsi="Arial"/>
                <w:sz w:val="18"/>
                <w:szCs w:val="18"/>
                <w:color w:val="auto"/>
              </w:rPr>
              <w:t>(d)   Other acquisitions:</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9"/>
              </w:rPr>
              <w:t>TWELVE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NINE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USEFUL LIVES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20" w:type="dxa"/>
            <w:vAlign w:val="bottom"/>
          </w:tcPr>
          <w:p>
            <w:pPr>
              <w:spacing w:after="0"/>
              <w:rPr>
                <w:sz w:val="12"/>
                <w:szCs w:val="12"/>
                <w:color w:val="auto"/>
              </w:rPr>
            </w:pPr>
          </w:p>
        </w:tc>
        <w:tc>
          <w:tcPr>
            <w:tcW w:w="13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2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MONTHLY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4"/>
          </w:tcPr>
          <w:p>
            <w:pPr>
              <w:jc w:val="center"/>
              <w:ind w:right="48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1"/>
                <w:szCs w:val="11"/>
                <w:color w:val="auto"/>
              </w:rPr>
            </w:pPr>
          </w:p>
        </w:tc>
        <w:tc>
          <w:tcPr>
            <w:tcW w:w="138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2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55"/>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Land improvements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2,601</w:t>
            </w:r>
          </w:p>
        </w:tc>
        <w:tc>
          <w:tcPr>
            <w:tcW w:w="420" w:type="dxa"/>
            <w:vAlign w:val="bottom"/>
          </w:tcPr>
          <w:p>
            <w:pPr>
              <w:spacing w:after="0"/>
              <w:rPr>
                <w:sz w:val="18"/>
                <w:szCs w:val="18"/>
                <w:color w:val="auto"/>
              </w:rPr>
            </w:pPr>
          </w:p>
        </w:tc>
        <w:tc>
          <w:tcPr>
            <w:tcW w:w="138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10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w w:val="79"/>
              </w:rPr>
              <w:t>260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w w:val="79"/>
              </w:rPr>
              <w:t>176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25, or lease term</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372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248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420" w:type="dxa"/>
            <w:vAlign w:val="bottom"/>
          </w:tcPr>
          <w:p>
            <w:pPr>
              <w:spacing w:after="0"/>
              <w:rPr>
                <w:sz w:val="18"/>
                <w:szCs w:val="18"/>
                <w:color w:val="auto"/>
              </w:rPr>
            </w:pPr>
          </w:p>
        </w:tc>
        <w:tc>
          <w:tcPr>
            <w:tcW w:w="13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3-7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13,624</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w w:val="79"/>
              </w:rPr>
              <w:t>728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w w:val="79"/>
              </w:rPr>
              <w:t>488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Non-compete intangible asset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9"/>
                <w:szCs w:val="19"/>
                <w:color w:val="auto"/>
              </w:rPr>
            </w:pPr>
          </w:p>
        </w:tc>
        <w:tc>
          <w:tcPr>
            <w:tcW w:w="138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w w:val="79"/>
              </w:rPr>
              <w:t>166</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894</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488</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w w:val="94"/>
              </w:rPr>
              <w:t>Less: historical depreciation and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adjustment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419</w:t>
            </w:r>
          </w:p>
        </w:tc>
        <w:tc>
          <w:tcPr>
            <w:tcW w:w="4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147</w:t>
            </w:r>
          </w:p>
        </w:tc>
        <w:tc>
          <w:tcPr>
            <w:tcW w:w="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5" w:name="page36"/>
    <w:bookmarkEnd w:id="35"/>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acquisition: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TWELVE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NINE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USEFUL LIVES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640"/>
              <w:spacing w:after="0" w:line="135" w:lineRule="exact"/>
              <w:rPr>
                <w:sz w:val="20"/>
                <w:szCs w:val="20"/>
                <w:color w:val="auto"/>
              </w:rPr>
            </w:pPr>
            <w:r>
              <w:rPr>
                <w:rFonts w:ascii="Arial" w:cs="Arial" w:eastAsia="Arial" w:hAnsi="Arial"/>
                <w:sz w:val="14"/>
                <w:szCs w:val="14"/>
                <w:b w:val="1"/>
                <w:bCs w:val="1"/>
                <w:color w:val="auto"/>
              </w:rPr>
              <w:t>MONTHLY</w:t>
            </w:r>
          </w:p>
        </w:tc>
        <w:tc>
          <w:tcPr>
            <w:tcW w:w="13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1"/>
                <w:szCs w:val="11"/>
                <w:color w:val="auto"/>
              </w:rPr>
            </w:pPr>
          </w:p>
        </w:tc>
        <w:tc>
          <w:tcPr>
            <w:tcW w:w="14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2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 YEARS)</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8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7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4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16,930</w:t>
            </w: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25, or lease term</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6"/>
              </w:rPr>
              <w:t>508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44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20,923</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766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Indefinite-lived intangible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1,640</w:t>
            </w: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Non-compete intangible asset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5"/>
        </w:trPr>
        <w:tc>
          <w:tcPr>
            <w:tcW w:w="2620" w:type="dxa"/>
            <w:vAlign w:val="bottom"/>
            <w:gridSpan w:val="2"/>
          </w:tcPr>
          <w:p>
            <w:pPr>
              <w:spacing w:after="0"/>
              <w:rPr>
                <w:sz w:val="20"/>
                <w:szCs w:val="20"/>
                <w:color w:val="auto"/>
              </w:rPr>
            </w:pPr>
            <w:r>
              <w:rPr>
                <w:rFonts w:ascii="Arial" w:cs="Arial" w:eastAsia="Arial" w:hAnsi="Arial"/>
                <w:sz w:val="18"/>
                <w:szCs w:val="18"/>
                <w:color w:val="auto"/>
              </w:rPr>
              <w:t>Total depreciation and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1,072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6"/>
              </w:rPr>
              <w:t>803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depreciation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amortization expense</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5"/>
        </w:trPr>
        <w:tc>
          <w:tcPr>
            <w:tcW w:w="2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expense adjustment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w w:val="86"/>
              </w:rPr>
              <w:t>100</w:t>
            </w:r>
          </w:p>
        </w:tc>
        <w:tc>
          <w:tcPr>
            <w:tcW w:w="260"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440"/>
              <w:spacing w:after="0"/>
              <w:rPr>
                <w:sz w:val="20"/>
                <w:szCs w:val="20"/>
                <w:color w:val="auto"/>
              </w:rPr>
            </w:pPr>
            <w:r>
              <w:rPr>
                <w:rFonts w:ascii="Arial" w:cs="Arial" w:eastAsia="Arial" w:hAnsi="Arial"/>
                <w:sz w:val="18"/>
                <w:szCs w:val="18"/>
                <w:color w:val="auto"/>
              </w:rPr>
              <w:t>(f)   BCA acquisition:</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TWELVE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NINE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USEFUL LIVES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20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640"/>
              <w:spacing w:after="0" w:line="135" w:lineRule="exact"/>
              <w:rPr>
                <w:sz w:val="20"/>
                <w:szCs w:val="20"/>
                <w:color w:val="auto"/>
              </w:rPr>
            </w:pPr>
            <w:r>
              <w:rPr>
                <w:rFonts w:ascii="Arial" w:cs="Arial" w:eastAsia="Arial" w:hAnsi="Arial"/>
                <w:sz w:val="14"/>
                <w:szCs w:val="14"/>
                <w:b w:val="1"/>
                <w:bCs w:val="1"/>
                <w:color w:val="auto"/>
              </w:rPr>
              <w:t>MONTHLY</w:t>
            </w:r>
          </w:p>
        </w:tc>
        <w:tc>
          <w:tcPr>
            <w:tcW w:w="13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1"/>
                <w:szCs w:val="11"/>
                <w:color w:val="auto"/>
              </w:rPr>
            </w:pPr>
          </w:p>
        </w:tc>
        <w:tc>
          <w:tcPr>
            <w:tcW w:w="14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2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 YEARS)</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8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7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4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15,073</w:t>
            </w: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25, or lease term</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6"/>
              </w:rPr>
              <w:t>452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5,057</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759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44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23,947</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Indefinite-lived intangible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1,850</w:t>
            </w: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Non-compete intangible asset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5"/>
        </w:trPr>
        <w:tc>
          <w:tcPr>
            <w:tcW w:w="2620" w:type="dxa"/>
            <w:vAlign w:val="bottom"/>
            <w:gridSpan w:val="2"/>
          </w:tcPr>
          <w:p>
            <w:pPr>
              <w:spacing w:after="0"/>
              <w:rPr>
                <w:sz w:val="20"/>
                <w:szCs w:val="20"/>
                <w:color w:val="auto"/>
              </w:rPr>
            </w:pPr>
            <w:r>
              <w:rPr>
                <w:rFonts w:ascii="Arial" w:cs="Arial" w:eastAsia="Arial" w:hAnsi="Arial"/>
                <w:sz w:val="18"/>
                <w:szCs w:val="18"/>
                <w:color w:val="auto"/>
              </w:rPr>
              <w:t>Total depreciation and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1,689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depreciation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amortization expense</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5"/>
        </w:trPr>
        <w:tc>
          <w:tcPr>
            <w:tcW w:w="2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expense adjustment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734</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w w:val="86"/>
              </w:rPr>
              <w:t>260</w:t>
            </w:r>
          </w:p>
        </w:tc>
        <w:tc>
          <w:tcPr>
            <w:tcW w:w="260"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ind w:left="2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p>
    <w:p>
      <w:pPr>
        <w:spacing w:after="0" w:line="90" w:lineRule="exact"/>
        <w:rPr>
          <w:sz w:val="20"/>
          <w:szCs w:val="20"/>
          <w:color w:val="auto"/>
        </w:rPr>
      </w:pPr>
    </w:p>
    <w:p>
      <w:pPr>
        <w:ind w:left="900" w:right="20" w:hanging="446"/>
        <w:spacing w:after="0" w:line="290"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adjustments to interest expense to give effect to the senior secured credit facility entered into by Acadia on April 1, 2011 (the “Senior Secured Credit Facility”), the issuance of $150,000 of 12.875% Senior Notes (“Senior Notes”) on November 1, 2011, the amendment to the interest rate applicable to the Senior Secured Credit Facility on November 1, 2011, and the amendment to the Senior Secured Credit Facility on March 1, 2012 to issue incremental term loans of $25,000 and increase the revolving line of credit from $30,000 to $75,000 and to the borrowing of $7,000 under the revolving line of credit. Interest expense includes related amortization of $1,000 of deferred financing cost and debt discounts for the year ended December 31, 2011 and $900 for the nine months ended September 30, 2011. The interest expense calculation for the amendment to the Senior Secured Credit Facility on March 1, 2012 assumes the 4.5% rate in effect as of such date was in place throughout the period.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20" w:type="dxa"/>
            <w:vAlign w:val="bottom"/>
            <w:gridSpan w:val="3"/>
          </w:tcPr>
          <w:p>
            <w:pPr>
              <w:ind w:left="20"/>
              <w:spacing w:after="0"/>
              <w:rPr>
                <w:sz w:val="20"/>
                <w:szCs w:val="20"/>
                <w:color w:val="auto"/>
              </w:rPr>
            </w:pPr>
            <w:r>
              <w:rPr>
                <w:rFonts w:ascii="Arial" w:cs="Arial" w:eastAsia="Arial" w:hAnsi="Arial"/>
                <w:sz w:val="14"/>
                <w:szCs w:val="14"/>
                <w:b w:val="1"/>
                <w:bCs w:val="1"/>
                <w:color w:val="auto"/>
              </w:rPr>
              <w:t>TWELVE MONTHS</w:t>
            </w:r>
          </w:p>
        </w:tc>
        <w:tc>
          <w:tcPr>
            <w:tcW w:w="14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right"/>
              <w:ind w:right="134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4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2011</w:t>
            </w:r>
          </w:p>
        </w:tc>
        <w:tc>
          <w:tcPr>
            <w:tcW w:w="0" w:type="dxa"/>
            <w:vAlign w:val="bottom"/>
          </w:tcPr>
          <w:p>
            <w:pPr>
              <w:spacing w:after="0"/>
              <w:rPr>
                <w:sz w:val="1"/>
                <w:szCs w:val="1"/>
                <w:color w:val="auto"/>
              </w:rPr>
            </w:pPr>
          </w:p>
        </w:tc>
      </w:tr>
      <w:tr>
        <w:trPr>
          <w:trHeight w:val="188"/>
        </w:trPr>
        <w:tc>
          <w:tcPr>
            <w:tcW w:w="54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Interest related to Senior Secured Credit Facility entered into on</w:t>
            </w: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April 1, 2011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related to Senior Notes issued on November 1, 2011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15,390</w:t>
            </w:r>
          </w:p>
        </w:tc>
        <w:tc>
          <w:tcPr>
            <w:tcW w:w="0" w:type="dxa"/>
            <w:vAlign w:val="bottom"/>
          </w:tcPr>
          <w:p>
            <w:pPr>
              <w:spacing w:after="0"/>
              <w:rPr>
                <w:sz w:val="1"/>
                <w:szCs w:val="1"/>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related to amendment to the Senior Secured Credit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on November 1, 2011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8"/>
                <w:szCs w:val="18"/>
                <w:color w:val="auto"/>
              </w:rPr>
              <w:t>Interest related to amendment to the Senior Secured Credit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220"/>
              <w:spacing w:after="0"/>
              <w:rPr>
                <w:sz w:val="20"/>
                <w:szCs w:val="20"/>
                <w:color w:val="auto"/>
              </w:rPr>
            </w:pPr>
            <w:r>
              <w:rPr>
                <w:rFonts w:ascii="Arial" w:cs="Arial" w:eastAsia="Arial" w:hAnsi="Arial"/>
                <w:sz w:val="18"/>
                <w:szCs w:val="18"/>
                <w:color w:val="auto"/>
              </w:rPr>
              <w:t>Facility on March 1, 2012</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1,914</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313</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interest expense of Acadia (for the period prior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April 1, 2011), YFCS, PHC, MeadowWood, and Haven as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which the related debt has been repaid</w:t>
            </w:r>
          </w:p>
        </w:tc>
        <w:tc>
          <w:tcPr>
            <w:tcW w:w="2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Interest expense adjustment</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17,661</w:t>
            </w:r>
          </w:p>
        </w:tc>
        <w:tc>
          <w:tcPr>
            <w:tcW w:w="9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257</w:t>
            </w:r>
          </w:p>
        </w:tc>
        <w:tc>
          <w:tcPr>
            <w:tcW w:w="500" w:type="dxa"/>
            <w:vAlign w:val="bottom"/>
          </w:tcPr>
          <w:p>
            <w:pPr>
              <w:spacing w:after="0"/>
              <w:rPr>
                <w:sz w:val="19"/>
                <w:szCs w:val="19"/>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260" w:hanging="446"/>
        <w:spacing w:after="0" w:line="305"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adjustments to interest expense to give effect to the Incremental Term Loans based on an estimated interest rate of 3.25% and to adjust historical interest expense on the Senior Secured Credit facility entered on April 1, 2011 from the interest rate that was in effect for that period to</w:t>
      </w:r>
    </w:p>
    <w:p>
      <w:pPr>
        <w:jc w:val="both"/>
        <w:ind w:left="900" w:right="200"/>
        <w:spacing w:after="0" w:line="255" w:lineRule="auto"/>
        <w:rPr>
          <w:rFonts w:ascii="Arial" w:cs="Arial" w:eastAsia="Arial" w:hAnsi="Arial"/>
          <w:sz w:val="15"/>
          <w:szCs w:val="15"/>
          <w:color w:val="auto"/>
        </w:rPr>
      </w:pPr>
      <w:r>
        <w:rPr>
          <w:rFonts w:ascii="Arial" w:cs="Arial" w:eastAsia="Arial" w:hAnsi="Arial"/>
          <w:sz w:val="18"/>
          <w:szCs w:val="18"/>
          <w:color w:val="auto"/>
        </w:rPr>
        <w:t>3.25%. Interest expense includes related amortization of $650 of deferred financing cost and debt discounts for the year ended December 31, 2011 and $450 for the nine months ended September 30, 2011 and 2012. The interest expense calculation for the Senior Secured Credit Facility assumes the 3.25% rate was in place throughout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TWELVE MONTHS</w:t>
            </w:r>
          </w:p>
        </w:tc>
        <w:tc>
          <w:tcPr>
            <w:tcW w:w="140" w:type="dxa"/>
            <w:vAlign w:val="bottom"/>
          </w:tcPr>
          <w:p>
            <w:pPr>
              <w:spacing w:after="0"/>
              <w:rPr>
                <w:sz w:val="14"/>
                <w:szCs w:val="14"/>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NINE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right"/>
              <w:ind w:right="13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7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4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2011</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Incremental Term Loans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rPr>
              <w:t>Effect of amendment to lower interest rate on Senior Secured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220"/>
              <w:spacing w:after="0"/>
              <w:rPr>
                <w:sz w:val="20"/>
                <w:szCs w:val="20"/>
                <w:color w:val="auto"/>
              </w:rPr>
            </w:pPr>
            <w:r>
              <w:rPr>
                <w:rFonts w:ascii="Arial" w:cs="Arial" w:eastAsia="Arial" w:hAnsi="Arial"/>
                <w:sz w:val="18"/>
                <w:szCs w:val="18"/>
                <w:color w:val="auto"/>
              </w:rPr>
              <w:t>Credit Facility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8"/>
                <w:szCs w:val="18"/>
                <w:color w:val="auto"/>
              </w:rPr>
              <w:t>(1,687)</w:t>
            </w:r>
          </w:p>
        </w:tc>
        <w:tc>
          <w:tcPr>
            <w:tcW w:w="140" w:type="dxa"/>
            <w:vAlign w:val="bottom"/>
          </w:tcPr>
          <w:p>
            <w:pPr>
              <w:spacing w:after="0"/>
              <w:rPr>
                <w:sz w:val="19"/>
                <w:szCs w:val="19"/>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rPr>
              <w:t>(1,186)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interest expense of BCA and AmiCare as to</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which the related debt will not be assumed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(1,929)</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(1,257)</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Interest expense adjustment</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9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2,006</w:t>
            </w:r>
          </w:p>
        </w:tc>
        <w:tc>
          <w:tcPr>
            <w:tcW w:w="500" w:type="dxa"/>
            <w:vAlign w:val="bottom"/>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An increase or decrease of 0.125% in the assumed interest rate would result in a change in interest expense of $395 for the year ended December 31, 2011 and $269 and $304 for the nine month periods ended September 30, 2012 and 2011.</w:t>
      </w:r>
    </w:p>
    <w:p>
      <w:pPr>
        <w:spacing w:after="0" w:line="172" w:lineRule="exact"/>
        <w:rPr>
          <w:sz w:val="20"/>
          <w:szCs w:val="20"/>
          <w:color w:val="auto"/>
        </w:rPr>
      </w:pPr>
    </w:p>
    <w:p>
      <w:pPr>
        <w:ind w:left="460" w:right="36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Acadia, represents the elimination of advisory fees paid to Waud Capital Partners pursuant to Acadia’s professional services agreement, which was terminated on November 1, 2011 in connection with the PHC acquisition. For BCA, represents management fees paid to its equity sponsor and parent company. For HHC Delaware, represents management fees paid to its parent company.</w:t>
      </w:r>
    </w:p>
    <w:p>
      <w:pPr>
        <w:spacing w:after="0" w:line="59"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removal of acquisition-related expenses included in the historical statements of operations relating to Acadia’s acquisition of YFCS, PHC, the Haven Facilities and other acquisitions and PHC’s acquisition of HHC Delaware and sale to Acadia.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37" w:name="page38"/>
    <w:bookmarkEnd w:id="37"/>
    <w:p>
      <w:pPr>
        <w:ind w:left="452" w:right="40" w:hanging="452"/>
        <w:spacing w:after="0" w:line="268"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Reflects the elimination of the change in fair value associated with interest rate swap agreements, which were not assumed by Acadia in the acquisition of the Haven Facilities.</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 decrease in income taxes of $133 for the three months ended March 31, 2011 to give effect to the election by Acadia Healthcare Company, LLC to be treated as a taxable corporation effective April 1, 2011.</w:t>
      </w:r>
    </w:p>
    <w:p>
      <w:pPr>
        <w:spacing w:after="0" w:line="50" w:lineRule="exact"/>
        <w:rPr>
          <w:rFonts w:ascii="Arial" w:cs="Arial" w:eastAsia="Arial" w:hAnsi="Arial"/>
          <w:sz w:val="18"/>
          <w:szCs w:val="18"/>
          <w:color w:val="auto"/>
        </w:rPr>
      </w:pPr>
    </w:p>
    <w:p>
      <w:pPr>
        <w:ind w:left="452" w:right="140" w:hanging="452"/>
        <w:spacing w:after="0" w:line="268"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adjustments to income taxes to reflect the impact of the above pro forma adjustments applying combined federal and state statutory tax rates for the respective periods.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adjustments to weighted average shares used to compute basic and diluted earnings (loss) per share to reflect the following:</w:t>
      </w:r>
    </w:p>
    <w:p>
      <w:pPr>
        <w:spacing w:after="0" w:line="113" w:lineRule="exact"/>
        <w:rPr>
          <w:rFonts w:ascii="Arial" w:cs="Arial" w:eastAsia="Arial" w:hAnsi="Arial"/>
          <w:sz w:val="16"/>
          <w:szCs w:val="16"/>
          <w:color w:val="auto"/>
        </w:rPr>
      </w:pPr>
    </w:p>
    <w:p>
      <w:pPr>
        <w:ind w:left="892" w:right="180" w:hanging="446"/>
        <w:spacing w:after="0" w:line="259"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effect of the 4,892,000 shares of common stock of Acadia issued to PHC stockholders on November 1, 2011, which resulted in an increase in weighted average shares outstanding of 4,074,000 shares for the year ended December 31, 2011 and 4,892,000 shares for the nine months ended September 30, 2011.</w:t>
      </w:r>
    </w:p>
    <w:p>
      <w:pPr>
        <w:spacing w:after="0" w:line="59" w:lineRule="exact"/>
        <w:rPr>
          <w:rFonts w:ascii="Arial" w:cs="Arial" w:eastAsia="Arial" w:hAnsi="Arial"/>
          <w:sz w:val="18"/>
          <w:szCs w:val="18"/>
          <w:color w:val="auto"/>
        </w:rPr>
      </w:pPr>
    </w:p>
    <w:p>
      <w:pPr>
        <w:ind w:left="892" w:right="120" w:hanging="446"/>
        <w:spacing w:after="0" w:line="306" w:lineRule="auto"/>
        <w:tabs>
          <w:tab w:leader="none" w:pos="892"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effect of the 9,583,000 shares of common stock issued by Acadia on December 20, 2011, which resulted in an increase in weighted average shares outstanding of 9,268,000 shares for the year ended December 31, 2011and 9,583,000 shares for the nine months ended September 30, 2011. The proceeds from such offering of common stock were used to partially fund Acadia’s acquisition of the Haven Facilities.</w:t>
      </w:r>
    </w:p>
    <w:p>
      <w:pPr>
        <w:spacing w:after="0" w:line="25" w:lineRule="exact"/>
        <w:rPr>
          <w:rFonts w:ascii="Arial" w:cs="Arial" w:eastAsia="Arial" w:hAnsi="Arial"/>
          <w:sz w:val="16"/>
          <w:szCs w:val="16"/>
          <w:color w:val="auto"/>
        </w:rPr>
      </w:pPr>
    </w:p>
    <w:p>
      <w:pPr>
        <w:ind w:left="892" w:right="300" w:hanging="446"/>
        <w:spacing w:after="0" w:line="256"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effect of the 9,488,000 shares of common stock issued by Acadia on May 9, 2012, which resulted in an increase in weighted average shares outstanding of 9,488,000 shares for the year ended December 31, 2011, 4,900,000 shares for the nine months ended September 30, 2012 and 9,488,000 shares for the nine months ended September 30, 2011. The proceeds from such offering of common stock were used to partially fund Acadia’s acquisition of the Haven Facilities.</w:t>
      </w:r>
    </w:p>
    <w:p>
      <w:pPr>
        <w:spacing w:after="0" w:line="62" w:lineRule="exact"/>
        <w:rPr>
          <w:rFonts w:ascii="Arial" w:cs="Arial" w:eastAsia="Arial" w:hAnsi="Arial"/>
          <w:sz w:val="18"/>
          <w:szCs w:val="18"/>
          <w:color w:val="auto"/>
        </w:rPr>
      </w:pPr>
    </w:p>
    <w:p>
      <w:pPr>
        <w:ind w:left="892" w:right="160" w:hanging="446"/>
        <w:spacing w:after="0" w:line="256"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effect of an estimated 6,000,000 shares of common stock to be issued by Acadia in the offering, which resulted in an increase in weighted average shares outstanding of 6,000,000 shares for the year ended December 31, 2011, 6,000,000 shares for the nine months ended September 30, 2012 and 6,000,000 shares for the nine months ended September 30, 2011. The proceeds from such offering of common stock are to be used to partially fund Acadia’s planned acquisition of BCA and AmiCare.</w:t>
      </w:r>
    </w:p>
    <w:p>
      <w:pPr>
        <w:spacing w:after="0" w:line="13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12"/>
          </w:cols>
          <w:pgMar w:left="248" w:top="28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b w:val="1"/>
                <w:bCs w:val="1"/>
                <w:color w:val="auto"/>
                <w:w w:val="87"/>
              </w:rPr>
              <w:t>Exhibit 99.2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760" w:type="dxa"/>
            <w:vAlign w:val="bottom"/>
            <w:gridSpan w:val="5"/>
          </w:tcPr>
          <w:p>
            <w:pPr>
              <w:jc w:val="center"/>
              <w:ind w:left="2552"/>
              <w:spacing w:after="0"/>
              <w:rPr>
                <w:sz w:val="20"/>
                <w:szCs w:val="20"/>
                <w:color w:val="auto"/>
              </w:rPr>
            </w:pPr>
            <w:r>
              <w:rPr>
                <w:rFonts w:ascii="Arial" w:cs="Arial" w:eastAsia="Arial" w:hAnsi="Arial"/>
                <w:sz w:val="18"/>
                <w:szCs w:val="18"/>
                <w:b w:val="1"/>
                <w:bCs w:val="1"/>
                <w:color w:val="auto"/>
                <w:w w:val="97"/>
              </w:rPr>
              <w:t>BEHAVIORAL CENTERS OF AMERICA, LLC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340" w:type="dxa"/>
            <w:vAlign w:val="bottom"/>
            <w:gridSpan w:val="4"/>
          </w:tcPr>
          <w:p>
            <w:pPr>
              <w:jc w:val="center"/>
              <w:ind w:right="1800"/>
              <w:spacing w:after="0"/>
              <w:rPr>
                <w:sz w:val="20"/>
                <w:szCs w:val="20"/>
                <w:color w:val="auto"/>
              </w:rPr>
            </w:pPr>
            <w:r>
              <w:rPr>
                <w:rFonts w:ascii="Arial" w:cs="Arial" w:eastAsia="Arial" w:hAnsi="Arial"/>
                <w:sz w:val="18"/>
                <w:szCs w:val="18"/>
                <w:b w:val="1"/>
                <w:bCs w:val="1"/>
                <w:color w:val="auto"/>
                <w:w w:val="84"/>
              </w:rPr>
              <w:t>Consolidated Balance Sheets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5"/>
              </w:rPr>
              <w:t>September 30, 2012</w:t>
            </w:r>
          </w:p>
        </w:tc>
        <w:tc>
          <w:tcPr>
            <w:tcW w:w="520" w:type="dxa"/>
            <w:vAlign w:val="bottom"/>
          </w:tcPr>
          <w:p>
            <w:pPr>
              <w:spacing w:after="0"/>
              <w:rPr>
                <w:sz w:val="24"/>
                <w:szCs w:val="2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(Unaudited)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3340" w:type="dxa"/>
            <w:vAlign w:val="bottom"/>
            <w:tcBorders>
              <w:top w:val="single" w:sz="8" w:color="CCEEFF"/>
            </w:tcBorders>
            <w:gridSpan w:val="3"/>
            <w:shd w:val="clear" w:color="auto" w:fill="CCEEFF"/>
          </w:tcPr>
          <w:p>
            <w:pPr>
              <w:jc w:val="center"/>
              <w:ind w:right="2880"/>
              <w:spacing w:after="0" w:line="156" w:lineRule="exact"/>
              <w:rPr>
                <w:sz w:val="20"/>
                <w:szCs w:val="20"/>
                <w:color w:val="auto"/>
              </w:rPr>
            </w:pPr>
            <w:r>
              <w:rPr>
                <w:rFonts w:ascii="Arial" w:cs="Arial" w:eastAsia="Arial" w:hAnsi="Arial"/>
                <w:sz w:val="18"/>
                <w:szCs w:val="18"/>
                <w:b w:val="1"/>
                <w:bCs w:val="1"/>
                <w:color w:val="auto"/>
                <w:w w:val="77"/>
              </w:rPr>
              <w:t>Assets</w:t>
            </w: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Borders>
              <w:top w:val="single" w:sz="8" w:color="auto"/>
            </w:tcBorders>
          </w:tcPr>
          <w:p>
            <w:pPr>
              <w:spacing w:after="0"/>
              <w:rPr>
                <w:sz w:val="18"/>
                <w:szCs w:val="18"/>
                <w:color w:val="auto"/>
              </w:rPr>
            </w:pPr>
          </w:p>
        </w:tc>
        <w:tc>
          <w:tcPr>
            <w:tcW w:w="28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44,269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gridSpan w:val="5"/>
          </w:tcPr>
          <w:p>
            <w:pPr>
              <w:ind w:left="420"/>
              <w:spacing w:after="0" w:line="201" w:lineRule="exact"/>
              <w:rPr>
                <w:sz w:val="20"/>
                <w:szCs w:val="20"/>
                <w:color w:val="auto"/>
              </w:rPr>
            </w:pPr>
            <w:r>
              <w:rPr>
                <w:rFonts w:ascii="Arial" w:cs="Arial" w:eastAsia="Arial" w:hAnsi="Arial"/>
                <w:sz w:val="18"/>
                <w:szCs w:val="18"/>
                <w:b w:val="1"/>
                <w:bCs w:val="1"/>
                <w:color w:val="auto"/>
                <w:w w:val="93"/>
              </w:rPr>
              <w:t>Accounts receivable, less allowance for doubtful account of $2,349,568 and $2,146,864 in 2012 and 2011,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60" w:type="dxa"/>
            <w:vAlign w:val="bottom"/>
            <w:gridSpan w:val="5"/>
          </w:tcPr>
          <w:p>
            <w:pPr>
              <w:ind w:left="640"/>
              <w:spacing w:after="0"/>
              <w:rPr>
                <w:sz w:val="20"/>
                <w:szCs w:val="20"/>
                <w:color w:val="auto"/>
              </w:rPr>
            </w:pPr>
            <w:r>
              <w:rPr>
                <w:rFonts w:ascii="Arial" w:cs="Arial" w:eastAsia="Arial" w:hAnsi="Arial"/>
                <w:sz w:val="18"/>
                <w:szCs w:val="18"/>
                <w:b w:val="1"/>
                <w:bCs w:val="1"/>
                <w:color w:val="auto"/>
              </w:rPr>
              <w:t>respectively</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8,177,294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9,555,912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Agency receivables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466,644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1,351,065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tcPr>
          <w:p>
            <w:pPr>
              <w:ind w:left="420"/>
              <w:spacing w:after="0"/>
              <w:rPr>
                <w:sz w:val="20"/>
                <w:szCs w:val="20"/>
                <w:color w:val="auto"/>
              </w:rPr>
            </w:pPr>
            <w:r>
              <w:rPr>
                <w:rFonts w:ascii="Arial" w:cs="Arial" w:eastAsia="Arial" w:hAnsi="Arial"/>
                <w:sz w:val="18"/>
                <w:szCs w:val="18"/>
                <w:b w:val="1"/>
                <w:bCs w:val="1"/>
                <w:color w:val="auto"/>
              </w:rPr>
              <w:t>Other receivables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964,209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634,306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Other current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1,037,650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10,690,066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12,506,895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23,333,980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14,419,162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tcPr>
          <w:p>
            <w:pPr>
              <w:spacing w:after="0"/>
              <w:rPr>
                <w:sz w:val="20"/>
                <w:szCs w:val="20"/>
                <w:color w:val="auto"/>
              </w:rPr>
            </w:pPr>
            <w:r>
              <w:rPr>
                <w:rFonts w:ascii="Arial" w:cs="Arial" w:eastAsia="Arial" w:hAnsi="Arial"/>
                <w:sz w:val="18"/>
                <w:szCs w:val="18"/>
                <w:b w:val="1"/>
                <w:bCs w:val="1"/>
                <w:color w:val="auto"/>
              </w:rPr>
              <w:t>Property and equipment held for sale</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330,413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281,592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16,549,781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16,549,781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5"/>
          </w:tcPr>
          <w:p>
            <w:pPr>
              <w:spacing w:after="0"/>
              <w:rPr>
                <w:sz w:val="20"/>
                <w:szCs w:val="20"/>
                <w:color w:val="auto"/>
              </w:rPr>
            </w:pPr>
            <w:r>
              <w:rPr>
                <w:rFonts w:ascii="Arial" w:cs="Arial" w:eastAsia="Arial" w:hAnsi="Arial"/>
                <w:sz w:val="18"/>
                <w:szCs w:val="18"/>
                <w:b w:val="1"/>
                <w:bCs w:val="1"/>
                <w:color w:val="auto"/>
              </w:rPr>
              <w:t>Other long-term 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645,518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1,817,151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51,549,758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45,574,581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gridSpan w:val="5"/>
            <w:vMerge w:val="restart"/>
          </w:tcPr>
          <w:p>
            <w:pPr>
              <w:jc w:val="center"/>
              <w:ind w:left="2432"/>
              <w:spacing w:after="0"/>
              <w:rPr>
                <w:sz w:val="20"/>
                <w:szCs w:val="20"/>
                <w:color w:val="auto"/>
              </w:rPr>
            </w:pPr>
            <w:r>
              <w:rPr>
                <w:rFonts w:ascii="Arial" w:cs="Arial" w:eastAsia="Arial" w:hAnsi="Arial"/>
                <w:sz w:val="18"/>
                <w:szCs w:val="18"/>
                <w:b w:val="1"/>
                <w:bCs w:val="1"/>
                <w:color w:val="auto"/>
                <w:w w:val="90"/>
              </w:rPr>
              <w:t>Liabilities and Member’s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7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tcPr>
          <w:p>
            <w:pPr>
              <w:ind w:left="420"/>
              <w:spacing w:after="0"/>
              <w:rPr>
                <w:sz w:val="20"/>
                <w:szCs w:val="20"/>
                <w:color w:val="auto"/>
              </w:rPr>
            </w:pPr>
            <w:r>
              <w:rPr>
                <w:rFonts w:ascii="Arial" w:cs="Arial" w:eastAsia="Arial" w:hAnsi="Arial"/>
                <w:sz w:val="18"/>
                <w:szCs w:val="18"/>
                <w:b w:val="1"/>
                <w:bCs w:val="1"/>
                <w:color w:val="auto"/>
              </w:rPr>
              <w:t>Current installments of long-term debt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336,564</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Line of credit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2,276,425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3,128,878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tcPr>
          <w:p>
            <w:pPr>
              <w:ind w:left="420"/>
              <w:spacing w:after="0"/>
              <w:rPr>
                <w:sz w:val="20"/>
                <w:szCs w:val="20"/>
                <w:color w:val="auto"/>
              </w:rPr>
            </w:pPr>
            <w:r>
              <w:rPr>
                <w:rFonts w:ascii="Arial" w:cs="Arial" w:eastAsia="Arial" w:hAnsi="Arial"/>
                <w:sz w:val="18"/>
                <w:szCs w:val="18"/>
                <w:b w:val="1"/>
                <w:bCs w:val="1"/>
                <w:color w:val="auto"/>
              </w:rPr>
              <w:t>Accounts payable</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3,078,410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2,371,315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Accrued salaries and benefits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2,677,186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3,135,276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5"/>
          </w:tcPr>
          <w:p>
            <w:pPr>
              <w:ind w:left="420"/>
              <w:spacing w:after="0"/>
              <w:rPr>
                <w:sz w:val="20"/>
                <w:szCs w:val="20"/>
                <w:color w:val="auto"/>
              </w:rPr>
            </w:pPr>
            <w:r>
              <w:rPr>
                <w:rFonts w:ascii="Arial" w:cs="Arial" w:eastAsia="Arial" w:hAnsi="Arial"/>
                <w:sz w:val="18"/>
                <w:szCs w:val="18"/>
                <w:b w:val="1"/>
                <w:bCs w:val="1"/>
                <w:color w:val="auto"/>
              </w:rPr>
              <w:t>Other accrued expenses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316,639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8,685,224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9,003,240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tcPr>
          <w:p>
            <w:pPr>
              <w:spacing w:after="0"/>
              <w:rPr>
                <w:sz w:val="20"/>
                <w:szCs w:val="20"/>
                <w:color w:val="auto"/>
              </w:rPr>
            </w:pPr>
            <w:r>
              <w:rPr>
                <w:rFonts w:ascii="Arial" w:cs="Arial" w:eastAsia="Arial" w:hAnsi="Arial"/>
                <w:sz w:val="18"/>
                <w:szCs w:val="18"/>
                <w:b w:val="1"/>
                <w:bCs w:val="1"/>
                <w:color w:val="auto"/>
              </w:rPr>
              <w:t>Long-term debt, excluding current installments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2,316,149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957,814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11,959,187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9,838,258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39,590,571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35,736,323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51,549,758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45,574,581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420"/>
          </w:cols>
          <w:pgMar w:left="240" w:top="125" w:right="239" w:bottom="1440" w:gutter="0" w:footer="0" w:header="0"/>
        </w:sectPr>
      </w:pPr>
    </w:p>
    <w:bookmarkStart w:id="39" w:name="page40"/>
    <w:bookmarkEnd w:id="39"/>
    <w:p>
      <w:pPr>
        <w:ind w:lef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Statements of Operations and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Nine months ended September 30,</w:t>
            </w: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Net patient revenues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3"/>
              </w:rPr>
              <w:t>$ 48,239,773</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40,771,217</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187,122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143,721</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Total revenue before provision for doubtful accounts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48,426,895</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40,914,938</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Less provision for doubtful accounts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1,156,931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1,350,759</w:t>
            </w: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revenue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47,269,964</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39,564,179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Salaries and benefits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24,649,975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22,189,389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Professional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1,665,597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1,735,346</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Supplies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2,222,898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2,116,989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471,097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1,334,049</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951,321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674,266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Insurance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421,465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540,424</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Utilities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849,509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756,534</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Repairs and maintenance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421,969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358,870</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Other expenses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7,035,901</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5,566,839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38,689,732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35,272,706</w:t>
            </w: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from continuing operations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8,580,232</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4,291,473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Interest expense, net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(241,584)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(105,364)</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Management fees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(523,688)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(812,521)</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b w:val="1"/>
                <w:bCs w:val="1"/>
                <w:color w:val="auto"/>
              </w:rPr>
              <w:t>Gain on disposal of property</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other expense</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(764,272)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(917,885)</w:t>
            </w: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7,815,960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3,373,588</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 (benefit)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(5,230)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160,399</w:t>
            </w: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7,821,190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3,213,189</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(2,839,493)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(1,626,166)</w:t>
            </w: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4,981,697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1,587,023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member, net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(1,127,449)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Member’s equity at beginning of period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35,736,323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 at end of period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$ 39,590,571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274" w:right="239" w:bottom="1440" w:gutter="0" w:footer="0" w:header="0"/>
        </w:sectPr>
      </w:pPr>
    </w:p>
    <w:bookmarkStart w:id="40" w:name="page41"/>
    <w:bookmarkEnd w:id="40"/>
    <w:p>
      <w:pPr>
        <w:ind w:lef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5"/>
              </w:rPr>
              <w:t>Nine months ended September 30,</w:t>
            </w: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4,981,697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1,587,023</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1,003,559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713,840</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Provision for doubtful accounts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4"/>
              </w:rPr>
              <w:t>1,688,638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1,930,307</w:t>
            </w: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b w:val="1"/>
                <w:bCs w:val="1"/>
                <w:color w:val="auto"/>
              </w:rPr>
              <w:t>Gain on disposal of property</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(Increase) decrease in operating assets: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1280"/>
              <w:spacing w:after="0"/>
              <w:rPr>
                <w:sz w:val="20"/>
                <w:szCs w:val="20"/>
                <w:color w:val="auto"/>
              </w:rPr>
            </w:pPr>
            <w:r>
              <w:rPr>
                <w:rFonts w:ascii="Arial" w:cs="Arial" w:eastAsia="Arial" w:hAnsi="Arial"/>
                <w:sz w:val="18"/>
                <w:szCs w:val="18"/>
                <w:b w:val="1"/>
                <w:bCs w:val="1"/>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(639,923)</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1"/>
              </w:rPr>
              <w:t>(2,539,976)</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Agency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884,421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(554,680)</w:t>
            </w:r>
          </w:p>
        </w:tc>
      </w:tr>
      <w:tr>
        <w:trPr>
          <w:trHeight w:val="216"/>
        </w:trPr>
        <w:tc>
          <w:tcPr>
            <w:tcW w:w="20" w:type="dxa"/>
            <w:vAlign w:val="bottom"/>
          </w:tcPr>
          <w:p>
            <w:pPr>
              <w:spacing w:after="0"/>
              <w:rPr>
                <w:sz w:val="18"/>
                <w:szCs w:val="18"/>
                <w:color w:val="auto"/>
              </w:rPr>
            </w:pPr>
          </w:p>
        </w:tc>
        <w:tc>
          <w:tcPr>
            <w:tcW w:w="9040" w:type="dxa"/>
            <w:vAlign w:val="bottom"/>
          </w:tcPr>
          <w:p>
            <w:pPr>
              <w:ind w:left="1280"/>
              <w:spacing w:after="0"/>
              <w:rPr>
                <w:sz w:val="20"/>
                <w:szCs w:val="20"/>
                <w:color w:val="auto"/>
              </w:rPr>
            </w:pPr>
            <w:r>
              <w:rPr>
                <w:rFonts w:ascii="Arial" w:cs="Arial" w:eastAsia="Arial" w:hAnsi="Arial"/>
                <w:sz w:val="18"/>
                <w:szCs w:val="18"/>
                <w:b w:val="1"/>
                <w:bCs w:val="1"/>
                <w:color w:val="auto"/>
              </w:rPr>
              <w:t>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(183,797)</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(82,037)</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Other long-term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62,098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1,215</w:t>
            </w: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b w:val="1"/>
                <w:bCs w:val="1"/>
                <w:color w:val="auto"/>
              </w:rPr>
              <w:t>Increase in operating liabilities: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707,095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796,418</w:t>
            </w:r>
          </w:p>
        </w:tc>
      </w:tr>
      <w:tr>
        <w:trPr>
          <w:trHeight w:val="216"/>
        </w:trPr>
        <w:tc>
          <w:tcPr>
            <w:tcW w:w="20" w:type="dxa"/>
            <w:vAlign w:val="bottom"/>
          </w:tcPr>
          <w:p>
            <w:pPr>
              <w:spacing w:after="0"/>
              <w:rPr>
                <w:sz w:val="18"/>
                <w:szCs w:val="18"/>
                <w:color w:val="auto"/>
              </w:rPr>
            </w:pPr>
          </w:p>
        </w:tc>
        <w:tc>
          <w:tcPr>
            <w:tcW w:w="9040" w:type="dxa"/>
            <w:vAlign w:val="bottom"/>
          </w:tcPr>
          <w:p>
            <w:pPr>
              <w:ind w:left="1280"/>
              <w:spacing w:after="0"/>
              <w:rPr>
                <w:sz w:val="20"/>
                <w:szCs w:val="20"/>
                <w:color w:val="auto"/>
              </w:rPr>
            </w:pPr>
            <w:r>
              <w:rPr>
                <w:rFonts w:ascii="Arial" w:cs="Arial" w:eastAsia="Arial" w:hAnsi="Arial"/>
                <w:sz w:val="18"/>
                <w:szCs w:val="18"/>
                <w:b w:val="1"/>
                <w:bCs w:val="1"/>
                <w:color w:val="auto"/>
              </w:rPr>
              <w:t>Other accrued expenses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(509,222)</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711,959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122,796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412,171</w:t>
            </w:r>
          </w:p>
        </w:tc>
      </w:tr>
      <w:tr>
        <w:trPr>
          <w:trHeight w:val="230"/>
        </w:trPr>
        <w:tc>
          <w:tcPr>
            <w:tcW w:w="20" w:type="dxa"/>
            <w:vAlign w:val="bottom"/>
          </w:tcPr>
          <w:p>
            <w:pPr>
              <w:spacing w:after="0"/>
              <w:rPr>
                <w:sz w:val="20"/>
                <w:szCs w:val="20"/>
                <w:color w:val="auto"/>
              </w:rPr>
            </w:pPr>
          </w:p>
        </w:tc>
        <w:tc>
          <w:tcPr>
            <w:tcW w:w="9040" w:type="dxa"/>
            <w:vAlign w:val="bottom"/>
          </w:tcPr>
          <w:p>
            <w:pPr>
              <w:ind w:left="172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3,134,665</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1,389,217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4"/>
              </w:rPr>
              <w:t>8,116,362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2,976,240</w:t>
            </w: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Routine and maintenance capital additions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(5,908,795)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(3,667,186)</w:t>
            </w:r>
          </w:p>
        </w:tc>
      </w:tr>
      <w:tr>
        <w:trPr>
          <w:trHeight w:val="230"/>
        </w:trPr>
        <w:tc>
          <w:tcPr>
            <w:tcW w:w="20" w:type="dxa"/>
            <w:vAlign w:val="bottom"/>
          </w:tcPr>
          <w:p>
            <w:pPr>
              <w:spacing w:after="0"/>
              <w:rPr>
                <w:sz w:val="20"/>
                <w:szCs w:val="20"/>
                <w:color w:val="auto"/>
              </w:rPr>
            </w:pPr>
          </w:p>
        </w:tc>
        <w:tc>
          <w:tcPr>
            <w:tcW w:w="9040" w:type="dxa"/>
            <w:vAlign w:val="bottom"/>
          </w:tcPr>
          <w:p>
            <w:pPr>
              <w:ind w:left="1720"/>
              <w:spacing w:after="0"/>
              <w:rPr>
                <w:sz w:val="20"/>
                <w:szCs w:val="20"/>
                <w:color w:val="auto"/>
              </w:rPr>
            </w:pPr>
            <w:r>
              <w:rPr>
                <w:rFonts w:ascii="Arial" w:cs="Arial" w:eastAsia="Arial" w:hAnsi="Arial"/>
                <w:sz w:val="18"/>
                <w:szCs w:val="18"/>
                <w:b w:val="1"/>
                <w:bCs w:val="1"/>
                <w:color w:val="auto"/>
              </w:rPr>
              <w:t>Net cash used by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(5,908,795)</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(3,667,186)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Repayments of line of credit, net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(852,453)</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819,510</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Payments of long-term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(224,389)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Distributions to members, net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(1,127,449)</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(142,788)</w:t>
            </w: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(2,204,291)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676,722</w:t>
            </w:r>
          </w:p>
        </w:tc>
      </w:tr>
      <w:tr>
        <w:trPr>
          <w:trHeight w:val="222"/>
        </w:trPr>
        <w:tc>
          <w:tcPr>
            <w:tcW w:w="20" w:type="dxa"/>
            <w:vAlign w:val="bottom"/>
          </w:tcPr>
          <w:p>
            <w:pPr>
              <w:spacing w:after="0"/>
              <w:rPr>
                <w:sz w:val="19"/>
                <w:szCs w:val="19"/>
                <w:color w:val="auto"/>
              </w:rPr>
            </w:pPr>
          </w:p>
        </w:tc>
        <w:tc>
          <w:tcPr>
            <w:tcW w:w="9040" w:type="dxa"/>
            <w:vAlign w:val="bottom"/>
          </w:tcPr>
          <w:p>
            <w:pPr>
              <w:ind w:left="1720"/>
              <w:spacing w:after="0"/>
              <w:rPr>
                <w:sz w:val="20"/>
                <w:szCs w:val="20"/>
                <w:color w:val="auto"/>
              </w:rPr>
            </w:pPr>
            <w:r>
              <w:rPr>
                <w:rFonts w:ascii="Arial" w:cs="Arial" w:eastAsia="Arial" w:hAnsi="Arial"/>
                <w:sz w:val="18"/>
                <w:szCs w:val="18"/>
                <w:b w:val="1"/>
                <w:bCs w:val="1"/>
                <w:color w:val="auto"/>
              </w:rPr>
              <w:t>Increase (decrease) in cash</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3,276</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(14,224)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40,993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40,906</w:t>
            </w: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44,269</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26,682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Interest paid</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243,246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105,163</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Income taxes paid (refunded)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102,907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61,895</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ectPr>
          <w:pgSz w:w="11900" w:h="16838" w:orient="portrait"/>
          <w:cols w:equalWidth="0" w:num="1">
            <w:col w:w="11420"/>
          </w:cols>
          <w:pgMar w:left="240" w:top="274" w:right="239" w:bottom="1440" w:gutter="0" w:footer="0" w:header="0"/>
        </w:sectPr>
      </w:pPr>
    </w:p>
    <w:bookmarkStart w:id="41" w:name="page42"/>
    <w:bookmarkEnd w:id="41"/>
    <w:p>
      <w:pPr>
        <w:ind w:left="3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52" w:hanging="452"/>
        <w:spacing w:after="0"/>
        <w:tabs>
          <w:tab w:leader="none" w:pos="4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Business and Basis of Presentation</w:t>
      </w:r>
    </w:p>
    <w:p>
      <w:pPr>
        <w:spacing w:after="0" w:line="90" w:lineRule="exact"/>
        <w:rPr>
          <w:sz w:val="20"/>
          <w:szCs w:val="20"/>
          <w:color w:val="auto"/>
        </w:rPr>
      </w:pPr>
    </w:p>
    <w:p>
      <w:pPr>
        <w:ind w:left="892" w:hanging="446"/>
        <w:spacing w:after="0"/>
        <w:tabs>
          <w:tab w:leader="none" w:pos="89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w:t>
      </w:r>
    </w:p>
    <w:p>
      <w:pPr>
        <w:spacing w:after="0" w:line="90" w:lineRule="exact"/>
        <w:rPr>
          <w:sz w:val="20"/>
          <w:szCs w:val="20"/>
          <w:color w:val="auto"/>
        </w:rPr>
      </w:pPr>
    </w:p>
    <w:p>
      <w:pPr>
        <w:ind w:left="912" w:right="40"/>
        <w:spacing w:after="0" w:line="258" w:lineRule="auto"/>
        <w:rPr>
          <w:sz w:val="20"/>
          <w:szCs w:val="20"/>
          <w:color w:val="auto"/>
        </w:rPr>
      </w:pPr>
      <w:r>
        <w:rPr>
          <w:rFonts w:ascii="Arial" w:cs="Arial" w:eastAsia="Arial" w:hAnsi="Arial"/>
          <w:sz w:val="18"/>
          <w:szCs w:val="18"/>
          <w:b w:val="1"/>
          <w:bCs w:val="1"/>
          <w:color w:val="auto"/>
        </w:rPr>
        <w:t>Behavioral Centers of America, LLC, and Subsidiaries (“BCA”), a wholly-owned subsidiary of Behavioral Centers of America Holdings, LLC, was formed to provide behavioral health services, including acute psychiatric care, residential treatment, partial hospitalization care, intensive outpatient services and outpatient services. BCA currently serves patients in Ohio, Texas, and Michigan. Its corporate office is located in Nashville, Tennessee.</w:t>
      </w:r>
    </w:p>
    <w:p>
      <w:pPr>
        <w:spacing w:after="0" w:line="177" w:lineRule="exact"/>
        <w:rPr>
          <w:sz w:val="20"/>
          <w:szCs w:val="20"/>
          <w:color w:val="auto"/>
        </w:rPr>
      </w:pPr>
    </w:p>
    <w:p>
      <w:pPr>
        <w:ind w:left="892" w:hanging="446"/>
        <w:spacing w:after="0"/>
        <w:tabs>
          <w:tab w:leader="none" w:pos="89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Principles of consolidation</w:t>
      </w:r>
    </w:p>
    <w:p>
      <w:pPr>
        <w:spacing w:after="0" w:line="90" w:lineRule="exact"/>
        <w:rPr>
          <w:sz w:val="20"/>
          <w:szCs w:val="20"/>
          <w:color w:val="auto"/>
        </w:rPr>
      </w:pPr>
    </w:p>
    <w:p>
      <w:pPr>
        <w:ind w:left="912" w:right="220"/>
        <w:spacing w:after="0" w:line="275" w:lineRule="auto"/>
        <w:rPr>
          <w:sz w:val="20"/>
          <w:szCs w:val="20"/>
          <w:color w:val="auto"/>
        </w:rPr>
      </w:pPr>
      <w:r>
        <w:rPr>
          <w:rFonts w:ascii="Arial" w:cs="Arial" w:eastAsia="Arial" w:hAnsi="Arial"/>
          <w:sz w:val="18"/>
          <w:szCs w:val="18"/>
          <w:b w:val="1"/>
          <w:bCs w:val="1"/>
          <w:color w:val="auto"/>
        </w:rPr>
        <w:t>These consolidated financial statements include the accounts of all of the Company’s wholly-owned subsidiary companies. All significant intercompany accounts and transactions have been eliminated.</w:t>
      </w:r>
    </w:p>
    <w:p>
      <w:pPr>
        <w:spacing w:after="0" w:line="160" w:lineRule="exact"/>
        <w:rPr>
          <w:sz w:val="20"/>
          <w:szCs w:val="20"/>
          <w:color w:val="auto"/>
        </w:rPr>
      </w:pPr>
    </w:p>
    <w:p>
      <w:pPr>
        <w:ind w:left="892" w:hanging="446"/>
        <w:spacing w:after="0"/>
        <w:tabs>
          <w:tab w:leader="none" w:pos="8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90" w:lineRule="exact"/>
        <w:rPr>
          <w:sz w:val="20"/>
          <w:szCs w:val="20"/>
          <w:color w:val="auto"/>
        </w:rPr>
      </w:pPr>
    </w:p>
    <w:p>
      <w:pPr>
        <w:ind w:left="912" w:right="20"/>
        <w:spacing w:after="0" w:line="258" w:lineRule="auto"/>
        <w:rPr>
          <w:sz w:val="20"/>
          <w:szCs w:val="20"/>
          <w:color w:val="auto"/>
        </w:rPr>
      </w:pPr>
      <w:r>
        <w:rPr>
          <w:rFonts w:ascii="Arial" w:cs="Arial" w:eastAsia="Arial" w:hAnsi="Arial"/>
          <w:sz w:val="18"/>
          <w:szCs w:val="18"/>
          <w:b w:val="1"/>
          <w:bCs w:val="1"/>
          <w:color w:val="auto"/>
        </w:rPr>
        <w:t>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left="892" w:hanging="446"/>
        <w:spacing w:after="0"/>
        <w:tabs>
          <w:tab w:leader="none" w:pos="89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90" w:lineRule="exact"/>
        <w:rPr>
          <w:sz w:val="20"/>
          <w:szCs w:val="20"/>
          <w:color w:val="auto"/>
        </w:rPr>
      </w:pPr>
    </w:p>
    <w:p>
      <w:pPr>
        <w:ind w:left="912"/>
        <w:spacing w:after="0" w:line="291" w:lineRule="auto"/>
        <w:rPr>
          <w:sz w:val="20"/>
          <w:szCs w:val="20"/>
          <w:color w:val="auto"/>
        </w:rPr>
      </w:pPr>
      <w:r>
        <w:rPr>
          <w:rFonts w:ascii="Arial" w:cs="Arial" w:eastAsia="Arial" w:hAnsi="Arial"/>
          <w:sz w:val="16"/>
          <w:szCs w:val="16"/>
          <w:b w:val="1"/>
          <w:bCs w:val="1"/>
          <w:color w:val="auto"/>
        </w:rPr>
        <w:t>Fair value is a market based measurement, not an entity specific measurement. Therefore, a fair value measurement should be determined based on the assumptions that market participants would use in pricing the asset or liability. As a basis for considering market participant assumptions in fair value measurements, fair value accounting standards establish a fair value hierarchy that distinguishes between market participant assumptions based on market data obtained from sources independent of the reporting entity including quoted market prices in active markets for identical assets (Level 1), or significant other observable inputs (Level 2) and the reporting entity’s own assumptions about market participant assumptions (Level 3). The Company does not have any fair value measurements using significant unobservable inputs (Level 3) as of September 30, 2012 or December 31, 2011.</w:t>
      </w:r>
    </w:p>
    <w:p>
      <w:pPr>
        <w:spacing w:after="0" w:line="10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332"/>
          </w:cols>
          <w:pgMar w:left="248" w:top="274" w:right="319" w:bottom="1440" w:gutter="0" w:footer="0" w:header="0"/>
        </w:sectPr>
      </w:pPr>
    </w:p>
    <w:bookmarkStart w:id="42" w:name="page43"/>
    <w:bookmarkEnd w:id="42"/>
    <w:p>
      <w:pPr>
        <w:ind w:left="3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892" w:hanging="446"/>
        <w:spacing w:after="0"/>
        <w:tabs>
          <w:tab w:leader="none" w:pos="89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accounting pronouncements</w:t>
      </w:r>
    </w:p>
    <w:p>
      <w:pPr>
        <w:spacing w:after="0" w:line="90" w:lineRule="exact"/>
        <w:rPr>
          <w:sz w:val="20"/>
          <w:szCs w:val="20"/>
          <w:color w:val="auto"/>
        </w:rPr>
      </w:pPr>
    </w:p>
    <w:p>
      <w:pPr>
        <w:ind w:left="912" w:right="20"/>
        <w:spacing w:after="0" w:line="289" w:lineRule="auto"/>
        <w:rPr>
          <w:sz w:val="20"/>
          <w:szCs w:val="20"/>
          <w:color w:val="auto"/>
        </w:rPr>
      </w:pPr>
      <w:r>
        <w:rPr>
          <w:rFonts w:ascii="Arial" w:cs="Arial" w:eastAsia="Arial" w:hAnsi="Arial"/>
          <w:sz w:val="16"/>
          <w:szCs w:val="16"/>
          <w:b w:val="1"/>
          <w:bCs w:val="1"/>
          <w:color w:val="auto"/>
        </w:rPr>
        <w:t>In July 2012, the Financial Accounting Standards Board (“FASB”) issued Accounting Standards Update (“ASU”) 2012-02, “Intangibles-- Goodwill and Other (Topic 350): Testing Indefinite-Lived Intangible Assets for Impairment” (“ASU 2012-02”). ASU 2012-02 states that an entity has the option first to assess qualitative factors to determine whether the existence of events and circumstances indicates that it is more likely than not that the indefinite-lived intangible asset is impaired. This allows for the same evaluation as described in ASU 2011-08 for “Intangibles—Goodwill and Other (Topic 350): Testing Goodwill for Impairment.” The amendments are effective for annual and interim impairment tests performed for fiscal years beginning after September 15, 2012. Early adoption is permitted, including for annual and interim impairment tests performed as of a date before July 27, 2012, if a public entity’s financial statements for the most recent annual or interim period have not yet been issued, or for nonpublic entities, have not yet been made available for issuance. ASU 2012-02 is not expected to significantly impact the Company’s consolidated financial statements.</w:t>
      </w:r>
    </w:p>
    <w:p>
      <w:pPr>
        <w:spacing w:after="0" w:line="32" w:lineRule="exact"/>
        <w:rPr>
          <w:sz w:val="20"/>
          <w:szCs w:val="20"/>
          <w:color w:val="auto"/>
        </w:rPr>
      </w:pPr>
    </w:p>
    <w:p>
      <w:pPr>
        <w:ind w:left="912" w:right="100"/>
        <w:spacing w:after="0" w:line="290" w:lineRule="auto"/>
        <w:rPr>
          <w:sz w:val="20"/>
          <w:szCs w:val="20"/>
          <w:color w:val="auto"/>
        </w:rPr>
      </w:pPr>
      <w:r>
        <w:rPr>
          <w:rFonts w:ascii="Arial" w:cs="Arial" w:eastAsia="Arial" w:hAnsi="Arial"/>
          <w:sz w:val="16"/>
          <w:szCs w:val="16"/>
          <w:b w:val="1"/>
          <w:bCs w:val="1"/>
          <w:color w:val="auto"/>
        </w:rPr>
        <w:t>In June 2011, the FASB issued ASU 2011-05, “</w:t>
      </w:r>
      <w:r>
        <w:rPr>
          <w:rFonts w:ascii="Arial" w:cs="Arial" w:eastAsia="Arial" w:hAnsi="Arial"/>
          <w:sz w:val="16"/>
          <w:szCs w:val="16"/>
          <w:b w:val="1"/>
          <w:bCs w:val="1"/>
          <w:i w:val="1"/>
          <w:iCs w:val="1"/>
          <w:color w:val="auto"/>
        </w:rPr>
        <w:t>Comprehensive Income (Topic 220) — Presentation of Comprehensive Income</w:t>
      </w:r>
      <w:r>
        <w:rPr>
          <w:rFonts w:ascii="Arial" w:cs="Arial" w:eastAsia="Arial" w:hAnsi="Arial"/>
          <w:sz w:val="16"/>
          <w:szCs w:val="16"/>
          <w:b w:val="1"/>
          <w:bCs w:val="1"/>
          <w:color w:val="auto"/>
        </w:rPr>
        <w:t>” (“ASU 2011-05”). ASU 2011-05 eliminates the option to present components of other comprehensive income as part of the statement of changes in stockholders’ equity. Instead, ASU 2011-05 requires that all non-owner changes in stockholders’ equity be presented either in a single continuous statement of comprehensive income or in two separate but consecutive statements. ASU 2011-05 is required to be applied retrospectively and is effective for public companies for fiscal years beginning after December 15, 2011 and interim periods within those fiscal years. For nonpublic entities, the amendments are effective for fiscal years ending after December 15, 2012, and interim and annual periods thereafter. These changes became effective for the Company beginning January 1, 2012. The adoption of ASU 2011-05 did not have a significant impact on the Company’s consolidated financial statements.</w:t>
      </w:r>
    </w:p>
    <w:p>
      <w:pPr>
        <w:spacing w:after="0" w:line="153" w:lineRule="exact"/>
        <w:rPr>
          <w:sz w:val="20"/>
          <w:szCs w:val="20"/>
          <w:color w:val="auto"/>
        </w:rPr>
      </w:pPr>
    </w:p>
    <w:p>
      <w:pPr>
        <w:ind w:left="892" w:hanging="446"/>
        <w:spacing w:after="0"/>
        <w:tabs>
          <w:tab w:leader="none" w:pos="89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occurring after reporting date</w:t>
      </w:r>
    </w:p>
    <w:p>
      <w:pPr>
        <w:spacing w:after="0" w:line="90" w:lineRule="exact"/>
        <w:rPr>
          <w:sz w:val="20"/>
          <w:szCs w:val="20"/>
          <w:color w:val="auto"/>
        </w:rPr>
      </w:pPr>
    </w:p>
    <w:p>
      <w:pPr>
        <w:jc w:val="both"/>
        <w:ind w:left="912" w:right="280"/>
        <w:spacing w:after="0" w:line="262" w:lineRule="auto"/>
        <w:rPr>
          <w:sz w:val="20"/>
          <w:szCs w:val="20"/>
          <w:color w:val="auto"/>
        </w:rPr>
      </w:pPr>
      <w:r>
        <w:rPr>
          <w:rFonts w:ascii="Arial" w:cs="Arial" w:eastAsia="Arial" w:hAnsi="Arial"/>
          <w:sz w:val="18"/>
          <w:szCs w:val="18"/>
          <w:b w:val="1"/>
          <w:bCs w:val="1"/>
          <w:color w:val="auto"/>
        </w:rPr>
        <w:t>On November 21, 2012, the Company entered into an agreement with Acadia Healthcare Company, Inc. (“Acadia”) whereby Acadia will acquire the membership interest of the Company for approximately $145.0 million of cash consideration. The sale is expected to close by December 31, 2012.</w:t>
      </w:r>
    </w:p>
    <w:p>
      <w:pPr>
        <w:spacing w:after="0" w:line="51" w:lineRule="exact"/>
        <w:rPr>
          <w:sz w:val="20"/>
          <w:szCs w:val="20"/>
          <w:color w:val="auto"/>
        </w:rPr>
      </w:pPr>
    </w:p>
    <w:p>
      <w:pPr>
        <w:jc w:val="both"/>
        <w:ind w:left="912" w:right="280"/>
        <w:spacing w:after="0" w:line="378" w:lineRule="auto"/>
        <w:rPr>
          <w:sz w:val="20"/>
          <w:szCs w:val="20"/>
          <w:color w:val="auto"/>
        </w:rPr>
      </w:pPr>
      <w:r>
        <w:rPr>
          <w:rFonts w:ascii="Arial" w:cs="Arial" w:eastAsia="Arial" w:hAnsi="Arial"/>
          <w:sz w:val="15"/>
          <w:szCs w:val="15"/>
          <w:b w:val="1"/>
          <w:bCs w:val="1"/>
          <w:color w:val="auto"/>
        </w:rPr>
        <w:t>The Company has evaluated events and transactions that occurred between September 30, 2012 and December 3, 2012, which is the date that the consolidated financial statements were available to be issued, for possible recognition or disclosure in the financial statements.</w:t>
      </w:r>
    </w:p>
    <w:p>
      <w:pPr>
        <w:spacing w:after="0" w:line="172" w:lineRule="exact"/>
        <w:rPr>
          <w:sz w:val="20"/>
          <w:szCs w:val="20"/>
          <w:color w:val="auto"/>
        </w:rPr>
      </w:pPr>
    </w:p>
    <w:p>
      <w:pPr>
        <w:ind w:left="452" w:hanging="452"/>
        <w:spacing w:after="0"/>
        <w:tabs>
          <w:tab w:leader="none" w:pos="4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Credit risk and other concentrations</w:t>
      </w:r>
    </w:p>
    <w:p>
      <w:pPr>
        <w:spacing w:after="0" w:line="90" w:lineRule="exact"/>
        <w:rPr>
          <w:rFonts w:ascii="Arial" w:cs="Arial" w:eastAsia="Arial" w:hAnsi="Arial"/>
          <w:sz w:val="18"/>
          <w:szCs w:val="18"/>
          <w:b w:val="1"/>
          <w:bCs w:val="1"/>
          <w:color w:val="auto"/>
        </w:rPr>
      </w:pPr>
    </w:p>
    <w:p>
      <w:pPr>
        <w:ind w:left="452"/>
        <w:spacing w:after="0" w:line="339"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may maintain cash on deposit at banks in excess of federally insured amounts. The Company has not experienced any losses in such accounts and management believes the Company is not exposed to any significant credit risk related to cash.</w:t>
      </w:r>
    </w:p>
    <w:p>
      <w:pPr>
        <w:spacing w:after="0" w:line="6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392"/>
          </w:cols>
          <w:pgMar w:left="248" w:top="274" w:right="259" w:bottom="1440" w:gutter="0" w:footer="0" w:header="0"/>
        </w:sectPr>
      </w:pPr>
    </w:p>
    <w:bookmarkStart w:id="43" w:name="page44"/>
    <w:bookmarkEnd w:id="43"/>
    <w:p>
      <w:pPr>
        <w:ind w:left="3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right="280"/>
        <w:spacing w:after="0" w:line="326" w:lineRule="auto"/>
        <w:rPr>
          <w:sz w:val="20"/>
          <w:szCs w:val="20"/>
          <w:color w:val="auto"/>
        </w:rPr>
      </w:pPr>
      <w:r>
        <w:rPr>
          <w:rFonts w:ascii="Arial" w:cs="Arial" w:eastAsia="Arial" w:hAnsi="Arial"/>
          <w:sz w:val="15"/>
          <w:szCs w:val="15"/>
          <w:b w:val="1"/>
          <w:bCs w:val="1"/>
          <w:color w:val="auto"/>
        </w:rPr>
        <w:t>Accounts receivable consist primarily of amounts due from patients (funded through Medicare, Medicaid, health management organizations, other contractual programs and private payors). As of September 30, 2012 and December 31, 2011, approximately 40% and 39% of the Company’s accounts receivable were from Medicare and Medicaid programs, respectively. For the nine months ended September 30, 2012 and 2011, approximately 47% and 48%, respectively, of the Company’s net revenues were from Medicare and Medicaid programs.</w:t>
      </w:r>
    </w:p>
    <w:p>
      <w:pPr>
        <w:spacing w:after="0" w:line="130" w:lineRule="exact"/>
        <w:rPr>
          <w:sz w:val="20"/>
          <w:szCs w:val="20"/>
          <w:color w:val="auto"/>
        </w:rPr>
      </w:pPr>
    </w:p>
    <w:p>
      <w:pPr>
        <w:ind w:left="452" w:hanging="452"/>
        <w:spacing w:after="0"/>
        <w:tabs>
          <w:tab w:leader="none" w:pos="45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90" w:lineRule="exact"/>
        <w:rPr>
          <w:rFonts w:ascii="Arial" w:cs="Arial" w:eastAsia="Arial" w:hAnsi="Arial"/>
          <w:sz w:val="18"/>
          <w:szCs w:val="18"/>
          <w:b w:val="1"/>
          <w:bCs w:val="1"/>
          <w:color w:val="auto"/>
        </w:rPr>
      </w:pPr>
    </w:p>
    <w:p>
      <w:pPr>
        <w:ind w:left="452" w:right="28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A summary of property and equipment, including property and equipment held for sale, as of September 30, 2012 and December 31, 2011 is as follows:</w:t>
      </w:r>
    </w:p>
    <w:p>
      <w:pPr>
        <w:spacing w:after="0" w:line="150"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Land and land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1,287,869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787,869</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16,871,345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11,050,226</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1,524,659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1,485,522</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Computer equipment and furniture and fixture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6,172,423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3,868,075</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2,491,560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1,272,091</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28,347,856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18,463,783</w:t>
            </w:r>
          </w:p>
        </w:tc>
        <w:tc>
          <w:tcPr>
            <w:tcW w:w="100" w:type="dxa"/>
            <w:vAlign w:val="bottom"/>
          </w:tcPr>
          <w:p>
            <w:pPr>
              <w:spacing w:after="0"/>
              <w:rPr>
                <w:sz w:val="19"/>
                <w:szCs w:val="19"/>
                <w:color w:val="auto"/>
              </w:rPr>
            </w:pPr>
          </w:p>
        </w:tc>
      </w:tr>
      <w:tr>
        <w:trPr>
          <w:trHeight w:val="217"/>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4,683,463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3,763,029</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23,664,393</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14,700,754</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b w:val="1"/>
          <w:bCs w:val="1"/>
          <w:color w:val="auto"/>
        </w:rPr>
        <w:t>During October 2012, the Company entered into a purchase agreement to purchase the property of the Company’s facility in Midland, Texas. The property was previously leased by the Company. Under this agreement, the property included all real property, personal property, equipment and furniture for total consideration of approximately $6,300,000, which was funded through a draw on the Company’s existing line of credit (see Note 4). The facility in Midland, Texas, Permian Basin, is accounted for within these consolidated financial statements as discontinued operations (see Note 7).</w:t>
      </w:r>
    </w:p>
    <w:p>
      <w:pPr>
        <w:spacing w:after="0" w:line="260" w:lineRule="exact"/>
        <w:rPr>
          <w:sz w:val="20"/>
          <w:szCs w:val="20"/>
          <w:color w:val="auto"/>
        </w:rPr>
      </w:pPr>
    </w:p>
    <w:p>
      <w:pPr>
        <w:ind w:left="452" w:hanging="452"/>
        <w:spacing w:after="0"/>
        <w:tabs>
          <w:tab w:leader="none" w:pos="45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Line of credit</w:t>
      </w:r>
    </w:p>
    <w:p>
      <w:pPr>
        <w:spacing w:after="0" w:line="90" w:lineRule="exact"/>
        <w:rPr>
          <w:rFonts w:ascii="Arial" w:cs="Arial" w:eastAsia="Arial" w:hAnsi="Arial"/>
          <w:sz w:val="18"/>
          <w:szCs w:val="18"/>
          <w:b w:val="1"/>
          <w:bCs w:val="1"/>
          <w:color w:val="auto"/>
        </w:rPr>
      </w:pPr>
    </w:p>
    <w:p>
      <w:pPr>
        <w:ind w:left="452" w:right="8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has a $13,000,000 line of credit arrangement available with a bank at September 30, 2012. There was $2,276,425 and $3,128,878 outstanding on the line of credit at September 30, 2012 and December 31, 2011, respectively. Borrowings under the line of credit bear interest, payable monthly, on the amount borrowed at an annual interest rate fluctuating between 30-day LIBOR plus 300 and 400 basis points, with a floor of 4%. The interest rate is based on a financial ratio of measurement determined monthly and was 4% as of September 30, 2012. The line of credit is secured by substantially all non-real estate assets of the Company and matures on July 5, 2013. The line of credit places certain restrictions and limitations upon the Company. These include the maintenance of certain financial ratios. The Company was in compliance with all covenants as of September 30, 2012 and December 31, 2011.</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392"/>
          </w:cols>
          <w:pgMar w:left="248" w:top="274" w:right="259" w:bottom="1440" w:gutter="0" w:footer="0" w:header="0"/>
        </w:sectPr>
      </w:pPr>
    </w:p>
    <w:bookmarkStart w:id="44" w:name="page45"/>
    <w:bookmarkEnd w:id="44"/>
    <w:p>
      <w:pPr>
        <w:ind w:left="3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hanging="452"/>
        <w:spacing w:after="0"/>
        <w:tabs>
          <w:tab w:leader="none" w:pos="4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0" w:lineRule="exact"/>
        <w:rPr>
          <w:rFonts w:ascii="Arial" w:cs="Arial" w:eastAsia="Arial" w:hAnsi="Arial"/>
          <w:sz w:val="18"/>
          <w:szCs w:val="18"/>
          <w:b w:val="1"/>
          <w:bCs w:val="1"/>
          <w:color w:val="auto"/>
        </w:rPr>
      </w:pPr>
    </w:p>
    <w:p>
      <w:pPr>
        <w:ind w:left="452"/>
        <w:spacing w:after="0" w:line="339"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has a loan agreement with a bank in the amount of $2,652,713 at September 30, 2012. The loan bears interest at a 4.75% fixed rate per annum is due in monthly principal installments of $28,047 through July 2015. The loan is secured by certain assets of a subsidiary.</w:t>
      </w:r>
    </w:p>
    <w:p>
      <w:pPr>
        <w:spacing w:after="0" w:line="196" w:lineRule="exact"/>
        <w:rPr>
          <w:rFonts w:ascii="Arial" w:cs="Arial" w:eastAsia="Arial" w:hAnsi="Arial"/>
          <w:sz w:val="18"/>
          <w:szCs w:val="18"/>
          <w:b w:val="1"/>
          <w:bCs w:val="1"/>
          <w:color w:val="auto"/>
        </w:rPr>
      </w:pPr>
    </w:p>
    <w:p>
      <w:pPr>
        <w:ind w:left="452" w:hanging="452"/>
        <w:spacing w:after="0"/>
        <w:tabs>
          <w:tab w:leader="none" w:pos="4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Note receivable from physician</w:t>
      </w:r>
    </w:p>
    <w:p>
      <w:pPr>
        <w:spacing w:after="0" w:line="90" w:lineRule="exact"/>
        <w:rPr>
          <w:rFonts w:ascii="Arial" w:cs="Arial" w:eastAsia="Arial" w:hAnsi="Arial"/>
          <w:sz w:val="18"/>
          <w:szCs w:val="18"/>
          <w:b w:val="1"/>
          <w:bCs w:val="1"/>
          <w:color w:val="auto"/>
        </w:rPr>
      </w:pPr>
    </w:p>
    <w:p>
      <w:pPr>
        <w:ind w:left="452" w:right="120"/>
        <w:spacing w:after="0" w:line="309" w:lineRule="auto"/>
        <w:rPr>
          <w:rFonts w:ascii="Arial" w:cs="Arial" w:eastAsia="Arial" w:hAnsi="Arial"/>
          <w:sz w:val="18"/>
          <w:szCs w:val="18"/>
          <w:b w:val="1"/>
          <w:bCs w:val="1"/>
          <w:color w:val="auto"/>
        </w:rPr>
      </w:pPr>
      <w:r>
        <w:rPr>
          <w:rFonts w:ascii="Arial" w:cs="Arial" w:eastAsia="Arial" w:hAnsi="Arial"/>
          <w:sz w:val="15"/>
          <w:szCs w:val="15"/>
          <w:b w:val="1"/>
          <w:bCs w:val="1"/>
          <w:color w:val="auto"/>
        </w:rPr>
        <w:t>The Company has a note receivable from a physician of approximately $226,000 and $264,000 as of September 30, 2012 and December 31, 2011, respectively, which is included in other long-term assets on the consolidated balance sheets. The note bears interest at the prime rate which is</w:t>
      </w:r>
    </w:p>
    <w:p>
      <w:pPr>
        <w:ind w:left="452" w:right="200"/>
        <w:spacing w:after="0" w:line="295" w:lineRule="auto"/>
        <w:rPr>
          <w:rFonts w:ascii="Arial" w:cs="Arial" w:eastAsia="Arial" w:hAnsi="Arial"/>
          <w:sz w:val="18"/>
          <w:szCs w:val="18"/>
          <w:b w:val="1"/>
          <w:bCs w:val="1"/>
          <w:color w:val="auto"/>
        </w:rPr>
      </w:pPr>
      <w:r>
        <w:rPr>
          <w:rFonts w:ascii="Arial" w:cs="Arial" w:eastAsia="Arial" w:hAnsi="Arial"/>
          <w:sz w:val="16"/>
          <w:szCs w:val="16"/>
          <w:b w:val="1"/>
          <w:bCs w:val="1"/>
          <w:color w:val="auto"/>
        </w:rPr>
        <w:t>3.25% at September 30, 2012. The Company may withhold certain amounts owed to the physician under an employment agreement and credit such amounts to the note receivable on a monthly basis. All unpaid principal and interest is due on December 31, 2016. The Company’s management regularly reviews the notes receivable and provides an allowance for uncollectible amounts when considered necessary. As of September 30, 2012, the Company did not consider any allowance to be necessary.</w:t>
      </w:r>
    </w:p>
    <w:p>
      <w:pPr>
        <w:spacing w:after="0" w:line="231" w:lineRule="exact"/>
        <w:rPr>
          <w:rFonts w:ascii="Arial" w:cs="Arial" w:eastAsia="Arial" w:hAnsi="Arial"/>
          <w:sz w:val="18"/>
          <w:szCs w:val="18"/>
          <w:b w:val="1"/>
          <w:bCs w:val="1"/>
          <w:color w:val="auto"/>
        </w:rPr>
      </w:pPr>
    </w:p>
    <w:p>
      <w:pPr>
        <w:ind w:left="452" w:hanging="452"/>
        <w:spacing w:after="0"/>
        <w:tabs>
          <w:tab w:leader="none" w:pos="4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0" w:lineRule="exact"/>
        <w:rPr>
          <w:rFonts w:ascii="Arial" w:cs="Arial" w:eastAsia="Arial" w:hAnsi="Arial"/>
          <w:sz w:val="18"/>
          <w:szCs w:val="18"/>
          <w:b w:val="1"/>
          <w:bCs w:val="1"/>
          <w:color w:val="auto"/>
        </w:rPr>
      </w:pPr>
    </w:p>
    <w:p>
      <w:pPr>
        <w:ind w:left="452" w:right="4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Generally accepted accounting principles requires that all components of an entity that have been disposed of (by sale, by abandonment or in a distribution to owners) or are held for sale and whose cash flows can be clearly distinguished from the rest of the entity be presented as discontinued operations. In connection with the sale of the Company to Acadia, the Company will divest its Permian Basin facility. The results of operations of the Company’s Permian Basin facility have been reported as discontinued operations in the accompanying consolidated financial statements for all periods presented.</w:t>
      </w:r>
    </w:p>
    <w:p>
      <w:pPr>
        <w:spacing w:after="0" w:line="5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summary of results from discontinued operations is approximately as follows:</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3800" w:type="dxa"/>
            <w:vAlign w:val="bottom"/>
            <w:gridSpan w:val="2"/>
          </w:tcPr>
          <w:p>
            <w:pPr>
              <w:jc w:val="center"/>
              <w:ind w:left="2902"/>
              <w:spacing w:after="0"/>
              <w:rPr>
                <w:sz w:val="20"/>
                <w:szCs w:val="20"/>
                <w:color w:val="auto"/>
              </w:rPr>
            </w:pPr>
            <w:r>
              <w:rPr>
                <w:rFonts w:ascii="Arial" w:cs="Arial" w:eastAsia="Arial" w:hAnsi="Arial"/>
                <w:sz w:val="14"/>
                <w:szCs w:val="14"/>
                <w:b w:val="1"/>
                <w:bCs w:val="1"/>
                <w:color w:val="auto"/>
                <w:w w:val="83"/>
              </w:rPr>
              <w:t>2012</w:t>
            </w:r>
          </w:p>
        </w:tc>
        <w:tc>
          <w:tcPr>
            <w:tcW w:w="122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0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4,635,000</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5,360,000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3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2,839,000</w:t>
            </w:r>
          </w:p>
        </w:tc>
        <w:tc>
          <w:tcPr>
            <w:tcW w:w="4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1,626,000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0" w:type="dxa"/>
            <w:vAlign w:val="bottom"/>
            <w:vMerge w:val="restart"/>
          </w:tcPr>
          <w:p>
            <w:pPr>
              <w:jc w:val="right"/>
              <w:ind w:right="2102"/>
              <w:spacing w:after="0"/>
              <w:rPr>
                <w:sz w:val="20"/>
                <w:szCs w:val="20"/>
                <w:color w:val="auto"/>
              </w:rPr>
            </w:pPr>
            <w:r>
              <w:rPr>
                <w:rFonts w:ascii="Arial" w:cs="Arial" w:eastAsia="Arial" w:hAnsi="Arial"/>
                <w:sz w:val="18"/>
                <w:szCs w:val="18"/>
                <w:b w:val="1"/>
                <w:bCs w:val="1"/>
                <w:color w:val="auto"/>
              </w:rPr>
              <w:t>7</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12"/>
          </w:cols>
          <w:pgMar w:left="248" w:top="274" w:right="339" w:bottom="1440" w:gutter="0" w:footer="0" w:header="0"/>
        </w:sectPr>
      </w:pPr>
    </w:p>
    <w:bookmarkStart w:id="45" w:name="page46"/>
    <w:bookmarkEnd w:id="45"/>
    <w:p>
      <w:pPr>
        <w:ind w:left="3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right="280"/>
        <w:spacing w:after="0" w:line="275" w:lineRule="auto"/>
        <w:rPr>
          <w:sz w:val="20"/>
          <w:szCs w:val="20"/>
          <w:color w:val="auto"/>
        </w:rPr>
      </w:pPr>
      <w:r>
        <w:rPr>
          <w:rFonts w:ascii="Arial" w:cs="Arial" w:eastAsia="Arial" w:hAnsi="Arial"/>
          <w:sz w:val="18"/>
          <w:szCs w:val="18"/>
          <w:b w:val="1"/>
          <w:bCs w:val="1"/>
          <w:color w:val="auto"/>
        </w:rPr>
        <w:t>Assets and liabilities associated with this facility which are included in the accompanying consolidated balance sheets as of September 30, 2012 and December 31, 2011 are approximately as follows:</w:t>
      </w:r>
    </w:p>
    <w:p>
      <w:pPr>
        <w:spacing w:after="0" w:line="150"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80" w:type="dxa"/>
            <w:vAlign w:val="bottom"/>
            <w:gridSpan w:val="3"/>
          </w:tcPr>
          <w:p>
            <w:pPr>
              <w:ind w:left="2240"/>
              <w:spacing w:after="0"/>
              <w:rPr>
                <w:sz w:val="20"/>
                <w:szCs w:val="20"/>
                <w:color w:val="auto"/>
              </w:rPr>
            </w:pPr>
            <w:r>
              <w:rPr>
                <w:rFonts w:ascii="Arial" w:cs="Arial" w:eastAsia="Arial" w:hAnsi="Arial"/>
                <w:sz w:val="14"/>
                <w:szCs w:val="14"/>
                <w:b w:val="1"/>
                <w:bCs w:val="1"/>
                <w:color w:val="auto"/>
                <w:w w:val="85"/>
              </w:rPr>
              <w:t>September 30,</w:t>
            </w:r>
          </w:p>
        </w:tc>
        <w:tc>
          <w:tcPr>
            <w:tcW w:w="1400" w:type="dxa"/>
            <w:vAlign w:val="bottom"/>
            <w:gridSpan w:val="4"/>
          </w:tcPr>
          <w:p>
            <w:pPr>
              <w:ind w:left="50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1,603,000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1,758,000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assets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387,000</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387,000</w:t>
            </w:r>
          </w:p>
        </w:tc>
        <w:tc>
          <w:tcPr>
            <w:tcW w:w="100" w:type="dxa"/>
            <w:vAlign w:val="bottom"/>
            <w:shd w:val="clear" w:color="auto" w:fill="CCEEFF"/>
          </w:tcPr>
          <w:p>
            <w:pPr>
              <w:spacing w:after="0"/>
              <w:rPr>
                <w:sz w:val="18"/>
                <w:szCs w:val="18"/>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2,320,000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2,427,000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390,000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431,000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821,000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656,000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0" w:lineRule="exact"/>
        <w:rPr>
          <w:rFonts w:ascii="Arial" w:cs="Arial" w:eastAsia="Arial" w:hAnsi="Arial"/>
          <w:sz w:val="18"/>
          <w:szCs w:val="18"/>
          <w:b w:val="1"/>
          <w:bCs w:val="1"/>
          <w:color w:val="auto"/>
        </w:rPr>
      </w:pPr>
    </w:p>
    <w:p>
      <w:pPr>
        <w:ind w:left="452"/>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is organized as a limited liability company and is taxed as a partnership for federal and state tax purposes. Under federal and state income tax provisions, the Company is not subject to income taxes on its taxable income. Instead, the Company’s income and losses pass through to the members and are taxed at the individual level. All taxable income and losses are allocated to the members in accordance with operating agreements for inclusion in their personal tax returns. Certain subsidiaries in Ohio, Texas and Michigan, however, are subject to various state and local income taxes. In addition, Cedar Crest Clinic, a Texas not-for-profit corporation and StoneCrest Clinic, a Michigan not for profit corporation, both controlled by the Company, are taxable for federal and state income tax purposes.</w:t>
      </w:r>
    </w:p>
    <w:p>
      <w:pPr>
        <w:spacing w:after="0" w:line="29" w:lineRule="exact"/>
        <w:rPr>
          <w:rFonts w:ascii="Arial" w:cs="Arial" w:eastAsia="Arial" w:hAnsi="Arial"/>
          <w:sz w:val="18"/>
          <w:szCs w:val="18"/>
          <w:b w:val="1"/>
          <w:bCs w:val="1"/>
          <w:color w:val="auto"/>
        </w:rPr>
      </w:pPr>
    </w:p>
    <w:p>
      <w:pPr>
        <w:ind w:left="452" w:right="26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Under generally accepted accounting principles,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Company has no material uncertain tax positions that qualify for either recognition or disclosure in the financial statements.</w:t>
      </w:r>
    </w:p>
    <w:p>
      <w:pPr>
        <w:spacing w:after="0" w:line="57" w:lineRule="exact"/>
        <w:rPr>
          <w:rFonts w:ascii="Arial" w:cs="Arial" w:eastAsia="Arial" w:hAnsi="Arial"/>
          <w:sz w:val="18"/>
          <w:szCs w:val="18"/>
          <w:b w:val="1"/>
          <w:bCs w:val="1"/>
          <w:color w:val="auto"/>
        </w:rPr>
      </w:pPr>
    </w:p>
    <w:p>
      <w:pPr>
        <w:ind w:left="452" w:right="14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As of September 30, 2012, the Company has accrued no interest and no penalties related to uncertain tax positions. It is the Company’s policy to recognize interest and/or penalties related to income tax matters in income tax expense.</w:t>
      </w:r>
    </w:p>
    <w:p>
      <w:pPr>
        <w:spacing w:after="0" w:line="38" w:lineRule="exact"/>
        <w:rPr>
          <w:rFonts w:ascii="Arial" w:cs="Arial" w:eastAsia="Arial" w:hAnsi="Arial"/>
          <w:sz w:val="18"/>
          <w:szCs w:val="18"/>
          <w:b w:val="1"/>
          <w:bCs w:val="1"/>
          <w:color w:val="auto"/>
        </w:rPr>
      </w:pPr>
    </w:p>
    <w:p>
      <w:pPr>
        <w:ind w:left="452" w:right="640"/>
        <w:spacing w:after="0" w:line="339"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files a U.S. Partnership Information return and state of Michigan, Ohio, Tennessee and Texas tax returns. The Company is currently open to audit under the statute of limitations for the years ended December 31, 2009 through 2011.</w:t>
      </w:r>
    </w:p>
    <w:p>
      <w:pPr>
        <w:spacing w:after="0" w:line="6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372"/>
          </w:cols>
          <w:pgMar w:left="248" w:top="274" w:right="279" w:bottom="1440" w:gutter="0" w:footer="0" w:header="0"/>
        </w:sectPr>
      </w:pPr>
    </w:p>
    <w:bookmarkStart w:id="46" w:name="page47"/>
    <w:bookmarkEnd w:id="46"/>
    <w:p>
      <w:pPr>
        <w:ind w:left="3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right="160"/>
        <w:spacing w:after="0" w:line="293" w:lineRule="auto"/>
        <w:rPr>
          <w:sz w:val="20"/>
          <w:szCs w:val="20"/>
          <w:color w:val="auto"/>
        </w:rPr>
      </w:pPr>
      <w:r>
        <w:rPr>
          <w:rFonts w:ascii="Arial" w:cs="Arial" w:eastAsia="Arial" w:hAnsi="Arial"/>
          <w:sz w:val="16"/>
          <w:szCs w:val="16"/>
          <w:b w:val="1"/>
          <w:bCs w:val="1"/>
          <w:color w:val="auto"/>
        </w:rPr>
        <w:t>The Company has subsidiaries that are subject to various federal, regional and local income taxes. Two of the Company’s subsidiaries had approximately $150,000 in federal net operating losses to offset future taxable income as of December 31, 2011. The federal net operating losses were to expire at various times between 2019 and 2025. Deferred tax assets of approximately $38,000 at December 31, 2011 which related to net operating losses, were not reflected within the accompanying consolidated balance sheet due to the establishment of a full valuation allowance. Other differences between the financial reporting basis and tax basis of the Company’s assets and liabilities are not material to the consolidated financial statements.</w:t>
      </w:r>
    </w:p>
    <w:p>
      <w:pPr>
        <w:spacing w:after="0" w:line="232" w:lineRule="exact"/>
        <w:rPr>
          <w:sz w:val="20"/>
          <w:szCs w:val="20"/>
          <w:color w:val="auto"/>
        </w:rPr>
      </w:pPr>
    </w:p>
    <w:p>
      <w:pPr>
        <w:ind w:left="452" w:right="8440" w:hanging="452"/>
        <w:spacing w:after="0" w:line="344" w:lineRule="auto"/>
        <w:tabs>
          <w:tab w:leader="none" w:pos="44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b w:val="1"/>
          <w:bCs w:val="1"/>
          <w:i w:val="1"/>
          <w:iCs w:val="1"/>
          <w:u w:val="single" w:color="auto"/>
          <w:color w:val="auto"/>
        </w:rPr>
        <w:t>Litigation</w:t>
      </w:r>
    </w:p>
    <w:p>
      <w:pPr>
        <w:ind w:left="452" w:right="40"/>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color w:val="auto"/>
        </w:rPr>
        <w:t>BCA is involved in litigation with the former owner of one of its subsidiaries in Texas related to payments made by the State of Texas under the Medicaid Disproportionate Share Hospital Program. These payments were paid to BCA subsequent to its acquisition of the subsidiary in April 2005; however, the former owner is claiming that these amounts should have been excluded from the assets purchased. BCA was acquired during 2007 and since the litigation relates to a transaction occurring prior to the acquisition date, the Company believes and has notified the former shareholders that this claim would fall under the indemnity provision of the 2007 unit purchase agreement. Management plans on vigorously defending this case and at this time, the ultimate outcome and any potential loss is uncertain; however, management believes that any settlement would not exceed the indemnity that has been established and therefore would not have a material adverse effect on the Company’s financial position or results of operation. As these matters develop, it is reasonably possible management’s estimate of their effect could change and an accrual could be required.</w:t>
      </w:r>
    </w:p>
    <w:p>
      <w:pPr>
        <w:spacing w:after="0" w:line="31" w:lineRule="exact"/>
        <w:rPr>
          <w:rFonts w:ascii="Arial" w:cs="Arial" w:eastAsia="Arial" w:hAnsi="Arial"/>
          <w:sz w:val="18"/>
          <w:szCs w:val="18"/>
          <w:b w:val="1"/>
          <w:bCs w:val="1"/>
          <w:color w:val="auto"/>
        </w:rPr>
      </w:pPr>
    </w:p>
    <w:p>
      <w:pPr>
        <w:ind w:left="452" w:right="14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is involved in various other claims and legal actions arising in the ordinary course of business. In the opinion of management, the ultimate disposition of these matters will not have a material adverse effect on the Company’s consolidated financial position or results of operations. At September 30, 2012 and December 31, 2011, the Company has a general reserve of approximately $489,000 and $420,000, respectively, which is included in other long-term liabilities on the consolidated balance sheet.</w:t>
      </w:r>
    </w:p>
    <w:p>
      <w:pPr>
        <w:spacing w:after="0" w:line="1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Healthcare Industry</w:t>
      </w:r>
    </w:p>
    <w:p>
      <w:pPr>
        <w:spacing w:after="0" w:line="84"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delivery of personal and health care services entails an inherent risk of liability. Participants in the health care services industry have become subject to an increasing number of lawsuits alleging negligence or related legal theories, many of which involve large claims and result in the incurrence of significant exposure and defense costs. The Company and its subsidiaries are insured with respect to medical malpractice risk on a claims-made basis. The Company also maintains insurance for general liability, director and officer liability and property. Certain policies are subject to deductibles. In addition to the insurance coverage provided, the Company indemnifies certain officers and directors for actions taken on behalf of the Company and its subsidiaries. Management is not aware of any claims against it or its subsidiaries which would have a material financial impact.</w:t>
      </w:r>
    </w:p>
    <w:p>
      <w:pPr>
        <w:spacing w:after="0" w:line="10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332"/>
          </w:cols>
          <w:pgMar w:left="248" w:top="274" w:right="319" w:bottom="1440" w:gutter="0" w:footer="0" w:header="0"/>
        </w:sectPr>
      </w:pPr>
    </w:p>
    <w:bookmarkStart w:id="47" w:name="page48"/>
    <w:bookmarkEnd w:id="47"/>
    <w:p>
      <w:pPr>
        <w:ind w:left="3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right="80"/>
        <w:spacing w:after="0" w:line="291" w:lineRule="auto"/>
        <w:rPr>
          <w:sz w:val="20"/>
          <w:szCs w:val="20"/>
          <w:color w:val="auto"/>
        </w:rPr>
      </w:pPr>
      <w:r>
        <w:rPr>
          <w:rFonts w:ascii="Arial" w:cs="Arial" w:eastAsia="Arial" w:hAnsi="Arial"/>
          <w:sz w:val="16"/>
          <w:szCs w:val="16"/>
          <w:b w:val="1"/>
          <w:bCs w:val="1"/>
          <w:color w:val="auto"/>
        </w:rPr>
        <w:t>The health care industry is subject to numerous laws and regulations of federal, state and local governments. These laws and regulations include, but are not necessarily limited to, matters such as licensure, accreditation, government health care program participation requirements, reimbursement for patient services, and Medicare fraud and abuse. Recently, government activity has increased with respect to investigations and/or allegations concerning possible violations of fraud and abuse statutes and/or regulations by health care providers. Violations of these laws and regulations could result in expulsion from government health care programs together with the imposition of significant fines and penalties, as well as repayments for patient services previously billed. Management believes that the Company is in compliance with fraud and abuse statutes, as well as other applicable government laws and regulations.</w:t>
      </w:r>
    </w:p>
    <w:p>
      <w:pPr>
        <w:spacing w:after="0" w:line="200"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u w:val="single" w:color="auto"/>
          <w:color w:val="auto"/>
        </w:rPr>
        <w:t>Healthcare Reform</w:t>
      </w:r>
    </w:p>
    <w:p>
      <w:pPr>
        <w:spacing w:after="0" w:line="84" w:lineRule="exact"/>
        <w:rPr>
          <w:sz w:val="20"/>
          <w:szCs w:val="20"/>
          <w:color w:val="auto"/>
        </w:rPr>
      </w:pPr>
    </w:p>
    <w:p>
      <w:pPr>
        <w:ind w:left="452"/>
        <w:spacing w:after="0" w:line="289" w:lineRule="auto"/>
        <w:rPr>
          <w:sz w:val="20"/>
          <w:szCs w:val="20"/>
          <w:color w:val="auto"/>
        </w:rPr>
      </w:pPr>
      <w:r>
        <w:rPr>
          <w:rFonts w:ascii="Arial" w:cs="Arial" w:eastAsia="Arial" w:hAnsi="Arial"/>
          <w:sz w:val="16"/>
          <w:szCs w:val="16"/>
          <w:b w:val="1"/>
          <w:bCs w:val="1"/>
          <w:color w:val="auto"/>
        </w:rPr>
        <w:t>In March 2010, Congress adopted comprehensive health care insurance legislation, the Patient Care Protection and Affordable Care Act and the Health Care and Education Reconciliation Act (“collectively, the “Health Care Reform Legislation”). The Health Care Reform Legislation, among other matters, is designed to expand access to health care coverage to substantially all citizens through a combination of public program expansion and private industry health insurance. Provisions of the Health Care Reform Legislation become effective at various dates over the next several years and a number of additional steps are required to implement these requirements. Due to the complexity of the Health Care Reform Legislation, reconciliation and implementation of the legislation continues to be under consideration by lawmakers, and it is not certain as to what changes may be made in the future regarding health care policies. Changes to existing Medicaid coverage and payments are also expected to occur as a result of this legislation. While the full impact of Health Care Reform Legislation is not yet fully known, changes to policies regarding reimbursement, universal health insurance and managed competition may materially impact the Company’s operations.</w:t>
      </w:r>
    </w:p>
    <w:p>
      <w:pPr>
        <w:spacing w:after="0" w:line="234" w:lineRule="exact"/>
        <w:rPr>
          <w:sz w:val="20"/>
          <w:szCs w:val="20"/>
          <w:color w:val="auto"/>
        </w:rPr>
      </w:pPr>
    </w:p>
    <w:p>
      <w:pPr>
        <w:ind w:left="452" w:hanging="452"/>
        <w:spacing w:after="0"/>
        <w:tabs>
          <w:tab w:leader="none" w:pos="45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90" w:lineRule="exact"/>
        <w:rPr>
          <w:rFonts w:ascii="Arial" w:cs="Arial" w:eastAsia="Arial" w:hAnsi="Arial"/>
          <w:sz w:val="18"/>
          <w:szCs w:val="18"/>
          <w:b w:val="1"/>
          <w:bCs w:val="1"/>
          <w:color w:val="auto"/>
        </w:rPr>
      </w:pPr>
    </w:p>
    <w:p>
      <w:pPr>
        <w:ind w:left="452" w:right="2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paid consulting fees to a board member which approximated $22,500 and $195,000 during the nine months ended September 30, 2012 and 2011, respectively. The Company also paid $524,000 and $813,000 for management services fees during the nine months ended September 30, 2012 and 2011, respectively, to the member and an affiliate of the member.</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12"/>
          </w:cols>
          <w:pgMar w:left="248" w:top="274" w:right="23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Behavioral Centers of America, LLC and Subsidiaries:</w:t>
      </w:r>
    </w:p>
    <w:p>
      <w:pPr>
        <w:spacing w:after="0" w:line="159"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We have audited the accompanying consolidated balance sheets of Behavioral Centers of America, LLC and Subsidiaries (collectively, the “Company”) as of December 31, 2011 and 2010, and the related consolidated statements of operations and changes in member’s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03"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b w:val="1"/>
          <w:bCs w:val="1"/>
          <w:color w:val="auto"/>
        </w:rPr>
        <w:t>We conducted our audits in accordance with auditing standards generally accepted in the United States of America. Those standards require that we plan and perform the audits to obtain reasonable assurance about whether the consolidated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00"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In our opinion, the consolidated financial statements referred to above present fairly, in all material respects, the financial position of Behavioral Centers of America, LLC and Subsidiaries as of December 31, 2011 and 2010, and the results of their operations and their cash flows for the years then ended in conformity with accounting principles generally accepted in the United States of America.</w:t>
      </w:r>
    </w:p>
    <w:p>
      <w:pPr>
        <w:spacing w:after="0" w:line="9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As discussed in Note 12(b) to the consolidated financial statements, subsequent to December 31, 2011 the member of the Company has entered into an agreement to sell its membership interests.</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 Lattimore Black Morgan &amp; Cain,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Brentwood, Tennessee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 2012</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340"/>
          </w:cols>
          <w:pgMar w:left="240" w:top="274"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0" w:type="dxa"/>
            <w:vAlign w:val="bottom"/>
            <w:gridSpan w:val="3"/>
            <w:shd w:val="clear" w:color="auto" w:fill="CCEEFF"/>
          </w:tcPr>
          <w:p>
            <w:pPr>
              <w:jc w:val="center"/>
              <w:ind w:right="3340"/>
              <w:spacing w:after="0" w:line="156" w:lineRule="exact"/>
              <w:rPr>
                <w:sz w:val="20"/>
                <w:szCs w:val="20"/>
                <w:color w:val="auto"/>
              </w:rPr>
            </w:pPr>
            <w:r>
              <w:rPr>
                <w:rFonts w:ascii="Arial" w:cs="Arial" w:eastAsia="Arial" w:hAnsi="Arial"/>
                <w:sz w:val="18"/>
                <w:szCs w:val="18"/>
                <w:b w:val="1"/>
                <w:bCs w:val="1"/>
                <w:color w:val="auto"/>
                <w:w w:val="77"/>
              </w:rPr>
              <w:t>Assets</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Borders>
              <w:top w:val="single" w:sz="8" w:color="auto"/>
            </w:tcBorders>
          </w:tcPr>
          <w:p>
            <w:pPr>
              <w:spacing w:after="0"/>
              <w:rPr>
                <w:sz w:val="18"/>
                <w:szCs w:val="18"/>
                <w:color w:val="auto"/>
              </w:rPr>
            </w:pPr>
          </w:p>
        </w:tc>
        <w:tc>
          <w:tcPr>
            <w:tcW w:w="33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gridSpan w:val="5"/>
          </w:tcPr>
          <w:p>
            <w:pPr>
              <w:ind w:left="420"/>
              <w:spacing w:after="0" w:line="201" w:lineRule="exact"/>
              <w:rPr>
                <w:sz w:val="20"/>
                <w:szCs w:val="20"/>
                <w:color w:val="auto"/>
              </w:rPr>
            </w:pPr>
            <w:r>
              <w:rPr>
                <w:rFonts w:ascii="Arial" w:cs="Arial" w:eastAsia="Arial" w:hAnsi="Arial"/>
                <w:sz w:val="18"/>
                <w:szCs w:val="18"/>
                <w:b w:val="1"/>
                <w:bCs w:val="1"/>
                <w:color w:val="auto"/>
                <w:w w:val="98"/>
              </w:rPr>
              <w:t>Accounts receivable, less allowance for doubtful account of $2,146,864 and $1,725,092 in 2011 and 2010,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20" w:type="dxa"/>
            <w:vAlign w:val="bottom"/>
            <w:gridSpan w:val="5"/>
          </w:tcPr>
          <w:p>
            <w:pPr>
              <w:ind w:left="640"/>
              <w:spacing w:after="0"/>
              <w:rPr>
                <w:sz w:val="20"/>
                <w:szCs w:val="20"/>
                <w:color w:val="auto"/>
              </w:rPr>
            </w:pPr>
            <w:r>
              <w:rPr>
                <w:rFonts w:ascii="Arial" w:cs="Arial" w:eastAsia="Arial" w:hAnsi="Arial"/>
                <w:sz w:val="18"/>
                <w:szCs w:val="18"/>
                <w:b w:val="1"/>
                <w:bCs w:val="1"/>
                <w:color w:val="auto"/>
              </w:rPr>
              <w:t>respectively</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9,555,912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7,539,438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Agency receivables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1,351,065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1,528,001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tcPr>
          <w:p>
            <w:pPr>
              <w:ind w:left="420"/>
              <w:spacing w:after="0"/>
              <w:rPr>
                <w:sz w:val="20"/>
                <w:szCs w:val="20"/>
                <w:color w:val="auto"/>
              </w:rPr>
            </w:pPr>
            <w:r>
              <w:rPr>
                <w:rFonts w:ascii="Arial" w:cs="Arial" w:eastAsia="Arial" w:hAnsi="Arial"/>
                <w:sz w:val="18"/>
                <w:szCs w:val="18"/>
                <w:b w:val="1"/>
                <w:bCs w:val="1"/>
                <w:color w:val="auto"/>
              </w:rPr>
              <w:t>Other receivables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634,306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955,847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924,619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12,506,895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11,041,063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14,419,162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11,404,234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tcPr>
          <w:p>
            <w:pPr>
              <w:spacing w:after="0"/>
              <w:rPr>
                <w:sz w:val="20"/>
                <w:szCs w:val="20"/>
                <w:color w:val="auto"/>
              </w:rPr>
            </w:pPr>
            <w:r>
              <w:rPr>
                <w:rFonts w:ascii="Arial" w:cs="Arial" w:eastAsia="Arial" w:hAnsi="Arial"/>
                <w:sz w:val="18"/>
                <w:szCs w:val="18"/>
                <w:b w:val="1"/>
                <w:bCs w:val="1"/>
                <w:color w:val="auto"/>
              </w:rPr>
              <w:t>Property and equipment, held for sale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281,592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217,322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16,549,781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16,549,781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5"/>
          </w:tcPr>
          <w:p>
            <w:pPr>
              <w:spacing w:after="0"/>
              <w:rPr>
                <w:sz w:val="20"/>
                <w:szCs w:val="20"/>
                <w:color w:val="auto"/>
              </w:rPr>
            </w:pPr>
            <w:r>
              <w:rPr>
                <w:rFonts w:ascii="Arial" w:cs="Arial" w:eastAsia="Arial" w:hAnsi="Arial"/>
                <w:sz w:val="18"/>
                <w:szCs w:val="18"/>
                <w:b w:val="1"/>
                <w:bCs w:val="1"/>
                <w:color w:val="auto"/>
              </w:rPr>
              <w:t>Other long-term assets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1,817,151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45,574,581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39,856,152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gridSpan w:val="5"/>
            <w:vMerge w:val="restart"/>
          </w:tcPr>
          <w:p>
            <w:pPr>
              <w:jc w:val="center"/>
              <w:ind w:left="1972"/>
              <w:spacing w:after="0"/>
              <w:rPr>
                <w:sz w:val="20"/>
                <w:szCs w:val="20"/>
                <w:color w:val="auto"/>
              </w:rPr>
            </w:pPr>
            <w:r>
              <w:rPr>
                <w:rFonts w:ascii="Arial" w:cs="Arial" w:eastAsia="Arial" w:hAnsi="Arial"/>
                <w:sz w:val="18"/>
                <w:szCs w:val="18"/>
                <w:b w:val="1"/>
                <w:bCs w:val="1"/>
                <w:color w:val="auto"/>
                <w:w w:val="90"/>
              </w:rPr>
              <w:t>Liabilities and Member’s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92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tcPr>
          <w:p>
            <w:pPr>
              <w:ind w:left="420"/>
              <w:spacing w:after="0"/>
              <w:rPr>
                <w:sz w:val="20"/>
                <w:szCs w:val="20"/>
                <w:color w:val="auto"/>
              </w:rPr>
            </w:pPr>
            <w:r>
              <w:rPr>
                <w:rFonts w:ascii="Arial" w:cs="Arial" w:eastAsia="Arial" w:hAnsi="Arial"/>
                <w:sz w:val="18"/>
                <w:szCs w:val="18"/>
                <w:b w:val="1"/>
                <w:bCs w:val="1"/>
                <w:color w:val="auto"/>
              </w:rPr>
              <w:t>Line of credit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3,128,878</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2,836,964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Accounts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2,371,315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2,040,591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tcPr>
          <w:p>
            <w:pPr>
              <w:ind w:left="420"/>
              <w:spacing w:after="0"/>
              <w:rPr>
                <w:sz w:val="20"/>
                <w:szCs w:val="20"/>
                <w:color w:val="auto"/>
              </w:rPr>
            </w:pPr>
            <w:r>
              <w:rPr>
                <w:rFonts w:ascii="Arial" w:cs="Arial" w:eastAsia="Arial" w:hAnsi="Arial"/>
                <w:sz w:val="18"/>
                <w:szCs w:val="18"/>
                <w:b w:val="1"/>
                <w:bCs w:val="1"/>
                <w:color w:val="auto"/>
              </w:rPr>
              <w:t>Accrued salaries and benefits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3,135,276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2,141,425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Other 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367,771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9,003,240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7,271,104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835,018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9,838,258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8,230,852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35,736,323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31,625,300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45,574,581</w:t>
            </w: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39,856,152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Changes in Member’s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Net patient revenues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$54,318,353</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$47,918,827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238,444</w:t>
            </w: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Total revenue before provision for doubtful accounts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54,506,560</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48,157,271</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Less provision for doubtful accounts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1,443,025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1,009,425</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53,063,535</w:t>
            </w: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47,147,846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Salaries and benefits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28,920,292</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26,422,057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Professional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3,198,905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2,551,959</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Supplies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2,885,739</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2,861,730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1,151,578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1,737,724</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954,869</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946,225</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Insurance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683,397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802,388</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Utilities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999,728</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1,035,093</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Repairs and maintenance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458,021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414,607</w:t>
            </w: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Other expenses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7,628,315</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6,800,338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46,880,844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43,572,121</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from continuing operations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6,182,691</w:t>
            </w: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3,575,725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Interest expense, net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(134,635)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(120,851)</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Management fees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(923,577)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(469,513)</w:t>
            </w: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Gain on disposal of property</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497,069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other income (expense)</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(1,058,212)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(93,295)</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5,124,479</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3,482,430</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219,226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196,195</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4,905,253</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3,286,235</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2,455,613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3,215,594</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2,449,640</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70,641</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Contributions from members, net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1,661,383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13,960</w:t>
            </w: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Member’s equity at beginning of 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31,625,300</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31,540,699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 at end of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35,736,323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31,625,300</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2,449,640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70,641</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1,010,758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989,936</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Provision for doubtful accounts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2,330,120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4"/>
              </w:rPr>
              <w:t>1,990,601</w:t>
            </w: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b w:val="1"/>
                <w:bCs w:val="1"/>
                <w:color w:val="auto"/>
              </w:rPr>
              <w:t>Gain on disposal of property</w:t>
            </w:r>
          </w:p>
        </w:tc>
        <w:tc>
          <w:tcPr>
            <w:tcW w:w="100" w:type="dxa"/>
            <w:vAlign w:val="bottom"/>
          </w:tcPr>
          <w:p>
            <w:pPr>
              <w:spacing w:after="0"/>
              <w:rPr>
                <w:sz w:val="18"/>
                <w:szCs w:val="18"/>
                <w:color w:val="auto"/>
              </w:rPr>
            </w:pPr>
          </w:p>
        </w:tc>
        <w:tc>
          <w:tcPr>
            <w:tcW w:w="1280" w:type="dxa"/>
            <w:vAlign w:val="bottom"/>
            <w:gridSpan w:val="2"/>
          </w:tcPr>
          <w:p>
            <w:pPr>
              <w:jc w:val="right"/>
              <w:ind w:right="51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(497,069)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(Increase) decrease in operating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1280"/>
              <w:spacing w:after="0"/>
              <w:rPr>
                <w:sz w:val="20"/>
                <w:szCs w:val="20"/>
                <w:color w:val="auto"/>
              </w:rPr>
            </w:pPr>
            <w:r>
              <w:rPr>
                <w:rFonts w:ascii="Arial" w:cs="Arial" w:eastAsia="Arial" w:hAnsi="Arial"/>
                <w:sz w:val="18"/>
                <w:szCs w:val="18"/>
                <w:b w:val="1"/>
                <w:bCs w:val="1"/>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378"/>
              <w:spacing w:after="0"/>
              <w:rPr>
                <w:sz w:val="20"/>
                <w:szCs w:val="20"/>
                <w:color w:val="auto"/>
              </w:rPr>
            </w:pPr>
            <w:r>
              <w:rPr>
                <w:rFonts w:ascii="Arial" w:cs="Arial" w:eastAsia="Arial" w:hAnsi="Arial"/>
                <w:sz w:val="18"/>
                <w:szCs w:val="18"/>
                <w:b w:val="1"/>
                <w:bCs w:val="1"/>
                <w:color w:val="auto"/>
                <w:w w:val="86"/>
              </w:rPr>
              <w:t>(4,025,053)</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(2,571,076)</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Agency receivables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176,936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(867,997)</w:t>
            </w:r>
          </w:p>
        </w:tc>
      </w:tr>
      <w:tr>
        <w:trPr>
          <w:trHeight w:val="216"/>
        </w:trPr>
        <w:tc>
          <w:tcPr>
            <w:tcW w:w="20" w:type="dxa"/>
            <w:vAlign w:val="bottom"/>
          </w:tcPr>
          <w:p>
            <w:pPr>
              <w:spacing w:after="0"/>
              <w:rPr>
                <w:sz w:val="18"/>
                <w:szCs w:val="18"/>
                <w:color w:val="auto"/>
              </w:rPr>
            </w:pPr>
          </w:p>
        </w:tc>
        <w:tc>
          <w:tcPr>
            <w:tcW w:w="9040" w:type="dxa"/>
            <w:vAlign w:val="bottom"/>
          </w:tcPr>
          <w:p>
            <w:pPr>
              <w:ind w:left="1280"/>
              <w:spacing w:after="0"/>
              <w:rPr>
                <w:sz w:val="20"/>
                <w:szCs w:val="20"/>
                <w:color w:val="auto"/>
              </w:rPr>
            </w:pPr>
            <w:r>
              <w:rPr>
                <w:rFonts w:ascii="Arial" w:cs="Arial" w:eastAsia="Arial" w:hAnsi="Arial"/>
                <w:sz w:val="18"/>
                <w:szCs w:val="18"/>
                <w:b w:val="1"/>
                <w:bCs w:val="1"/>
                <w:color w:val="auto"/>
              </w:rPr>
              <w:t>Other current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29,537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733,632</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Other long-term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b w:val="1"/>
                <w:bCs w:val="1"/>
                <w:color w:val="auto"/>
              </w:rPr>
              <w:t>(63,864)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(72,053)</w:t>
            </w: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b w:val="1"/>
                <w:bCs w:val="1"/>
                <w:color w:val="auto"/>
              </w:rPr>
              <w:t>Increase in operating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330,724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(9,898)</w:t>
            </w:r>
          </w:p>
        </w:tc>
      </w:tr>
      <w:tr>
        <w:trPr>
          <w:trHeight w:val="216"/>
        </w:trPr>
        <w:tc>
          <w:tcPr>
            <w:tcW w:w="20" w:type="dxa"/>
            <w:vAlign w:val="bottom"/>
          </w:tcPr>
          <w:p>
            <w:pPr>
              <w:spacing w:after="0"/>
              <w:rPr>
                <w:sz w:val="18"/>
                <w:szCs w:val="18"/>
                <w:color w:val="auto"/>
              </w:rPr>
            </w:pPr>
          </w:p>
        </w:tc>
        <w:tc>
          <w:tcPr>
            <w:tcW w:w="9040" w:type="dxa"/>
            <w:vAlign w:val="bottom"/>
          </w:tcPr>
          <w:p>
            <w:pPr>
              <w:ind w:left="1280"/>
              <w:spacing w:after="0"/>
              <w:rPr>
                <w:sz w:val="20"/>
                <w:szCs w:val="20"/>
                <w:color w:val="auto"/>
              </w:rPr>
            </w:pPr>
            <w:r>
              <w:rPr>
                <w:rFonts w:ascii="Arial" w:cs="Arial" w:eastAsia="Arial" w:hAnsi="Arial"/>
                <w:sz w:val="18"/>
                <w:szCs w:val="18"/>
                <w:b w:val="1"/>
                <w:bCs w:val="1"/>
                <w:color w:val="auto"/>
              </w:rPr>
              <w:t>Accrued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1,109,498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353,727</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b w:val="1"/>
                <w:bCs w:val="1"/>
                <w:color w:val="auto"/>
              </w:rPr>
              <w:t>(124,730)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525,603</w:t>
            </w:r>
          </w:p>
        </w:tc>
      </w:tr>
      <w:tr>
        <w:trPr>
          <w:trHeight w:val="230"/>
        </w:trPr>
        <w:tc>
          <w:tcPr>
            <w:tcW w:w="20" w:type="dxa"/>
            <w:vAlign w:val="bottom"/>
          </w:tcPr>
          <w:p>
            <w:pPr>
              <w:spacing w:after="0"/>
              <w:rPr>
                <w:sz w:val="20"/>
                <w:szCs w:val="20"/>
                <w:color w:val="auto"/>
              </w:rPr>
            </w:pPr>
          </w:p>
        </w:tc>
        <w:tc>
          <w:tcPr>
            <w:tcW w:w="9040" w:type="dxa"/>
            <w:vAlign w:val="bottom"/>
          </w:tcPr>
          <w:p>
            <w:pPr>
              <w:ind w:left="1720"/>
              <w:spacing w:after="0"/>
              <w:rPr>
                <w:sz w:val="20"/>
                <w:szCs w:val="20"/>
                <w:color w:val="auto"/>
              </w:rPr>
            </w:pPr>
            <w:r>
              <w:rPr>
                <w:rFonts w:ascii="Arial" w:cs="Arial" w:eastAsia="Arial" w:hAnsi="Arial"/>
                <w:sz w:val="18"/>
                <w:szCs w:val="18"/>
                <w:b w:val="1"/>
                <w:bCs w:val="1"/>
                <w:color w:val="auto"/>
              </w:rPr>
              <w:t>Total adjustments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773,926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575,406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3,223,566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646,047</w:t>
            </w: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Routine and maintenance capital additions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b w:val="1"/>
                <w:bCs w:val="1"/>
                <w:color w:val="auto"/>
                <w:w w:val="86"/>
              </w:rPr>
              <w:t>(5,176,776)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(1,336,201)</w:t>
            </w:r>
          </w:p>
        </w:tc>
      </w:tr>
      <w:tr>
        <w:trPr>
          <w:trHeight w:val="230"/>
        </w:trPr>
        <w:tc>
          <w:tcPr>
            <w:tcW w:w="20" w:type="dxa"/>
            <w:vAlign w:val="bottom"/>
          </w:tcPr>
          <w:p>
            <w:pPr>
              <w:spacing w:after="0"/>
              <w:rPr>
                <w:sz w:val="20"/>
                <w:szCs w:val="20"/>
                <w:color w:val="auto"/>
              </w:rPr>
            </w:pPr>
          </w:p>
        </w:tc>
        <w:tc>
          <w:tcPr>
            <w:tcW w:w="9040" w:type="dxa"/>
            <w:vAlign w:val="bottom"/>
          </w:tcPr>
          <w:p>
            <w:pPr>
              <w:ind w:left="1720"/>
              <w:spacing w:after="0"/>
              <w:rPr>
                <w:sz w:val="20"/>
                <w:szCs w:val="20"/>
                <w:color w:val="auto"/>
              </w:rPr>
            </w:pPr>
            <w:r>
              <w:rPr>
                <w:rFonts w:ascii="Arial" w:cs="Arial" w:eastAsia="Arial" w:hAnsi="Arial"/>
                <w:sz w:val="18"/>
                <w:szCs w:val="18"/>
                <w:b w:val="1"/>
                <w:bCs w:val="1"/>
                <w:color w:val="auto"/>
              </w:rPr>
              <w:t>Net cash used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(5,176,776</w:t>
            </w:r>
          </w:p>
        </w:tc>
        <w:tc>
          <w:tcPr>
            <w:tcW w:w="520" w:type="dxa"/>
            <w:vAlign w:val="bottom"/>
          </w:tcPr>
          <w:p>
            <w:pPr>
              <w:jc w:val="right"/>
              <w:ind w:right="3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(1,336,201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Proceeds from line of credit,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291,914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665,688</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Contributions from members,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1,661,383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13,960</w:t>
            </w:r>
          </w:p>
        </w:tc>
      </w:tr>
      <w:tr>
        <w:trPr>
          <w:trHeight w:val="230"/>
        </w:trPr>
        <w:tc>
          <w:tcPr>
            <w:tcW w:w="20" w:type="dxa"/>
            <w:vAlign w:val="bottom"/>
          </w:tcPr>
          <w:p>
            <w:pPr>
              <w:spacing w:after="0"/>
              <w:rPr>
                <w:sz w:val="20"/>
                <w:szCs w:val="20"/>
                <w:color w:val="auto"/>
              </w:rPr>
            </w:pPr>
          </w:p>
        </w:tc>
        <w:tc>
          <w:tcPr>
            <w:tcW w:w="9040" w:type="dxa"/>
            <w:vAlign w:val="bottom"/>
          </w:tcPr>
          <w:p>
            <w:pPr>
              <w:ind w:left="172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1,953,297</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679,648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Increase (decrease) in cash</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(10,506)</w:t>
            </w: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40,906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40,906</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1420"/>
          </w:cols>
          <w:pgMar w:left="240" w:top="274" w:right="239" w:bottom="1440" w:gutter="0" w:footer="0" w:header="0"/>
        </w:sectPr>
      </w:pPr>
    </w:p>
    <w:bookmarkStart w:id="52" w:name="page53"/>
    <w:bookmarkEnd w:id="5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2011 and 2010</w:t>
      </w:r>
    </w:p>
    <w:p>
      <w:pPr>
        <w:spacing w:after="0" w:line="293" w:lineRule="exact"/>
        <w:rPr>
          <w:sz w:val="20"/>
          <w:szCs w:val="20"/>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operations</w:t>
      </w:r>
    </w:p>
    <w:p>
      <w:pPr>
        <w:spacing w:after="0" w:line="90" w:lineRule="exact"/>
        <w:rPr>
          <w:rFonts w:ascii="Arial" w:cs="Arial" w:eastAsia="Arial" w:hAnsi="Arial"/>
          <w:sz w:val="18"/>
          <w:szCs w:val="18"/>
          <w:b w:val="1"/>
          <w:bCs w:val="1"/>
          <w:color w:val="auto"/>
        </w:rPr>
      </w:pPr>
    </w:p>
    <w:p>
      <w:pPr>
        <w:ind w:left="452" w:right="26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Behavioral Centers of America, LLC, and Subsidiaries (“BCA”), a wholly-owned subsidiary of Behavioral Centers of America Holdings, LLC, was formed to provide behavioral health services, including acute psychiatric care, residential treatment, partial hospitalization care, intensive outpatient services and outpatient services. BCA currently serves patients in Ohio, Texas, and Michigan. Its corporate office is located in Nashville, Tennessee.</w:t>
      </w:r>
    </w:p>
    <w:p>
      <w:pPr>
        <w:spacing w:after="0" w:line="257" w:lineRule="exact"/>
        <w:rPr>
          <w:rFonts w:ascii="Arial" w:cs="Arial" w:eastAsia="Arial" w:hAnsi="Arial"/>
          <w:sz w:val="18"/>
          <w:szCs w:val="18"/>
          <w:b w:val="1"/>
          <w:bCs w:val="1"/>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90" w:lineRule="exact"/>
        <w:rPr>
          <w:sz w:val="20"/>
          <w:szCs w:val="20"/>
          <w:color w:val="auto"/>
        </w:rPr>
      </w:pPr>
    </w:p>
    <w:p>
      <w:pPr>
        <w:ind w:left="892" w:hanging="446"/>
        <w:spacing w:after="0"/>
        <w:tabs>
          <w:tab w:leader="none" w:pos="89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Principles of consolidation</w:t>
      </w:r>
    </w:p>
    <w:p>
      <w:pPr>
        <w:spacing w:after="0" w:line="90" w:lineRule="exact"/>
        <w:rPr>
          <w:sz w:val="20"/>
          <w:szCs w:val="20"/>
          <w:color w:val="auto"/>
        </w:rPr>
      </w:pPr>
    </w:p>
    <w:p>
      <w:pPr>
        <w:ind w:left="912" w:right="280"/>
        <w:spacing w:after="0" w:line="275" w:lineRule="auto"/>
        <w:rPr>
          <w:sz w:val="20"/>
          <w:szCs w:val="20"/>
          <w:color w:val="auto"/>
        </w:rPr>
      </w:pPr>
      <w:r>
        <w:rPr>
          <w:rFonts w:ascii="Arial" w:cs="Arial" w:eastAsia="Arial" w:hAnsi="Arial"/>
          <w:sz w:val="18"/>
          <w:szCs w:val="18"/>
          <w:b w:val="1"/>
          <w:bCs w:val="1"/>
          <w:color w:val="auto"/>
        </w:rPr>
        <w:t>These consolidated financial statements include the accounts of all of the Company’s wholly-owned subsidiary companies. All significant intercompany accounts and transactions have been eliminated.</w:t>
      </w:r>
    </w:p>
    <w:p>
      <w:pPr>
        <w:spacing w:after="0" w:line="160" w:lineRule="exact"/>
        <w:rPr>
          <w:sz w:val="20"/>
          <w:szCs w:val="20"/>
          <w:color w:val="auto"/>
        </w:rPr>
      </w:pPr>
    </w:p>
    <w:p>
      <w:pPr>
        <w:ind w:left="892" w:hanging="446"/>
        <w:spacing w:after="0"/>
        <w:tabs>
          <w:tab w:leader="none" w:pos="89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90" w:lineRule="exact"/>
        <w:rPr>
          <w:sz w:val="20"/>
          <w:szCs w:val="20"/>
          <w:color w:val="auto"/>
        </w:rPr>
      </w:pPr>
    </w:p>
    <w:p>
      <w:pPr>
        <w:ind w:left="912" w:right="60"/>
        <w:spacing w:after="0" w:line="291" w:lineRule="auto"/>
        <w:rPr>
          <w:sz w:val="20"/>
          <w:szCs w:val="20"/>
          <w:color w:val="auto"/>
        </w:rPr>
      </w:pPr>
      <w:r>
        <w:rPr>
          <w:rFonts w:ascii="Arial" w:cs="Arial" w:eastAsia="Arial" w:hAnsi="Arial"/>
          <w:sz w:val="16"/>
          <w:szCs w:val="16"/>
          <w:b w:val="1"/>
          <w:bCs w:val="1"/>
          <w:color w:val="auto"/>
        </w:rPr>
        <w:t>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fair value accounting standards establish a fair value hierarchy that distinguishes between market participant assumptions based on market data obtained from sources independent of the reporting entity including quoted market prices in active markets for identical assets (Level 1), or significant other observable inputs (Level 2) and the reporting entity’s own assumptions about market participant assumptions (Level 3). The Company does not have any fair value measurements using significant unobservable inputs (Level 3) as of December 31, 2011 and 2010.</w:t>
      </w:r>
    </w:p>
    <w:p>
      <w:pPr>
        <w:spacing w:after="0" w:line="154" w:lineRule="exact"/>
        <w:rPr>
          <w:sz w:val="20"/>
          <w:szCs w:val="20"/>
          <w:color w:val="auto"/>
        </w:rPr>
      </w:pPr>
    </w:p>
    <w:p>
      <w:pPr>
        <w:ind w:left="892" w:hanging="446"/>
        <w:spacing w:after="0"/>
        <w:tabs>
          <w:tab w:leader="none" w:pos="89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6"/>
          <w:szCs w:val="16"/>
          <w:b w:val="1"/>
          <w:bCs w:val="1"/>
          <w:color w:val="auto"/>
        </w:rPr>
        <w:t>The Company considers all highly liquid investments with original maturities of less than three months to be cash equivalents.</w:t>
      </w:r>
    </w:p>
    <w:p>
      <w:pPr>
        <w:spacing w:after="0" w:line="235" w:lineRule="exact"/>
        <w:rPr>
          <w:sz w:val="20"/>
          <w:szCs w:val="20"/>
          <w:color w:val="auto"/>
        </w:rPr>
      </w:pPr>
    </w:p>
    <w:p>
      <w:pPr>
        <w:ind w:left="892" w:hanging="446"/>
        <w:spacing w:after="0"/>
        <w:tabs>
          <w:tab w:leader="none" w:pos="89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receivable</w:t>
      </w:r>
    </w:p>
    <w:p>
      <w:pPr>
        <w:spacing w:after="0" w:line="90" w:lineRule="exact"/>
        <w:rPr>
          <w:sz w:val="20"/>
          <w:szCs w:val="20"/>
          <w:color w:val="auto"/>
        </w:rPr>
      </w:pPr>
    </w:p>
    <w:p>
      <w:pPr>
        <w:ind w:left="912"/>
        <w:spacing w:after="0" w:line="293" w:lineRule="auto"/>
        <w:rPr>
          <w:sz w:val="20"/>
          <w:szCs w:val="20"/>
          <w:color w:val="auto"/>
        </w:rPr>
      </w:pPr>
      <w:r>
        <w:rPr>
          <w:rFonts w:ascii="Arial" w:cs="Arial" w:eastAsia="Arial" w:hAnsi="Arial"/>
          <w:sz w:val="16"/>
          <w:szCs w:val="16"/>
          <w:b w:val="1"/>
          <w:bCs w:val="1"/>
          <w:color w:val="auto"/>
        </w:rPr>
        <w:t>The Company receives payment for services rendered from federal and state agencies (including Medicare and Medicaid programs), private insurance carriers, employers, managed care programs and patients. The Company manages receivables by regularly reviewing its accounts and contracts and by providing appropriate allowances for uncollectible amounts. The Company records an allowance for uncollectible accounts for all self-pay receivables greater than 90 days outstanding and all other receivables greater than 150 days outstanding. Late and interest charges, if any, are recorded when received. Receivables are generally uncollateralized, but credit risk relating to accounts receivable is limited to some extent by the diversity and number of patients and payors.</w:t>
      </w:r>
    </w:p>
    <w:p>
      <w:pPr>
        <w:spacing w:after="0" w:line="9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1392"/>
          </w:cols>
          <w:pgMar w:left="248" w:top="274" w:right="259" w:bottom="1440" w:gutter="0" w:footer="0" w:header="0"/>
        </w:sectPr>
      </w:pPr>
    </w:p>
    <w:bookmarkStart w:id="53" w:name="page54"/>
    <w:bookmarkEnd w:id="53"/>
    <w:p>
      <w:pPr>
        <w:jc w:val="center"/>
        <w:ind w:right="39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46" w:hanging="446"/>
        <w:spacing w:after="0"/>
        <w:tabs>
          <w:tab w:leader="none" w:pos="446"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Third party settlements</w:t>
      </w:r>
    </w:p>
    <w:p>
      <w:pPr>
        <w:spacing w:after="0" w:line="90" w:lineRule="exact"/>
        <w:rPr>
          <w:sz w:val="20"/>
          <w:szCs w:val="20"/>
          <w:color w:val="auto"/>
        </w:rPr>
      </w:pPr>
    </w:p>
    <w:p>
      <w:pPr>
        <w:ind w:left="466"/>
        <w:spacing w:after="0" w:line="288" w:lineRule="auto"/>
        <w:rPr>
          <w:sz w:val="20"/>
          <w:szCs w:val="20"/>
          <w:color w:val="auto"/>
        </w:rPr>
      </w:pPr>
      <w:r>
        <w:rPr>
          <w:rFonts w:ascii="Arial" w:cs="Arial" w:eastAsia="Arial" w:hAnsi="Arial"/>
          <w:sz w:val="16"/>
          <w:szCs w:val="16"/>
          <w:b w:val="1"/>
          <w:bCs w:val="1"/>
          <w:color w:val="auto"/>
        </w:rPr>
        <w:t>Accounts receivable and the related revenues are recorded during the period the related healthcare services are provided, based upon the estimated amounts due from third-party payors, including federal and state agencies (including the Medicare and Medicaid programs), private insurance carriers, employers, managed care programs and patients. Estimates of contractual allowances under managed care health plans are based upon the payment terms specified in the related contractual agreement. Managed care agreements’ contractual payment terms are generally based upon predetermined rates per diagnosis, per diem rates or discounted fee-for-service rates. Laws and regulations governing the Medicare and Medicaid programs are complex and subject to interpretation. As a result, there is at least a reasonable possibility that recorded estimates related to these programs will change by a material amount. The estimated reimbursement amounts are adjusted in subsequent periods as cost reports are prepared and filed and as final settlements are determined. The adjustments resulting from tentative or final settlements to estimated reimbursement amounts resulted in a decrease to revenue of approximately $400,000 for the year ended December 31, 2010.</w:t>
      </w:r>
    </w:p>
    <w:p>
      <w:pPr>
        <w:spacing w:after="0" w:line="156" w:lineRule="exact"/>
        <w:rPr>
          <w:sz w:val="20"/>
          <w:szCs w:val="20"/>
          <w:color w:val="auto"/>
        </w:rPr>
      </w:pPr>
    </w:p>
    <w:p>
      <w:pPr>
        <w:ind w:left="446" w:hanging="446"/>
        <w:spacing w:after="0"/>
        <w:tabs>
          <w:tab w:leader="none" w:pos="446"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0" w:lineRule="exact"/>
        <w:rPr>
          <w:sz w:val="20"/>
          <w:szCs w:val="20"/>
          <w:color w:val="auto"/>
        </w:rPr>
      </w:pPr>
    </w:p>
    <w:p>
      <w:pPr>
        <w:ind w:left="466" w:right="440"/>
        <w:spacing w:after="0" w:line="275" w:lineRule="auto"/>
        <w:rPr>
          <w:sz w:val="20"/>
          <w:szCs w:val="20"/>
          <w:color w:val="auto"/>
        </w:rPr>
      </w:pPr>
      <w:r>
        <w:rPr>
          <w:rFonts w:ascii="Arial" w:cs="Arial" w:eastAsia="Arial" w:hAnsi="Arial"/>
          <w:sz w:val="18"/>
          <w:szCs w:val="18"/>
          <w:b w:val="1"/>
          <w:bCs w:val="1"/>
          <w:color w:val="auto"/>
        </w:rPr>
        <w:t>Inventories consist of medical and other supplies and are stated at the lower of cost, determined on a first-in, first-out (FIFO) basis, or market (net realizable value).</w:t>
      </w:r>
    </w:p>
    <w:p>
      <w:pPr>
        <w:spacing w:after="0" w:line="160" w:lineRule="exact"/>
        <w:rPr>
          <w:sz w:val="20"/>
          <w:szCs w:val="20"/>
          <w:color w:val="auto"/>
        </w:rPr>
      </w:pPr>
    </w:p>
    <w:p>
      <w:pPr>
        <w:ind w:left="446" w:hanging="446"/>
        <w:spacing w:after="0"/>
        <w:tabs>
          <w:tab w:leader="none" w:pos="446"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90" w:lineRule="exact"/>
        <w:rPr>
          <w:sz w:val="20"/>
          <w:szCs w:val="20"/>
          <w:color w:val="auto"/>
        </w:rPr>
      </w:pPr>
    </w:p>
    <w:p>
      <w:pPr>
        <w:ind w:left="466" w:right="100"/>
        <w:spacing w:after="0" w:line="258" w:lineRule="auto"/>
        <w:rPr>
          <w:sz w:val="20"/>
          <w:szCs w:val="20"/>
          <w:color w:val="auto"/>
        </w:rPr>
      </w:pPr>
      <w:r>
        <w:rPr>
          <w:rFonts w:ascii="Arial" w:cs="Arial" w:eastAsia="Arial" w:hAnsi="Arial"/>
          <w:sz w:val="18"/>
          <w:szCs w:val="18"/>
          <w:b w:val="1"/>
          <w:bCs w:val="1"/>
          <w:color w:val="auto"/>
        </w:rPr>
        <w:t>Property and equipment are stated at cost. Depreciation and amortization are provided over the assets’ estimated useful lives using the straight-line method. Leasehold improvements are amortized over the shorter of their estimated lives or the respective lease term. Land improvements are depreciated over ten years, buildings are depreciated over twenty to forty years, computer equipment and furniture and fixtures are depreciated over three to ten years.</w:t>
      </w:r>
    </w:p>
    <w:p>
      <w:pPr>
        <w:spacing w:after="0" w:line="55" w:lineRule="exact"/>
        <w:rPr>
          <w:sz w:val="20"/>
          <w:szCs w:val="20"/>
          <w:color w:val="auto"/>
        </w:rPr>
      </w:pPr>
    </w:p>
    <w:p>
      <w:pPr>
        <w:ind w:left="466" w:right="260"/>
        <w:spacing w:after="0" w:line="262" w:lineRule="auto"/>
        <w:rPr>
          <w:sz w:val="20"/>
          <w:szCs w:val="20"/>
          <w:color w:val="auto"/>
        </w:rPr>
      </w:pPr>
      <w:r>
        <w:rPr>
          <w:rFonts w:ascii="Arial" w:cs="Arial" w:eastAsia="Arial" w:hAnsi="Arial"/>
          <w:sz w:val="18"/>
          <w:szCs w:val="18"/>
          <w:b w:val="1"/>
          <w:bCs w:val="1"/>
          <w:color w:val="auto"/>
        </w:rPr>
        <w:t>Expenditures for maintenance and repairs are expensed when incurred. Expenditures for renewals or betterments are capitalized. When property is retired or sold, the cost and the related accumulated depreciation or amortization are removed from the accounts, and the resulting gain or loss is included in operations.</w:t>
      </w:r>
    </w:p>
    <w:p>
      <w:pPr>
        <w:spacing w:after="0" w:line="173" w:lineRule="exact"/>
        <w:rPr>
          <w:sz w:val="20"/>
          <w:szCs w:val="20"/>
          <w:color w:val="auto"/>
        </w:rPr>
      </w:pPr>
    </w:p>
    <w:p>
      <w:pPr>
        <w:ind w:left="446" w:hanging="446"/>
        <w:spacing w:after="0"/>
        <w:tabs>
          <w:tab w:leader="none" w:pos="446"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0" w:lineRule="exact"/>
        <w:rPr>
          <w:sz w:val="20"/>
          <w:szCs w:val="20"/>
          <w:color w:val="auto"/>
        </w:rPr>
      </w:pPr>
    </w:p>
    <w:p>
      <w:pPr>
        <w:ind w:left="466"/>
        <w:spacing w:after="0" w:line="301" w:lineRule="auto"/>
        <w:rPr>
          <w:sz w:val="20"/>
          <w:szCs w:val="20"/>
          <w:color w:val="auto"/>
        </w:rPr>
      </w:pPr>
      <w:r>
        <w:rPr>
          <w:rFonts w:ascii="Arial" w:cs="Arial" w:eastAsia="Arial" w:hAnsi="Arial"/>
          <w:sz w:val="16"/>
          <w:szCs w:val="16"/>
          <w:b w:val="1"/>
          <w:bCs w:val="1"/>
          <w:color w:val="auto"/>
        </w:rPr>
        <w:t>The Company reviews goodwill for impairment on an annual basis or more frequently if impairment indicators arise. In the event goodwill is considered to be impaired, the asset would be required to be recorded at fair value and a charge to earnings would be recorded during the period in which management makes such impairment assessment. During the years ended December 31, 2011 and 2010, the Company did not recognize any amounts in earnings related to changes in fair value.</w:t>
      </w:r>
    </w:p>
    <w:p>
      <w:pPr>
        <w:spacing w:after="0" w:line="90"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color w:val="auto"/>
        </w:rPr>
        <w:t>16</w:t>
      </w:r>
    </w:p>
    <w:p>
      <w:pPr>
        <w:sectPr>
          <w:pgSz w:w="11900" w:h="16838" w:orient="portrait"/>
          <w:cols w:equalWidth="0" w:num="1">
            <w:col w:w="10926"/>
          </w:cols>
          <w:pgMar w:left="694" w:top="274" w:right="279" w:bottom="1440" w:gutter="0" w:footer="0" w:header="0"/>
        </w:sectPr>
      </w:pPr>
    </w:p>
    <w:bookmarkStart w:id="54" w:name="page55"/>
    <w:bookmarkEnd w:id="54"/>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46" w:hanging="446"/>
        <w:spacing w:after="0"/>
        <w:tabs>
          <w:tab w:leader="none" w:pos="446"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0" w:lineRule="exact"/>
        <w:rPr>
          <w:sz w:val="20"/>
          <w:szCs w:val="20"/>
          <w:color w:val="auto"/>
        </w:rPr>
      </w:pPr>
    </w:p>
    <w:p>
      <w:pPr>
        <w:ind w:left="466" w:right="20"/>
        <w:spacing w:after="0" w:line="316" w:lineRule="auto"/>
        <w:rPr>
          <w:sz w:val="20"/>
          <w:szCs w:val="20"/>
          <w:color w:val="auto"/>
        </w:rPr>
      </w:pPr>
      <w:r>
        <w:rPr>
          <w:rFonts w:ascii="Arial" w:cs="Arial" w:eastAsia="Arial" w:hAnsi="Arial"/>
          <w:sz w:val="15"/>
          <w:szCs w:val="15"/>
          <w:b w:val="1"/>
          <w:bCs w:val="1"/>
          <w:color w:val="auto"/>
        </w:rPr>
        <w:t>The Company is organized as a limited liability company and is taxed as a partnership for federal and state tax purposes. Under federal and state income tax provisions, the Company is not subject to income taxes on its taxable income. Instead, the Company’s income and losses pass through to the members and are taxed at the individual level. All taxable income and losses are allocated to the members in accordance with operating agreements for inclusion in their personal tax returns. Certain subsidiaries in Ohio, Texas and Michigan, however, are subject to various state and local income taxes. In addition, Cedar Crest Clinic, a Texas not-for-profit corporation and StoneCrest Clinic, a Michigan not-for-profit corporation, both controlled by the Company, are taxable for federal and state income tax purposes.</w:t>
      </w:r>
    </w:p>
    <w:p>
      <w:pPr>
        <w:spacing w:after="0" w:line="15" w:lineRule="exact"/>
        <w:rPr>
          <w:sz w:val="20"/>
          <w:szCs w:val="20"/>
          <w:color w:val="auto"/>
        </w:rPr>
      </w:pPr>
    </w:p>
    <w:p>
      <w:pPr>
        <w:ind w:left="466" w:right="20"/>
        <w:spacing w:after="0" w:line="256" w:lineRule="auto"/>
        <w:rPr>
          <w:sz w:val="20"/>
          <w:szCs w:val="20"/>
          <w:color w:val="auto"/>
        </w:rPr>
      </w:pPr>
      <w:r>
        <w:rPr>
          <w:rFonts w:ascii="Arial" w:cs="Arial" w:eastAsia="Arial" w:hAnsi="Arial"/>
          <w:sz w:val="18"/>
          <w:szCs w:val="18"/>
          <w:b w:val="1"/>
          <w:bCs w:val="1"/>
          <w:color w:val="auto"/>
        </w:rPr>
        <w:t>Under generally accepted accounting principles,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purposes not meeting the “more likely than not” test, no tax benefit is recorded. The Company has no material uncertain tax positions that qualify for either recognition or disclosure in the financial statements.</w:t>
      </w:r>
    </w:p>
    <w:p>
      <w:pPr>
        <w:spacing w:after="0" w:line="58" w:lineRule="exact"/>
        <w:rPr>
          <w:sz w:val="20"/>
          <w:szCs w:val="20"/>
          <w:color w:val="auto"/>
        </w:rPr>
      </w:pPr>
    </w:p>
    <w:p>
      <w:pPr>
        <w:ind w:left="466" w:right="480"/>
        <w:spacing w:after="0" w:line="275" w:lineRule="auto"/>
        <w:rPr>
          <w:sz w:val="20"/>
          <w:szCs w:val="20"/>
          <w:color w:val="auto"/>
        </w:rPr>
      </w:pPr>
      <w:r>
        <w:rPr>
          <w:rFonts w:ascii="Arial" w:cs="Arial" w:eastAsia="Arial" w:hAnsi="Arial"/>
          <w:sz w:val="18"/>
          <w:szCs w:val="18"/>
          <w:b w:val="1"/>
          <w:bCs w:val="1"/>
          <w:color w:val="auto"/>
        </w:rPr>
        <w:t>As of December 31, 2011, the Company has accrued no interest and no penalties related to uncertain tax positions. It is the Company’s policy to recognize interest and/or penalties related to income tax matters in income tax expense.</w:t>
      </w:r>
    </w:p>
    <w:p>
      <w:pPr>
        <w:spacing w:after="0" w:line="39" w:lineRule="exact"/>
        <w:rPr>
          <w:sz w:val="20"/>
          <w:szCs w:val="20"/>
          <w:color w:val="auto"/>
        </w:rPr>
      </w:pPr>
    </w:p>
    <w:p>
      <w:pPr>
        <w:ind w:left="466" w:right="220"/>
        <w:spacing w:after="0" w:line="339" w:lineRule="auto"/>
        <w:rPr>
          <w:sz w:val="20"/>
          <w:szCs w:val="20"/>
          <w:color w:val="auto"/>
        </w:rPr>
      </w:pPr>
      <w:r>
        <w:rPr>
          <w:rFonts w:ascii="Arial" w:cs="Arial" w:eastAsia="Arial" w:hAnsi="Arial"/>
          <w:sz w:val="16"/>
          <w:szCs w:val="16"/>
          <w:b w:val="1"/>
          <w:bCs w:val="1"/>
          <w:color w:val="auto"/>
        </w:rPr>
        <w:t>The Company files a U.S. Partnership Information return and state of Michigan, Ohio, Tennessee and Texas tax returns. The Company is currently open to audit under the statute of limitations for the years ended December 31, 2008 through 2010.</w:t>
      </w:r>
    </w:p>
    <w:p>
      <w:pPr>
        <w:spacing w:after="0" w:line="115" w:lineRule="exact"/>
        <w:rPr>
          <w:sz w:val="20"/>
          <w:szCs w:val="20"/>
          <w:color w:val="auto"/>
        </w:rPr>
      </w:pPr>
    </w:p>
    <w:p>
      <w:pPr>
        <w:ind w:left="446" w:hanging="446"/>
        <w:spacing w:after="0"/>
        <w:tabs>
          <w:tab w:leader="none" w:pos="446"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90" w:lineRule="exact"/>
        <w:rPr>
          <w:sz w:val="20"/>
          <w:szCs w:val="20"/>
          <w:color w:val="auto"/>
        </w:rPr>
      </w:pPr>
    </w:p>
    <w:p>
      <w:pPr>
        <w:ind w:left="466"/>
        <w:spacing w:after="0" w:line="291" w:lineRule="auto"/>
        <w:rPr>
          <w:sz w:val="20"/>
          <w:szCs w:val="20"/>
          <w:color w:val="auto"/>
        </w:rPr>
      </w:pPr>
      <w:r>
        <w:rPr>
          <w:rFonts w:ascii="Arial" w:cs="Arial" w:eastAsia="Arial" w:hAnsi="Arial"/>
          <w:sz w:val="16"/>
          <w:szCs w:val="16"/>
          <w:b w:val="1"/>
          <w:bCs w:val="1"/>
          <w:color w:val="auto"/>
        </w:rPr>
        <w:t>Substantially all revenues of the Company are derived from behavioral health services, including acute psychiatric care, residential treatment, partial hospitalization care, intensive outpatient services and outpatient services. It is the Company’s policy to recognize revenues as services are provided to patients. Revenue is reported at the estimated net realizable amount from patients, third-party payors and others for services rendered. Provisions for estimated adjustments have been reflected in net revenues and approximated $37,100,000 and $29,400,000 in 2011 and 2010, respectively, which is inclusive of $6,000,000 and $2,600,000, respectively, in provisions for estimated adjustments related to discontinued operations. Differences between estimated adjustments and final settlements are recorded in the year of the settlement.</w:t>
      </w:r>
    </w:p>
    <w:p>
      <w:pPr>
        <w:spacing w:after="0" w:line="100"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17</w:t>
      </w:r>
    </w:p>
    <w:p>
      <w:pPr>
        <w:sectPr>
          <w:pgSz w:w="11900" w:h="16838" w:orient="portrait"/>
          <w:cols w:equalWidth="0" w:num="1">
            <w:col w:w="10966"/>
          </w:cols>
          <w:pgMar w:left="694" w:top="274" w:right="239" w:bottom="1440" w:gutter="0" w:footer="0" w:header="0"/>
        </w:sectPr>
      </w:pPr>
    </w:p>
    <w:bookmarkStart w:id="55" w:name="page56"/>
    <w:bookmarkEnd w:id="55"/>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66" w:right="100"/>
        <w:spacing w:after="0" w:line="296" w:lineRule="auto"/>
        <w:rPr>
          <w:sz w:val="20"/>
          <w:szCs w:val="20"/>
          <w:color w:val="auto"/>
        </w:rPr>
      </w:pPr>
      <w:r>
        <w:rPr>
          <w:rFonts w:ascii="Arial" w:cs="Arial" w:eastAsia="Arial" w:hAnsi="Arial"/>
          <w:sz w:val="16"/>
          <w:szCs w:val="16"/>
          <w:b w:val="1"/>
          <w:bCs w:val="1"/>
          <w:color w:val="auto"/>
        </w:rPr>
        <w:t>The Company provides care to patients who meet certain criteria under its charity care policy without charge or at amounts less than its established rates. Because the Company does not pursue collection of amounts determined to qualify as charity care, they are not reported as revenue. The amount of costs recognized in the statements of operations for providing charity care aggregated approximately $2,900,000 and $4,640,000 in 2011 and 2010, respectively, which is inclusive of $850,000 and $580,000, respectively, in charity care related to discontinued operations. These costs were estimated based on the ratio of total costs to gross charges.</w:t>
      </w:r>
    </w:p>
    <w:p>
      <w:pPr>
        <w:spacing w:after="0" w:line="148" w:lineRule="exact"/>
        <w:rPr>
          <w:sz w:val="20"/>
          <w:szCs w:val="20"/>
          <w:color w:val="auto"/>
        </w:rPr>
      </w:pPr>
    </w:p>
    <w:p>
      <w:pPr>
        <w:ind w:left="446" w:hanging="446"/>
        <w:spacing w:after="0"/>
        <w:tabs>
          <w:tab w:leader="none" w:pos="446"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Advertising costs</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Advertising costs are expensed as incurred.</w:t>
      </w:r>
    </w:p>
    <w:p>
      <w:pPr>
        <w:spacing w:after="0" w:line="212" w:lineRule="exact"/>
        <w:rPr>
          <w:sz w:val="20"/>
          <w:szCs w:val="20"/>
          <w:color w:val="auto"/>
        </w:rPr>
      </w:pPr>
    </w:p>
    <w:p>
      <w:pPr>
        <w:ind w:left="446" w:hanging="446"/>
        <w:spacing w:after="0"/>
        <w:tabs>
          <w:tab w:leader="none" w:pos="44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Realization of long-lived assets</w:t>
      </w:r>
    </w:p>
    <w:p>
      <w:pPr>
        <w:spacing w:after="0" w:line="90" w:lineRule="exact"/>
        <w:rPr>
          <w:sz w:val="20"/>
          <w:szCs w:val="20"/>
          <w:color w:val="auto"/>
        </w:rPr>
      </w:pPr>
    </w:p>
    <w:p>
      <w:pPr>
        <w:ind w:left="466" w:right="260"/>
        <w:spacing w:after="0" w:line="262" w:lineRule="auto"/>
        <w:rPr>
          <w:sz w:val="20"/>
          <w:szCs w:val="20"/>
          <w:color w:val="auto"/>
        </w:rPr>
      </w:pPr>
      <w:r>
        <w:rPr>
          <w:rFonts w:ascii="Arial" w:cs="Arial" w:eastAsia="Arial" w:hAnsi="Arial"/>
          <w:sz w:val="18"/>
          <w:szCs w:val="18"/>
          <w:b w:val="1"/>
          <w:bCs w:val="1"/>
          <w:color w:val="auto"/>
        </w:rPr>
        <w:t>Management evaluates the recoverability of the investment in long-lived assets on an ongoing basis and recognizes any impairment in the year of determination. It is reasonably possible that relevant conditions could change in the near term and necessitate a change in management’s estimate of the recoverability of these assets.</w:t>
      </w:r>
    </w:p>
    <w:p>
      <w:pPr>
        <w:spacing w:after="0" w:line="173" w:lineRule="exact"/>
        <w:rPr>
          <w:sz w:val="20"/>
          <w:szCs w:val="20"/>
          <w:color w:val="auto"/>
        </w:rPr>
      </w:pPr>
    </w:p>
    <w:p>
      <w:pPr>
        <w:ind w:left="446" w:hanging="446"/>
        <w:spacing w:after="0"/>
        <w:tabs>
          <w:tab w:leader="none" w:pos="44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90" w:lineRule="exact"/>
        <w:rPr>
          <w:sz w:val="20"/>
          <w:szCs w:val="20"/>
          <w:color w:val="auto"/>
        </w:rPr>
      </w:pPr>
    </w:p>
    <w:p>
      <w:pPr>
        <w:ind w:left="466" w:right="100"/>
        <w:spacing w:after="0" w:line="258" w:lineRule="auto"/>
        <w:rPr>
          <w:sz w:val="20"/>
          <w:szCs w:val="20"/>
          <w:color w:val="auto"/>
        </w:rPr>
      </w:pPr>
      <w:r>
        <w:rPr>
          <w:rFonts w:ascii="Arial" w:cs="Arial" w:eastAsia="Arial" w:hAnsi="Arial"/>
          <w:sz w:val="18"/>
          <w:szCs w:val="18"/>
          <w:b w:val="1"/>
          <w:bCs w:val="1"/>
          <w:color w:val="auto"/>
        </w:rPr>
        <w:t>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left="446" w:hanging="446"/>
        <w:spacing w:after="0"/>
        <w:tabs>
          <w:tab w:leader="none" w:pos="446"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accounting pronouncements</w:t>
      </w:r>
    </w:p>
    <w:p>
      <w:pPr>
        <w:spacing w:after="0" w:line="90"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b w:val="1"/>
          <w:bCs w:val="1"/>
          <w:color w:val="auto"/>
        </w:rPr>
        <w:t>In September 2011, the Financial Accounting Standards Board (“FASB”) issued accounting standards relating to goodwill and other intangibles. This guidance allows an entity the option to first assess qualitative factors to determine whether it is necessary to perform the two-step quantitative goodwill impairment test prescribed by current accounting standards. Under that option, an entity would no longer be required to calculate the fair value of a reporting unit unless the entity determines, based on the qualitative assessment, that it is more likely than not that its fair value is less than its carrying amount. An entity can bypass the qualitative assessment for any reporting unit in any period and proceed directly to the quantitative goodwill impairment test, and then resume performing the qualitative assessment in any subsequent period. These standards are effective for annual and interim goodwill impairment tests performed for fiscal years beginning after December 15, 2011 and early adoption is permitted. The adoption of this accounting standard is not expected to have a material impact on the Company’s consolidated financial statements.</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0966"/>
          </w:cols>
          <w:pgMar w:left="694" w:top="274" w:right="239" w:bottom="1440" w:gutter="0" w:footer="0" w:header="0"/>
        </w:sectPr>
      </w:pPr>
    </w:p>
    <w:bookmarkStart w:id="56" w:name="page57"/>
    <w:bookmarkEnd w:id="5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912" w:right="20"/>
        <w:spacing w:after="0" w:line="313" w:lineRule="auto"/>
        <w:rPr>
          <w:sz w:val="20"/>
          <w:szCs w:val="20"/>
          <w:color w:val="auto"/>
        </w:rPr>
      </w:pPr>
      <w:r>
        <w:rPr>
          <w:rFonts w:ascii="Arial" w:cs="Arial" w:eastAsia="Arial" w:hAnsi="Arial"/>
          <w:sz w:val="15"/>
          <w:szCs w:val="15"/>
          <w:b w:val="1"/>
          <w:bCs w:val="1"/>
          <w:color w:val="auto"/>
        </w:rPr>
        <w:t>In July 2011, the FASB issued accounting standards that require changes in financial statement presentation and enhanced disclosures by health care entities that recognize significant amounts of patient service revenue at the time services are rendered without taking account of patients’ ability to pay. These standards require health care entities to change the presentation of their statement of operations by reclassifying the provision for bad debts associated with patient service revenue from an operating expense to a deduction from patient service revenue (net of contractual allowances and discounts). Additionally, these entities will be required to provide enhanced disclosure about their policies for recognizing revenue and assessing bad debts as well as qualitative and quantitative information about changes in the allowance for doubtful accounts. These changes have been reflected within the consolidated financial statements for all periods presented.</w:t>
      </w:r>
    </w:p>
    <w:p>
      <w:pPr>
        <w:spacing w:after="0" w:line="141" w:lineRule="exact"/>
        <w:rPr>
          <w:sz w:val="20"/>
          <w:szCs w:val="20"/>
          <w:color w:val="auto"/>
        </w:rPr>
      </w:pPr>
    </w:p>
    <w:p>
      <w:pPr>
        <w:ind w:left="892" w:hanging="446"/>
        <w:spacing w:after="0"/>
        <w:tabs>
          <w:tab w:leader="none" w:pos="892"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occurring after reporting date</w:t>
      </w:r>
    </w:p>
    <w:p>
      <w:pPr>
        <w:spacing w:after="0" w:line="90" w:lineRule="exact"/>
        <w:rPr>
          <w:sz w:val="20"/>
          <w:szCs w:val="20"/>
          <w:color w:val="auto"/>
        </w:rPr>
      </w:pPr>
    </w:p>
    <w:p>
      <w:pPr>
        <w:ind w:left="912"/>
        <w:spacing w:after="0" w:line="339" w:lineRule="auto"/>
        <w:rPr>
          <w:sz w:val="20"/>
          <w:szCs w:val="20"/>
          <w:color w:val="auto"/>
        </w:rPr>
      </w:pPr>
      <w:r>
        <w:rPr>
          <w:rFonts w:ascii="Arial" w:cs="Arial" w:eastAsia="Arial" w:hAnsi="Arial"/>
          <w:sz w:val="16"/>
          <w:szCs w:val="16"/>
          <w:b w:val="1"/>
          <w:bCs w:val="1"/>
          <w:color w:val="auto"/>
        </w:rPr>
        <w:t>The Company has evaluated events and transactions that occurred between December 31, 2011 and December 3, 2012, which is the date that the consolidated financial statements were available to be issued, for possible recognition or disclosure in the financial statements.</w:t>
      </w:r>
    </w:p>
    <w:p>
      <w:pPr>
        <w:spacing w:after="0" w:line="196" w:lineRule="exact"/>
        <w:rPr>
          <w:sz w:val="20"/>
          <w:szCs w:val="20"/>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Credit risk and other concentrations</w:t>
      </w:r>
    </w:p>
    <w:p>
      <w:pPr>
        <w:spacing w:after="0" w:line="90" w:lineRule="exact"/>
        <w:rPr>
          <w:rFonts w:ascii="Arial" w:cs="Arial" w:eastAsia="Arial" w:hAnsi="Arial"/>
          <w:sz w:val="18"/>
          <w:szCs w:val="18"/>
          <w:b w:val="1"/>
          <w:bCs w:val="1"/>
          <w:color w:val="auto"/>
        </w:rPr>
      </w:pPr>
    </w:p>
    <w:p>
      <w:pPr>
        <w:ind w:left="452"/>
        <w:spacing w:after="0" w:line="334"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may maintain cash on deposit at banks in excess of federally insured amounts. The Company has not experienced any losses in such accounts and management believes the Company is not exposed to any significant credit risk related to cash.</w:t>
      </w:r>
    </w:p>
    <w:p>
      <w:pPr>
        <w:spacing w:after="0" w:line="1" w:lineRule="exact"/>
        <w:rPr>
          <w:rFonts w:ascii="Arial" w:cs="Arial" w:eastAsia="Arial" w:hAnsi="Arial"/>
          <w:sz w:val="18"/>
          <w:szCs w:val="18"/>
          <w:b w:val="1"/>
          <w:bCs w:val="1"/>
          <w:color w:val="auto"/>
        </w:rPr>
      </w:pPr>
    </w:p>
    <w:p>
      <w:pPr>
        <w:jc w:val="both"/>
        <w:ind w:left="452" w:right="34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Accounts receivable consist primarily of amounts due from patients (funded through Medicare, Medicaid, health management organizations, other contractual programs and private payors). As of December 31, 2011 and 2010, approximately 39% and 44% of the Company’s accounts receivable were from Medicare and Medicaid programs, respectively. For 2011 and 2010, approximately 45% and 49% of the Company’s net revenues were from Medicare and Medicaid programs, respectively.</w:t>
      </w:r>
    </w:p>
    <w:p>
      <w:pPr>
        <w:spacing w:after="0" w:line="224" w:lineRule="exact"/>
        <w:rPr>
          <w:rFonts w:ascii="Arial" w:cs="Arial" w:eastAsia="Arial" w:hAnsi="Arial"/>
          <w:sz w:val="18"/>
          <w:szCs w:val="18"/>
          <w:b w:val="1"/>
          <w:bCs w:val="1"/>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A summary of property and equipment, including property and equipment held for sale, as of December 31, 2011 and 2010 is as follows:</w:t>
      </w:r>
    </w:p>
    <w:p>
      <w:pPr>
        <w:spacing w:after="0" w:line="236"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94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Land and land improvements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787,869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Buildings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11,050,226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9,104,149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Leasehold improvements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1,485,522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w w:val="99"/>
              </w:rPr>
              <w:t>Computer equipment and furniture and fixture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3,868,075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3,264,244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Construction in progress</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1,272,091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18,463,783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14,401,359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Less accumulated depreciation and amortization</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3,763,029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2,779,803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14,700,754</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11,621,556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vMerge w:val="restart"/>
          </w:tcPr>
          <w:p>
            <w:pPr>
              <w:jc w:val="right"/>
              <w:ind w:right="1772"/>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sectPr>
      </w:pPr>
    </w:p>
    <w:bookmarkStart w:id="57" w:name="page58"/>
    <w:bookmarkEnd w:id="5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52" w:right="140"/>
        <w:spacing w:after="0" w:line="275" w:lineRule="auto"/>
        <w:rPr>
          <w:sz w:val="20"/>
          <w:szCs w:val="20"/>
          <w:color w:val="auto"/>
        </w:rPr>
      </w:pPr>
      <w:r>
        <w:rPr>
          <w:rFonts w:ascii="Arial" w:cs="Arial" w:eastAsia="Arial" w:hAnsi="Arial"/>
          <w:sz w:val="18"/>
          <w:szCs w:val="18"/>
          <w:b w:val="1"/>
          <w:bCs w:val="1"/>
          <w:color w:val="auto"/>
        </w:rPr>
        <w:t>The Company is in the process of constructing various expansions and additions to existing facilities. The total commitment for these projects in 2012 is approximately $138,000.</w:t>
      </w:r>
    </w:p>
    <w:p>
      <w:pPr>
        <w:spacing w:after="0" w:line="241" w:lineRule="exact"/>
        <w:rPr>
          <w:sz w:val="20"/>
          <w:szCs w:val="20"/>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Line of credit</w:t>
      </w:r>
    </w:p>
    <w:p>
      <w:pPr>
        <w:spacing w:after="0" w:line="90"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has a $8,000,000 line of credit arrangement available with a bank at December 31, 2011. There was $3,128,878 and $2,836,964 outstanding on the line of credit at December 31, 2011 and 2010, respectively. Borrowings under the line of credit bear interest, payable monthly, on the amount borrowed at an annual interest rate fluctuating between 30-day LIBOR plus 300 and 400 basis points, with a floor of 4%. The interest rate is based on a financial ratio of measurement determined monthly and was 4% as of December 31, 2011. The line of credit is secured by substantially all non-real estate assets of the Company and matured on July 5, 2012. During 2012, the Company amended the line of credit and extended the maturity to July 5, 2013. The line of credit places certain restrictions and limitations upon the Company. These include the maintenance of certain financial ratios. The Company was in compliance with all covenants as of December 31, 2011 and 2010.</w:t>
      </w:r>
    </w:p>
    <w:p>
      <w:pPr>
        <w:spacing w:after="0" w:line="234" w:lineRule="exact"/>
        <w:rPr>
          <w:rFonts w:ascii="Arial" w:cs="Arial" w:eastAsia="Arial" w:hAnsi="Arial"/>
          <w:sz w:val="18"/>
          <w:szCs w:val="18"/>
          <w:b w:val="1"/>
          <w:bCs w:val="1"/>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Note receivable from physician</w:t>
      </w:r>
    </w:p>
    <w:p>
      <w:pPr>
        <w:spacing w:after="0" w:line="90" w:lineRule="exact"/>
        <w:rPr>
          <w:rFonts w:ascii="Arial" w:cs="Arial" w:eastAsia="Arial" w:hAnsi="Arial"/>
          <w:sz w:val="18"/>
          <w:szCs w:val="18"/>
          <w:b w:val="1"/>
          <w:bCs w:val="1"/>
          <w:color w:val="auto"/>
        </w:rPr>
      </w:pPr>
    </w:p>
    <w:p>
      <w:pPr>
        <w:ind w:left="452" w:right="24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has a note receivable from a physician of approximately $264,000 as of December 31, 2011 which is included in other long-term assets on the consolidated balance sheet. The note bears interest at the prime rate which is 3.25% at December 31, 2011. The Company may withhold certain amounts owed to the physician under an employment agreement and credit such amounts to the note receivable on a monthly basis. All unpaid principal and interest is due on December 31, 2016. The Company’s management regularly reviews the notes receivable and provides an allowance for uncollectible amounts when considered necessary. As of December 31, 2011, the Company did not consider any allowance to be necessary.</w:t>
      </w:r>
    </w:p>
    <w:p>
      <w:pPr>
        <w:spacing w:after="0" w:line="232" w:lineRule="exact"/>
        <w:rPr>
          <w:rFonts w:ascii="Arial" w:cs="Arial" w:eastAsia="Arial" w:hAnsi="Arial"/>
          <w:sz w:val="18"/>
          <w:szCs w:val="18"/>
          <w:b w:val="1"/>
          <w:bCs w:val="1"/>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w:t>
      </w:r>
    </w:p>
    <w:p>
      <w:pPr>
        <w:spacing w:after="0" w:line="90" w:lineRule="exact"/>
        <w:rPr>
          <w:rFonts w:ascii="Arial" w:cs="Arial" w:eastAsia="Arial" w:hAnsi="Arial"/>
          <w:sz w:val="18"/>
          <w:szCs w:val="18"/>
          <w:b w:val="1"/>
          <w:bCs w:val="1"/>
          <w:color w:val="auto"/>
        </w:rPr>
      </w:pPr>
    </w:p>
    <w:p>
      <w:pPr>
        <w:ind w:left="452" w:right="280"/>
        <w:spacing w:after="0" w:line="339"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sponsors a 401(k) plan covering substantially all employees. Company contributions are made at management’s discretion. The Company contributed approximately $142,000 and $129,000 to the plan during 2011 and 2010, respectively.</w:t>
      </w:r>
    </w:p>
    <w:p>
      <w:pPr>
        <w:spacing w:after="0" w:line="196" w:lineRule="exact"/>
        <w:rPr>
          <w:rFonts w:ascii="Arial" w:cs="Arial" w:eastAsia="Arial" w:hAnsi="Arial"/>
          <w:sz w:val="18"/>
          <w:szCs w:val="18"/>
          <w:b w:val="1"/>
          <w:bCs w:val="1"/>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0" w:lineRule="exact"/>
        <w:rPr>
          <w:rFonts w:ascii="Arial" w:cs="Arial" w:eastAsia="Arial" w:hAnsi="Arial"/>
          <w:sz w:val="18"/>
          <w:szCs w:val="18"/>
          <w:b w:val="1"/>
          <w:bCs w:val="1"/>
          <w:color w:val="auto"/>
        </w:rPr>
      </w:pPr>
    </w:p>
    <w:p>
      <w:pPr>
        <w:ind w:left="452" w:right="40"/>
        <w:spacing w:after="0" w:line="316" w:lineRule="auto"/>
        <w:rPr>
          <w:rFonts w:ascii="Arial" w:cs="Arial" w:eastAsia="Arial" w:hAnsi="Arial"/>
          <w:sz w:val="18"/>
          <w:szCs w:val="18"/>
          <w:b w:val="1"/>
          <w:bCs w:val="1"/>
          <w:color w:val="auto"/>
        </w:rPr>
      </w:pPr>
      <w:r>
        <w:rPr>
          <w:rFonts w:ascii="Arial" w:cs="Arial" w:eastAsia="Arial" w:hAnsi="Arial"/>
          <w:sz w:val="15"/>
          <w:szCs w:val="15"/>
          <w:b w:val="1"/>
          <w:bCs w:val="1"/>
          <w:color w:val="auto"/>
        </w:rPr>
        <w:t>The Company has subsidiaries that are subject to various federal, regional and local income taxes. Two of the Company’s subsidiaries have approximately $150,000 in federal net operating losses to offset future taxable income. The federal net operating losses expire at various times between 2019 and 2025. Deferred tax assets of approximately $38,000 at December 31, 2011 which relate to net operating losses, have not been reflected within the accompanying consolidated balance sheet due to the establishment of a full valuation allowance. The valuation allowance was established to reduce the deferred income tax assets to the amount that will more likely than not be realized. Other differences between the financial reporting basis and tax basis of the Company’s assets and liabilities are not material to the consolidated financial statements.</w:t>
      </w:r>
    </w:p>
    <w:p>
      <w:pPr>
        <w:spacing w:after="0" w:line="82"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1352"/>
          </w:cols>
          <w:pgMar w:left="248" w:top="274" w:right="299" w:bottom="1440" w:gutter="0" w:footer="0" w:header="0"/>
        </w:sectPr>
      </w:pPr>
    </w:p>
    <w:bookmarkStart w:id="58" w:name="page59"/>
    <w:bookmarkEnd w:id="5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52" w:right="8500" w:hanging="452"/>
        <w:spacing w:after="0" w:line="413" w:lineRule="auto"/>
        <w:tabs>
          <w:tab w:leader="none" w:pos="441"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Commitments and contingencies </w:t>
      </w:r>
      <w:r>
        <w:rPr>
          <w:rFonts w:ascii="Arial" w:cs="Arial" w:eastAsia="Arial" w:hAnsi="Arial"/>
          <w:sz w:val="15"/>
          <w:szCs w:val="15"/>
          <w:b w:val="1"/>
          <w:bCs w:val="1"/>
          <w:i w:val="1"/>
          <w:iCs w:val="1"/>
          <w:u w:val="single" w:color="auto"/>
          <w:color w:val="auto"/>
        </w:rPr>
        <w:t>Operating Lease Commitments</w:t>
      </w:r>
    </w:p>
    <w:p>
      <w:pPr>
        <w:ind w:left="452"/>
        <w:spacing w:after="0" w:line="326" w:lineRule="auto"/>
        <w:rPr>
          <w:rFonts w:ascii="Arial" w:cs="Arial" w:eastAsia="Arial" w:hAnsi="Arial"/>
          <w:sz w:val="15"/>
          <w:szCs w:val="15"/>
          <w:b w:val="1"/>
          <w:bCs w:val="1"/>
          <w:color w:val="auto"/>
        </w:rPr>
      </w:pPr>
      <w:r>
        <w:rPr>
          <w:rFonts w:ascii="Arial" w:cs="Arial" w:eastAsia="Arial" w:hAnsi="Arial"/>
          <w:sz w:val="15"/>
          <w:szCs w:val="15"/>
          <w:b w:val="1"/>
          <w:bCs w:val="1"/>
          <w:color w:val="auto"/>
        </w:rPr>
        <w:t>The Company utilizes various office space and equipment under operating leases. In addition, the Company leases two of its inpatient facilities and two of its outpatient facilities. Rent expense under these leases amounted to approximately $2,032,000 and $2,623,000 in 2011 and 2010, respectively, inclusive of rent expense related to discontinued operations of $880,000 and $885,000, respectively. A summary of approximate future minimum payments, excluding the facility purchased in January 2012 (see Note 12(a)), under these leases as of December 31, 2011 is as follows:</w:t>
      </w:r>
    </w:p>
    <w:p>
      <w:pPr>
        <w:spacing w:after="0" w:line="131"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1,146,000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1,056,000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903,000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Thereafter</w:t>
            </w:r>
          </w:p>
        </w:tc>
        <w:tc>
          <w:tcPr>
            <w:tcW w:w="2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6,725,000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12,022,000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52" w:right="20"/>
        <w:spacing w:after="0" w:line="275" w:lineRule="auto"/>
        <w:rPr>
          <w:sz w:val="20"/>
          <w:szCs w:val="20"/>
          <w:color w:val="auto"/>
        </w:rPr>
      </w:pPr>
      <w:r>
        <w:rPr>
          <w:rFonts w:ascii="Arial" w:cs="Arial" w:eastAsia="Arial" w:hAnsi="Arial"/>
          <w:sz w:val="18"/>
          <w:szCs w:val="18"/>
          <w:b w:val="1"/>
          <w:bCs w:val="1"/>
          <w:color w:val="auto"/>
        </w:rPr>
        <w:t>It is expected that in the normal course of business, leases that expire will be renewed or replaced by other leases; thus, it is anticipated that future lease payments will not be less than the commitments for 2012.</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84" w:lineRule="exact"/>
        <w:rPr>
          <w:sz w:val="20"/>
          <w:szCs w:val="20"/>
          <w:color w:val="auto"/>
        </w:rPr>
      </w:pPr>
    </w:p>
    <w:p>
      <w:pPr>
        <w:ind w:left="452" w:right="100"/>
        <w:spacing w:after="0" w:line="289" w:lineRule="auto"/>
        <w:rPr>
          <w:sz w:val="20"/>
          <w:szCs w:val="20"/>
          <w:color w:val="auto"/>
        </w:rPr>
      </w:pPr>
      <w:r>
        <w:rPr>
          <w:rFonts w:ascii="Arial" w:cs="Arial" w:eastAsia="Arial" w:hAnsi="Arial"/>
          <w:sz w:val="16"/>
          <w:szCs w:val="16"/>
          <w:b w:val="1"/>
          <w:bCs w:val="1"/>
          <w:color w:val="auto"/>
        </w:rPr>
        <w:t>BCA is involved in litigation with the former owner of one of its subsidiaries in Texas related to payments made by the State of Texas under the Medicaid Disproportionate Share Hospital Program. These payments were paid to BCA subsequent to its acquisition of the subsidiary in April 2005; however, the former owner is claiming that these amounts should have been excluded from the assets purchased. BCA was acquired during 2007 and since the litigation relates to a transaction occurring prior to the acquisition date, the Company believes and has notified the former shareholders that this claim would fall under the indemnity provision of the 2007 unit purchase agreement. Management plans on vigorously defending this case and at this time, the ultimate outcome and any potential loss is uncertain; however, management believes that any settlement would not exceed the indemnity that has been established and therefore would not have a material adverse effect on the Company’s financial position or results of operation. As these matters develop, it is reasonably possible management’s estimate of their effect could change and an accrual could be required.</w:t>
      </w:r>
    </w:p>
    <w:p>
      <w:pPr>
        <w:spacing w:after="0" w:line="32" w:lineRule="exact"/>
        <w:rPr>
          <w:sz w:val="20"/>
          <w:szCs w:val="20"/>
          <w:color w:val="auto"/>
        </w:rPr>
      </w:pPr>
    </w:p>
    <w:p>
      <w:pPr>
        <w:ind w:left="452" w:right="200"/>
        <w:spacing w:after="0" w:line="301" w:lineRule="auto"/>
        <w:rPr>
          <w:sz w:val="20"/>
          <w:szCs w:val="20"/>
          <w:color w:val="auto"/>
        </w:rPr>
      </w:pPr>
      <w:r>
        <w:rPr>
          <w:rFonts w:ascii="Arial" w:cs="Arial" w:eastAsia="Arial" w:hAnsi="Arial"/>
          <w:sz w:val="16"/>
          <w:szCs w:val="16"/>
          <w:b w:val="1"/>
          <w:bCs w:val="1"/>
          <w:color w:val="auto"/>
        </w:rPr>
        <w:t>The Company is involved in various other claims and legal actions arising in the ordinary course of business. In the opinion of management, the ultimate disposition of these matters will not have a material adverse effect on the Company’s consolidated financial position or results of operations. At December 31, 2011 and 2010, the Company has a general reserve of approximately $420,000 and $180,000, respectively, which is included in other long-term liabilities on the consolidated balance sheet.</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1392"/>
          </w:cols>
          <w:pgMar w:left="248" w:top="274"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 and 2010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Healthcare Industry</w:t>
      </w:r>
    </w:p>
    <w:p>
      <w:pPr>
        <w:spacing w:after="0" w:line="84"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b w:val="1"/>
          <w:bCs w:val="1"/>
          <w:color w:val="auto"/>
        </w:rPr>
        <w:t>The delivery of personal and health care services entails an inherent risk of liability. Participants in the health care services industry have become subject to an increasing number of lawsuits alleging negligence or related legal theories, many of which involve large claims and result in the incurrence of significant exposure and defense costs. The Company and its subsidiaries are insured with respect to medical malpractice risk on a claims-made basis. The Company also maintains insurance for general liability, director and officer liability and property. Certain policies are subject to deductibles. In addition to the insurance coverage provided, the Company indemnifies certain officers and directors for actions taken on behalf of the Company and its subsidiaries. Management is not aware of any claims against it or its subsidiaries which would have a material financial impact.</w:t>
      </w:r>
    </w:p>
    <w:p>
      <w:pPr>
        <w:spacing w:after="0" w:line="32"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b w:val="1"/>
          <w:bCs w:val="1"/>
          <w:color w:val="auto"/>
        </w:rPr>
        <w:t>The health care industry is subject to numerous laws and regulations of federal, state and local governments. These laws and regulations include, but are not necessarily limited to, matters such as licensure, accreditation, government health care program participation requirements, reimbursement for patient services, and Medicare fraud and abuse. Recently, government activity has increased with respect to investigations and/or allegations concerning possible violations of fraud and abuse statutes and/or regulations by health care providers. Violations of these laws and regulations could result in expulsion from government health care programs together with the imposition of significant fines and penalties, as well as repayments for patient services previously billed. Management believes that the Company is in compliance with fraud and abuse statutes, as well as other applicable government laws and regulations.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Healthcare Reform</w:t>
      </w:r>
    </w:p>
    <w:p>
      <w:pPr>
        <w:spacing w:after="0" w:line="84"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b w:val="1"/>
          <w:bCs w:val="1"/>
          <w:color w:val="auto"/>
        </w:rPr>
        <w:t>In March 2010, Congress adopted comprehensive health care insurance legislation, the Patient Care Protection and Affordable Care Act and the Health Care and Education Reconciliation Act (“collectively, the “Health Care Reform Legislation”). The Health Care Reform Legislation, among other matters, is designed to expand access to health care coverage to substantially all citizens through a combination of public program expansion and private industry health insurance. Provisions of the Health Care Reform Legislation become effective at various dates over the next several years and a number of additional steps are required to implement these requirements. Due to the complexity of the Health Care Reform Legislation, reconciliation and implementation of the legislation continues to be under consideration by lawmakers, and it is not certain as to what changes may be made in the future regarding health care policies. Changes to existing Medicaid coverage and payments are also expected to occur as a result of this legislation. While the full impact of Health Care Reform Legislation is not yet fully known, changes to policies regarding reimbursement, universal health insurance and managed competition may materially impact the Company’s operations.</w:t>
      </w:r>
    </w:p>
    <w:p>
      <w:pPr>
        <w:spacing w:after="0" w:line="23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90" w:lineRule="exact"/>
        <w:rPr>
          <w:rFonts w:ascii="Arial" w:cs="Arial" w:eastAsia="Arial" w:hAnsi="Arial"/>
          <w:sz w:val="18"/>
          <w:szCs w:val="18"/>
          <w:b w:val="1"/>
          <w:bCs w:val="1"/>
          <w:color w:val="auto"/>
        </w:rPr>
      </w:pPr>
    </w:p>
    <w:p>
      <w:pPr>
        <w:ind w:left="460" w:right="660"/>
        <w:spacing w:after="0" w:line="378" w:lineRule="auto"/>
        <w:rPr>
          <w:rFonts w:ascii="Arial" w:cs="Arial" w:eastAsia="Arial" w:hAnsi="Arial"/>
          <w:sz w:val="18"/>
          <w:szCs w:val="18"/>
          <w:b w:val="1"/>
          <w:bCs w:val="1"/>
          <w:color w:val="auto"/>
        </w:rPr>
      </w:pPr>
      <w:r>
        <w:rPr>
          <w:rFonts w:ascii="Arial" w:cs="Arial" w:eastAsia="Arial" w:hAnsi="Arial"/>
          <w:sz w:val="15"/>
          <w:szCs w:val="15"/>
          <w:b w:val="1"/>
          <w:bCs w:val="1"/>
          <w:color w:val="auto"/>
        </w:rPr>
        <w:t>The Company paid consulting fees to a board member which approximated $210,000 during 2011. The Company also paid approximately $924,000 and $470,000 for management services fees during 2011 and 2010, respectively, to the member and an affiliate of the member.</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1420"/>
          </w:cols>
          <w:pgMar w:left="240" w:top="274" w:right="239" w:bottom="1440" w:gutter="0" w:footer="0" w:header="0"/>
        </w:sectPr>
      </w:pPr>
    </w:p>
    <w:bookmarkStart w:id="60" w:name="page61"/>
    <w:bookmarkEnd w:id="60"/>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w:t>
      </w:r>
    </w:p>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disclosures of cash flow statement information</w:t>
      </w:r>
    </w:p>
    <w:p>
      <w:pPr>
        <w:spacing w:after="0" w:line="21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9"/>
              <w:spacing w:after="0"/>
              <w:rPr>
                <w:sz w:val="20"/>
                <w:szCs w:val="20"/>
                <w:color w:val="auto"/>
              </w:rPr>
            </w:pPr>
            <w:r>
              <w:rPr>
                <w:rFonts w:ascii="Arial" w:cs="Arial" w:eastAsia="Arial" w:hAnsi="Arial"/>
                <w:sz w:val="14"/>
                <w:szCs w:val="14"/>
                <w:b w:val="1"/>
                <w:bCs w:val="1"/>
                <w:color w:val="auto"/>
              </w:rPr>
              <w:t>2011</w:t>
            </w:r>
          </w:p>
        </w:tc>
        <w:tc>
          <w:tcPr>
            <w:tcW w:w="1140" w:type="dxa"/>
            <w:vAlign w:val="bottom"/>
            <w:gridSpan w:val="2"/>
          </w:tcPr>
          <w:p>
            <w:pPr>
              <w:jc w:val="center"/>
              <w:ind w:left="33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year for:</w:t>
            </w:r>
          </w:p>
        </w:tc>
        <w:tc>
          <w:tcPr>
            <w:tcW w:w="2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b w:val="1"/>
                <w:bCs w:val="1"/>
                <w:color w:val="auto"/>
              </w:rPr>
              <w:t>Interest paid</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145,519</w:t>
            </w:r>
          </w:p>
        </w:tc>
        <w:tc>
          <w:tcPr>
            <w:tcW w:w="1140" w:type="dxa"/>
            <w:vAlign w:val="bottom"/>
            <w:gridSpan w:val="2"/>
          </w:tcPr>
          <w:p>
            <w:pPr>
              <w:jc w:val="center"/>
              <w:ind w:left="339"/>
              <w:spacing w:after="0"/>
              <w:rPr>
                <w:sz w:val="20"/>
                <w:szCs w:val="20"/>
                <w:color w:val="auto"/>
              </w:rPr>
            </w:pPr>
            <w:r>
              <w:rPr>
                <w:rFonts w:ascii="Arial" w:cs="Arial" w:eastAsia="Arial" w:hAnsi="Arial"/>
                <w:sz w:val="18"/>
                <w:szCs w:val="18"/>
                <w:b w:val="1"/>
                <w:bCs w:val="1"/>
                <w:color w:val="auto"/>
                <w:w w:val="89"/>
              </w:rPr>
              <w:t>$ 121,627</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taxes paid</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94,895</w:t>
            </w:r>
          </w:p>
        </w:tc>
        <w:tc>
          <w:tcPr>
            <w:tcW w:w="114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b w:val="1"/>
                <w:bCs w:val="1"/>
                <w:color w:val="auto"/>
                <w:w w:val="89"/>
              </w:rPr>
              <w:t>$ 296,195</w:t>
            </w:r>
          </w:p>
        </w:tc>
        <w:tc>
          <w:tcPr>
            <w:tcW w:w="10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During 2010, the Company sold land to the state of Texas, resulting in an increase to receivables of approximately $550,000.</w:t>
      </w:r>
    </w:p>
    <w:p>
      <w:pPr>
        <w:spacing w:after="0" w:line="293" w:lineRule="exact"/>
        <w:rPr>
          <w:sz w:val="20"/>
          <w:szCs w:val="20"/>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acquisitions</w:t>
      </w:r>
    </w:p>
    <w:p>
      <w:pPr>
        <w:spacing w:after="0" w:line="90" w:lineRule="exact"/>
        <w:rPr>
          <w:sz w:val="20"/>
          <w:szCs w:val="20"/>
          <w:color w:val="auto"/>
        </w:rPr>
      </w:pPr>
    </w:p>
    <w:p>
      <w:pPr>
        <w:ind w:left="912" w:right="100"/>
        <w:spacing w:after="0" w:line="291" w:lineRule="auto"/>
        <w:rPr>
          <w:sz w:val="20"/>
          <w:szCs w:val="20"/>
          <w:color w:val="auto"/>
        </w:rPr>
      </w:pPr>
      <w:r>
        <w:rPr>
          <w:rFonts w:ascii="Arial" w:cs="Arial" w:eastAsia="Arial" w:hAnsi="Arial"/>
          <w:sz w:val="16"/>
          <w:szCs w:val="16"/>
          <w:b w:val="1"/>
          <w:bCs w:val="1"/>
          <w:color w:val="auto"/>
        </w:rPr>
        <w:t>During January 2012, the Company finalized a purchase agreement to purchase the property of the Company’s facility in Detroit, Michigan. The property was previously leased by the Company. Under this agreement, the property included all real property, personal property and equipment and furniture for total consideration of approximately $6,000,000. The Company assumed debt of approximately $2,900,000 and paid the remaining consideration in cash. The Company also reclassed a receivable from the lessor related to HVAC additions amounting to $720,000 at December 31, 2011 to property and equipment. The receivable was included in long-term assets at December 31, 2011. Associated with this transaction, the Company also wrote-off an accumulated deferred rent liability related to this facility amounting to $627,000 as a reduction in rent expense during 2011.</w:t>
      </w:r>
    </w:p>
    <w:p>
      <w:pPr>
        <w:spacing w:after="0" w:line="32" w:lineRule="exact"/>
        <w:rPr>
          <w:sz w:val="20"/>
          <w:szCs w:val="20"/>
          <w:color w:val="auto"/>
        </w:rPr>
      </w:pPr>
    </w:p>
    <w:p>
      <w:pPr>
        <w:ind w:left="912" w:right="300"/>
        <w:spacing w:after="0" w:line="296" w:lineRule="auto"/>
        <w:rPr>
          <w:sz w:val="20"/>
          <w:szCs w:val="20"/>
          <w:color w:val="auto"/>
        </w:rPr>
      </w:pPr>
      <w:r>
        <w:rPr>
          <w:rFonts w:ascii="Arial" w:cs="Arial" w:eastAsia="Arial" w:hAnsi="Arial"/>
          <w:sz w:val="16"/>
          <w:szCs w:val="16"/>
          <w:b w:val="1"/>
          <w:bCs w:val="1"/>
          <w:color w:val="auto"/>
        </w:rPr>
        <w:t>During October 2012, the Company entered into a purchase agreement to purchase the property of the Company’s facility in Midland, Texas. The property was previously leased by the Company. Under this agreement, the property included all real property, personal property, equipment and furniture for total consideration of approximately $6,300,000, which was funded through a draw on the Company’s existing line of credit (see Note 5). The facility in Midland, Texas, Permian Basin, is accounted for within these consolidated financial statements as discontinued operations (see Note 12(b)).</w:t>
      </w:r>
    </w:p>
    <w:p>
      <w:pPr>
        <w:spacing w:after="0" w:line="229" w:lineRule="exact"/>
        <w:rPr>
          <w:sz w:val="20"/>
          <w:szCs w:val="20"/>
          <w:color w:val="auto"/>
        </w:rPr>
      </w:pPr>
    </w:p>
    <w:p>
      <w:pPr>
        <w:ind w:left="892" w:hanging="446"/>
        <w:spacing w:after="0"/>
        <w:tabs>
          <w:tab w:leader="none" w:pos="89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Acadia acquisition</w:t>
      </w:r>
    </w:p>
    <w:p>
      <w:pPr>
        <w:spacing w:after="0" w:line="90" w:lineRule="exact"/>
        <w:rPr>
          <w:sz w:val="20"/>
          <w:szCs w:val="20"/>
          <w:color w:val="auto"/>
        </w:rPr>
      </w:pPr>
    </w:p>
    <w:p>
      <w:pPr>
        <w:jc w:val="both"/>
        <w:ind w:left="912" w:right="200"/>
        <w:spacing w:after="0" w:line="262" w:lineRule="auto"/>
        <w:rPr>
          <w:sz w:val="20"/>
          <w:szCs w:val="20"/>
          <w:color w:val="auto"/>
        </w:rPr>
      </w:pPr>
      <w:r>
        <w:rPr>
          <w:rFonts w:ascii="Arial" w:cs="Arial" w:eastAsia="Arial" w:hAnsi="Arial"/>
          <w:sz w:val="18"/>
          <w:szCs w:val="18"/>
          <w:b w:val="1"/>
          <w:bCs w:val="1"/>
          <w:color w:val="auto"/>
        </w:rPr>
        <w:t>On November 21, 2012, the Company entered into an agreement with Acadia Healthcare Company, Inc. (“Acadia”) whereby Acadia will acquire the membership interest of the Company for approximately $145.0 million of cash consideration. The sale is expected to close by December 31, 2012.</w:t>
      </w:r>
    </w:p>
    <w:p>
      <w:pPr>
        <w:spacing w:after="0" w:line="51" w:lineRule="exact"/>
        <w:rPr>
          <w:sz w:val="20"/>
          <w:szCs w:val="20"/>
          <w:color w:val="auto"/>
        </w:rPr>
      </w:pPr>
    </w:p>
    <w:p>
      <w:pPr>
        <w:ind w:left="912"/>
        <w:spacing w:after="0" w:line="296" w:lineRule="auto"/>
        <w:rPr>
          <w:sz w:val="20"/>
          <w:szCs w:val="20"/>
          <w:color w:val="auto"/>
        </w:rPr>
      </w:pPr>
      <w:r>
        <w:rPr>
          <w:rFonts w:ascii="Arial" w:cs="Arial" w:eastAsia="Arial" w:hAnsi="Arial"/>
          <w:sz w:val="16"/>
          <w:szCs w:val="16"/>
          <w:b w:val="1"/>
          <w:bCs w:val="1"/>
          <w:color w:val="auto"/>
        </w:rPr>
        <w:t>Generally accepted accounting principles requires that all components of an entity that have been disposed of (by sale, by abandonment or in a distribution to owners) or are held for sale and whose cash flows can be clearly distinguished from the rest of the entity be presented as discontinued operations. In connection with the sale of the Company to Acadia, the Company will divest its Permian Basin facility. The results of operations of the Company’s Permian Basin facility have been reported as discontinued operations in the accompanying consolidated financial statements for all periods presented.</w:t>
      </w:r>
    </w:p>
    <w:p>
      <w:pPr>
        <w:spacing w:after="0" w:line="94"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312"/>
          </w:cols>
          <w:pgMar w:left="248" w:top="274" w:right="339" w:bottom="1440" w:gutter="0" w:footer="0" w:header="0"/>
        </w:sectPr>
      </w:pPr>
    </w:p>
    <w:bookmarkStart w:id="61" w:name="page62"/>
    <w:bookmarkEnd w:id="61"/>
    <w:p>
      <w:pPr>
        <w:jc w:val="center"/>
        <w:ind w:right="580"/>
        <w:spacing w:after="0" w:line="3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BEHAVIORAL CENTERS OF AMERICA, LLC AND SUBSIDIARIES Notes to the Consolidated Financial Statements December 31, 2011 and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results from discontinued operations is as follows: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2011</w:t>
            </w:r>
          </w:p>
        </w:tc>
        <w:tc>
          <w:tcPr>
            <w:tcW w:w="130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$ 7,048,000</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$ 4,116,000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$ 2,456,000</w:t>
            </w:r>
          </w:p>
        </w:tc>
        <w:tc>
          <w:tcPr>
            <w:tcW w:w="4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$ 3,216,000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Assets and liabilities associated with this facility which are included in the accompanying consolidated balance sheets as of December 31, 2011 and 2010 are approximately as follows:</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1,758,000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282,000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assets</w:t>
            </w:r>
          </w:p>
        </w:tc>
        <w:tc>
          <w:tcPr>
            <w:tcW w:w="2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387,000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2,427,000</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p>
        </w:tc>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365,000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656,000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20" w:type="dxa"/>
            <w:vAlign w:val="bottom"/>
            <w:vMerge w:val="restart"/>
          </w:tcPr>
          <w:p>
            <w:pPr>
              <w:jc w:val="right"/>
              <w:ind w:right="1452"/>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1160" w:top="274" w:right="55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Exhibit 99.3</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440" w:type="dxa"/>
            <w:vAlign w:val="bottom"/>
            <w:gridSpan w:val="5"/>
          </w:tcPr>
          <w:p>
            <w:pPr>
              <w:jc w:val="center"/>
              <w:ind w:left="2852"/>
              <w:spacing w:after="0"/>
              <w:rPr>
                <w:sz w:val="20"/>
                <w:szCs w:val="20"/>
                <w:color w:val="auto"/>
              </w:rPr>
            </w:pPr>
            <w:r>
              <w:rPr>
                <w:rFonts w:ascii="Arial" w:cs="Arial" w:eastAsia="Arial" w:hAnsi="Arial"/>
                <w:sz w:val="18"/>
                <w:szCs w:val="18"/>
                <w:b w:val="1"/>
                <w:bCs w:val="1"/>
                <w:color w:val="auto"/>
                <w:w w:val="97"/>
              </w:rPr>
              <w:t>AMICARE BEHAVIORAL CENTERS, LLC AND SUBSIDIARIES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20" w:type="dxa"/>
            <w:vAlign w:val="bottom"/>
            <w:gridSpan w:val="4"/>
          </w:tcPr>
          <w:p>
            <w:pPr>
              <w:jc w:val="center"/>
              <w:ind w:right="1480"/>
              <w:spacing w:after="0"/>
              <w:rPr>
                <w:sz w:val="20"/>
                <w:szCs w:val="20"/>
                <w:color w:val="auto"/>
              </w:rPr>
            </w:pPr>
            <w:r>
              <w:rPr>
                <w:rFonts w:ascii="Arial" w:cs="Arial" w:eastAsia="Arial" w:hAnsi="Arial"/>
                <w:sz w:val="18"/>
                <w:szCs w:val="18"/>
                <w:b w:val="1"/>
                <w:bCs w:val="1"/>
                <w:color w:val="auto"/>
                <w:w w:val="84"/>
              </w:rPr>
              <w:t>Consolidated Balance Sheets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September 30, 2012</w:t>
            </w:r>
          </w:p>
        </w:tc>
        <w:tc>
          <w:tcPr>
            <w:tcW w:w="6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3020" w:type="dxa"/>
            <w:vAlign w:val="bottom"/>
            <w:tcBorders>
              <w:top w:val="single" w:sz="8" w:color="CCEEFF"/>
            </w:tcBorders>
            <w:gridSpan w:val="3"/>
            <w:shd w:val="clear" w:color="auto" w:fill="CCEEFF"/>
          </w:tcPr>
          <w:p>
            <w:pPr>
              <w:jc w:val="center"/>
              <w:ind w:right="2560"/>
              <w:spacing w:after="0" w:line="156" w:lineRule="exact"/>
              <w:rPr>
                <w:sz w:val="20"/>
                <w:szCs w:val="20"/>
                <w:color w:val="auto"/>
              </w:rPr>
            </w:pPr>
            <w:r>
              <w:rPr>
                <w:rFonts w:ascii="Arial" w:cs="Arial" w:eastAsia="Arial" w:hAnsi="Arial"/>
                <w:sz w:val="18"/>
                <w:szCs w:val="18"/>
                <w:b w:val="1"/>
                <w:bCs w:val="1"/>
                <w:color w:val="auto"/>
                <w:w w:val="77"/>
              </w:rPr>
              <w:t>Assets</w:t>
            </w: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Borders>
              <w:top w:val="single" w:sz="8" w:color="auto"/>
            </w:tcBorders>
          </w:tcPr>
          <w:p>
            <w:pPr>
              <w:spacing w:after="0"/>
              <w:rPr>
                <w:sz w:val="18"/>
                <w:szCs w:val="18"/>
                <w:color w:val="auto"/>
              </w:rPr>
            </w:pPr>
          </w:p>
        </w:tc>
        <w:tc>
          <w:tcPr>
            <w:tcW w:w="25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803,845</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ind w:left="420"/>
              <w:spacing w:after="0"/>
              <w:rPr>
                <w:sz w:val="20"/>
                <w:szCs w:val="20"/>
                <w:color w:val="auto"/>
              </w:rPr>
            </w:pPr>
            <w:r>
              <w:rPr>
                <w:rFonts w:ascii="Arial" w:cs="Arial" w:eastAsia="Arial" w:hAnsi="Arial"/>
                <w:sz w:val="18"/>
                <w:szCs w:val="18"/>
                <w:b w:val="1"/>
                <w:bCs w:val="1"/>
                <w:color w:val="auto"/>
                <w:w w:val="95"/>
              </w:rPr>
              <w:t>Accounts receivable, less allowance for doubtful accounts of $898,525 and $651,934, respectively</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4,405,418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4,343,277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Other receivables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613,140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5"/>
          </w:tcPr>
          <w:p>
            <w:pPr>
              <w:ind w:left="420"/>
              <w:spacing w:after="0"/>
              <w:rPr>
                <w:sz w:val="20"/>
                <w:szCs w:val="20"/>
                <w:color w:val="auto"/>
              </w:rPr>
            </w:pPr>
            <w:r>
              <w:rPr>
                <w:rFonts w:ascii="Arial" w:cs="Arial" w:eastAsia="Arial" w:hAnsi="Arial"/>
                <w:sz w:val="18"/>
                <w:szCs w:val="18"/>
                <w:b w:val="1"/>
                <w:bCs w:val="1"/>
                <w:color w:val="auto"/>
              </w:rPr>
              <w:t>Prepaid expenses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271,453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6,093,856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6,003,512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20,694,216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20,181,988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14,174,940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14,174,940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5"/>
          </w:tcPr>
          <w:p>
            <w:pPr>
              <w:spacing w:after="0"/>
              <w:rPr>
                <w:sz w:val="20"/>
                <w:szCs w:val="20"/>
                <w:color w:val="auto"/>
              </w:rPr>
            </w:pPr>
            <w:r>
              <w:rPr>
                <w:rFonts w:ascii="Arial" w:cs="Arial" w:eastAsia="Arial" w:hAnsi="Arial"/>
                <w:sz w:val="18"/>
                <w:szCs w:val="18"/>
                <w:b w:val="1"/>
                <w:bCs w:val="1"/>
                <w:color w:val="auto"/>
              </w:rPr>
              <w:t>Loan costs, net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71,010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41,034,022</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40,431,450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20" w:type="dxa"/>
            <w:vAlign w:val="bottom"/>
            <w:gridSpan w:val="4"/>
            <w:vMerge w:val="restart"/>
          </w:tcPr>
          <w:p>
            <w:pPr>
              <w:jc w:val="center"/>
              <w:ind w:right="1580"/>
              <w:spacing w:after="0"/>
              <w:rPr>
                <w:sz w:val="20"/>
                <w:szCs w:val="20"/>
                <w:color w:val="auto"/>
              </w:rPr>
            </w:pPr>
            <w:r>
              <w:rPr>
                <w:rFonts w:ascii="Arial" w:cs="Arial" w:eastAsia="Arial" w:hAnsi="Arial"/>
                <w:sz w:val="18"/>
                <w:szCs w:val="18"/>
                <w:b w:val="1"/>
                <w:bCs w:val="1"/>
                <w:color w:val="auto"/>
                <w:w w:val="90"/>
              </w:rPr>
              <w:t>Liabilities and Members’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ind w:left="420"/>
              <w:spacing w:after="0"/>
              <w:rPr>
                <w:sz w:val="20"/>
                <w:szCs w:val="20"/>
                <w:color w:val="auto"/>
              </w:rPr>
            </w:pPr>
            <w:r>
              <w:rPr>
                <w:rFonts w:ascii="Arial" w:cs="Arial" w:eastAsia="Arial" w:hAnsi="Arial"/>
                <w:sz w:val="18"/>
                <w:szCs w:val="18"/>
                <w:b w:val="1"/>
                <w:bCs w:val="1"/>
                <w:color w:val="auto"/>
              </w:rPr>
              <w:t>Current installments of long-term debt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2,550,000</w:t>
            </w:r>
          </w:p>
        </w:tc>
        <w:tc>
          <w:tcPr>
            <w:tcW w:w="80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Lines of credit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1,733,122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1,210,814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Accounts payables</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503,394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1,896,203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color w:val="auto"/>
              </w:rPr>
              <w:t>Accrued salaries and benefits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2,372,967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2,396,974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5"/>
          </w:tcPr>
          <w:p>
            <w:pPr>
              <w:ind w:left="420"/>
              <w:spacing w:after="0"/>
              <w:rPr>
                <w:sz w:val="20"/>
                <w:szCs w:val="20"/>
                <w:color w:val="auto"/>
              </w:rPr>
            </w:pPr>
            <w:r>
              <w:rPr>
                <w:rFonts w:ascii="Arial" w:cs="Arial" w:eastAsia="Arial" w:hAnsi="Arial"/>
                <w:sz w:val="18"/>
                <w:szCs w:val="18"/>
                <w:b w:val="1"/>
                <w:bCs w:val="1"/>
                <w:color w:val="auto"/>
              </w:rPr>
              <w:t>Other accrued expenses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940,232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1,716,494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8,099,715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9,320,485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tcPr>
          <w:p>
            <w:pPr>
              <w:spacing w:after="0"/>
              <w:rPr>
                <w:sz w:val="20"/>
                <w:szCs w:val="20"/>
                <w:color w:val="auto"/>
              </w:rPr>
            </w:pPr>
            <w:r>
              <w:rPr>
                <w:rFonts w:ascii="Arial" w:cs="Arial" w:eastAsia="Arial" w:hAnsi="Arial"/>
                <w:sz w:val="18"/>
                <w:szCs w:val="18"/>
                <w:b w:val="1"/>
                <w:bCs w:val="1"/>
                <w:color w:val="auto"/>
              </w:rPr>
              <w:t>Long-term debt, excluding current installments</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18,636,745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20,661,745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Interest rate swaps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173,261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26,909,721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30,238,724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14,124,301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10,192,726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41,034,022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40,431,450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420"/>
          </w:cols>
          <w:pgMar w:left="240" w:top="125" w:right="239" w:bottom="1440" w:gutter="0" w:footer="0" w:header="0"/>
        </w:sectPr>
      </w:pPr>
    </w:p>
    <w:bookmarkStart w:id="63" w:name="page64"/>
    <w:bookmarkEnd w:id="63"/>
    <w:p>
      <w:pPr>
        <w:ind w:left="3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patient revenues before provision for doubtful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47,220,280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43,539,669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Provision for doubtful accounts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1,340,531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951,271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patient revenues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45,879,749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42,588,398</w:t>
            </w: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Salaries and benefits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29,876,905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27,858,238</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b w:val="1"/>
                <w:bCs w:val="1"/>
                <w:color w:val="auto"/>
              </w:rPr>
              <w:t>Purchased services</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1,586,736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2,064,338</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Supplies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812,548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864,651</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b w:val="1"/>
                <w:bCs w:val="1"/>
                <w:color w:val="auto"/>
              </w:rPr>
              <w:t>Rent</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1,773,375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1,493,632</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703,307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691,165</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b w:val="1"/>
                <w:bCs w:val="1"/>
                <w:color w:val="auto"/>
              </w:rPr>
              <w:t>Travel and entertainment</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553,873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591,616</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Professional services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1,248,509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1,456,506</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b w:val="1"/>
                <w:bCs w:val="1"/>
                <w:color w:val="auto"/>
              </w:rPr>
              <w:t>Repairs and maintenance</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405,418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377,115</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3,498,477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3,406,975</w:t>
            </w: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40,459,148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38,804,236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5,420,601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3,784,162</w:t>
            </w: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Other expense - interest, net</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(1,015,022)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(1,317,661)</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from continuing operations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4,405,579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2,466,501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Net earnings from discontinued operations (Note 7)</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1,490,892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4,405,579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3,957,393</w:t>
            </w: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274" w:right="239" w:bottom="1440" w:gutter="0" w:footer="0" w:header="0"/>
        </w:sectPr>
      </w:pPr>
    </w:p>
    <w:bookmarkStart w:id="64" w:name="page65"/>
    <w:bookmarkEnd w:id="64"/>
    <w:p>
      <w:pPr>
        <w:ind w:left="3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646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Member</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Notes Receivable</w:t>
            </w:r>
          </w:p>
        </w:tc>
        <w:tc>
          <w:tcPr>
            <w:tcW w:w="180" w:type="dxa"/>
            <w:vAlign w:val="bottom"/>
          </w:tcPr>
          <w:p>
            <w:pPr>
              <w:spacing w:after="0"/>
              <w:rPr>
                <w:sz w:val="12"/>
                <w:szCs w:val="12"/>
                <w:color w:val="auto"/>
              </w:rPr>
            </w:pPr>
          </w:p>
        </w:tc>
        <w:tc>
          <w:tcPr>
            <w:tcW w:w="86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Retained</w:t>
            </w:r>
          </w:p>
        </w:tc>
        <w:tc>
          <w:tcPr>
            <w:tcW w:w="4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Members’</w:t>
            </w:r>
          </w:p>
        </w:tc>
      </w:tr>
      <w:tr>
        <w:trPr>
          <w:trHeight w:val="161"/>
        </w:trPr>
        <w:tc>
          <w:tcPr>
            <w:tcW w:w="646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Contributions</w:t>
            </w: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from Members</w:t>
            </w:r>
          </w:p>
        </w:tc>
        <w:tc>
          <w:tcPr>
            <w:tcW w:w="180" w:type="dxa"/>
            <w:vAlign w:val="bottom"/>
          </w:tcPr>
          <w:p>
            <w:pPr>
              <w:spacing w:after="0"/>
              <w:rPr>
                <w:sz w:val="14"/>
                <w:szCs w:val="14"/>
                <w:color w:val="auto"/>
              </w:rPr>
            </w:pPr>
          </w:p>
        </w:tc>
        <w:tc>
          <w:tcPr>
            <w:tcW w:w="860" w:type="dxa"/>
            <w:vAlign w:val="bottom"/>
          </w:tcPr>
          <w:p>
            <w:pPr>
              <w:jc w:val="right"/>
              <w:ind w:right="80"/>
              <w:spacing w:after="0"/>
              <w:rPr>
                <w:sz w:val="20"/>
                <w:szCs w:val="20"/>
                <w:color w:val="auto"/>
              </w:rPr>
            </w:pPr>
            <w:r>
              <w:rPr>
                <w:rFonts w:ascii="Arial" w:cs="Arial" w:eastAsia="Arial" w:hAnsi="Arial"/>
                <w:sz w:val="14"/>
                <w:szCs w:val="14"/>
                <w:b w:val="1"/>
                <w:bCs w:val="1"/>
                <w:color w:val="auto"/>
              </w:rPr>
              <w:t>Earnings</w:t>
            </w:r>
          </w:p>
        </w:tc>
        <w:tc>
          <w:tcPr>
            <w:tcW w:w="4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$ 8,506,028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77"/>
              </w:rPr>
              <w:t>(157,210)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$ 1,843,908</w:t>
            </w: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$ 10,192,726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Issuance of notes receivable from members</w:t>
            </w:r>
          </w:p>
        </w:tc>
        <w:tc>
          <w:tcPr>
            <w:tcW w:w="1260" w:type="dxa"/>
            <w:vAlign w:val="bottom"/>
            <w:gridSpan w:val="3"/>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(474,004)</w:t>
            </w:r>
          </w:p>
        </w:tc>
        <w:tc>
          <w:tcPr>
            <w:tcW w:w="18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(474,004)</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4,405,579</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4,405,579</w:t>
            </w: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Balance at September 30, 2012</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$ 8,506,028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4"/>
              </w:rPr>
              <w:t>(631,214</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$ 6,249,487</w:t>
            </w:r>
          </w:p>
        </w:tc>
        <w:tc>
          <w:tcPr>
            <w:tcW w:w="4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$ 14,124,301</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ectPr>
          <w:pgSz w:w="11900" w:h="16838" w:orient="portrait"/>
          <w:cols w:equalWidth="0" w:num="1">
            <w:col w:w="11420"/>
          </w:cols>
          <w:pgMar w:left="240" w:top="274" w:right="239" w:bottom="1440" w:gutter="0" w:footer="0" w:header="0"/>
        </w:sectPr>
      </w:pPr>
    </w:p>
    <w:bookmarkStart w:id="65" w:name="page66"/>
    <w:bookmarkEnd w:id="65"/>
    <w:p>
      <w:pPr>
        <w:ind w:left="3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b w:val="1"/>
                <w:bCs w:val="1"/>
                <w:color w:val="auto"/>
              </w:rPr>
              <w:t>Net earnings</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4,405,579</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3,957,393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Adjustments to reconcile net earnings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b w:val="1"/>
                <w:bCs w:val="1"/>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703,307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1,061,794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Provision for doubtful accounts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1,340,531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b w:val="1"/>
                <w:bCs w:val="1"/>
                <w:color w:val="auto"/>
              </w:rPr>
              <w:t>Interest earned on note receivable from member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Change in fair value of interest rate swap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(83,233)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(114,826)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860"/>
              <w:spacing w:after="0" w:line="201" w:lineRule="exact"/>
              <w:rPr>
                <w:sz w:val="20"/>
                <w:szCs w:val="20"/>
                <w:color w:val="auto"/>
              </w:rPr>
            </w:pPr>
            <w:r>
              <w:rPr>
                <w:rFonts w:ascii="Arial" w:cs="Arial" w:eastAsia="Arial" w:hAnsi="Arial"/>
                <w:sz w:val="18"/>
                <w:szCs w:val="18"/>
                <w:b w:val="1"/>
                <w:bCs w:val="1"/>
                <w:color w:val="auto"/>
              </w:rPr>
              <w:t>(Increase) decrease in operating assets, net of effects of distribution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(see Note 1(b)):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Receivables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1"/>
              </w:rPr>
              <w:t>(1,513,886)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b w:val="1"/>
                <w:bCs w:val="1"/>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128,544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860"/>
              <w:spacing w:after="0" w:line="201" w:lineRule="exact"/>
              <w:rPr>
                <w:sz w:val="20"/>
                <w:szCs w:val="20"/>
                <w:color w:val="auto"/>
              </w:rPr>
            </w:pPr>
            <w:r>
              <w:rPr>
                <w:rFonts w:ascii="Arial" w:cs="Arial" w:eastAsia="Arial" w:hAnsi="Arial"/>
                <w:sz w:val="18"/>
                <w:szCs w:val="18"/>
                <w:b w:val="1"/>
                <w:bCs w:val="1"/>
                <w:color w:val="auto"/>
              </w:rPr>
              <w:t>Increase (decrease) in operating liabilities, net of effects of distribution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(see Note 1(b)):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1"/>
              </w:rPr>
              <w:t>(1,392,809)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(800,269)</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(411,117)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1"/>
              </w:rPr>
              <w:t>(1,617,815)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(85,209)</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2,787,764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3,872,184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activities-purchase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1"/>
              </w:rPr>
              <w:t>(1,215,535)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(1,060,693)</w:t>
            </w: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 net of effects of distribution:</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Issuance of notes receivable to members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(474,004)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b w:val="1"/>
                <w:bCs w:val="1"/>
                <w:color w:val="auto"/>
              </w:rPr>
              <w:t>Payments of long-term debt and line-of-credit,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(1,052,692)</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(1,181,117)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Distributions to members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(1,328,893)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b w:val="1"/>
                <w:bCs w:val="1"/>
                <w:color w:val="auto"/>
              </w:rPr>
              <w:t>Distribution of membership interest (see Note 1(b))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(135,096)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by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1"/>
              </w:rPr>
              <w:t>(1,526,696)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(2,645,106)</w:t>
            </w: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45,533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758,312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690,345</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at end of period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803,845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Interest paid</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1,067,632</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1,396,715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420"/>
          </w:cols>
          <w:pgMar w:left="240" w:top="274" w:right="239" w:bottom="1440" w:gutter="0" w:footer="0" w:header="0"/>
        </w:sectPr>
      </w:pPr>
    </w:p>
    <w:bookmarkStart w:id="66" w:name="page67"/>
    <w:bookmarkEnd w:id="66"/>
    <w:p>
      <w:pPr>
        <w:ind w:left="31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Business and Basis of Presentation</w:t>
      </w:r>
    </w:p>
    <w:p>
      <w:pPr>
        <w:spacing w:after="0" w:line="90" w:lineRule="exact"/>
        <w:rPr>
          <w:sz w:val="20"/>
          <w:szCs w:val="20"/>
          <w:color w:val="auto"/>
        </w:rPr>
      </w:pPr>
    </w:p>
    <w:p>
      <w:pPr>
        <w:ind w:left="892" w:hanging="446"/>
        <w:spacing w:after="0"/>
        <w:tabs>
          <w:tab w:leader="none" w:pos="89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w:t>
      </w:r>
    </w:p>
    <w:p>
      <w:pPr>
        <w:spacing w:after="0" w:line="90" w:lineRule="exact"/>
        <w:rPr>
          <w:sz w:val="20"/>
          <w:szCs w:val="20"/>
          <w:color w:val="auto"/>
        </w:rPr>
      </w:pPr>
    </w:p>
    <w:p>
      <w:pPr>
        <w:jc w:val="both"/>
        <w:ind w:left="912" w:right="200"/>
        <w:spacing w:after="0" w:line="262" w:lineRule="auto"/>
        <w:rPr>
          <w:sz w:val="20"/>
          <w:szCs w:val="20"/>
          <w:color w:val="auto"/>
        </w:rPr>
      </w:pPr>
      <w:r>
        <w:rPr>
          <w:rFonts w:ascii="Arial" w:cs="Arial" w:eastAsia="Arial" w:hAnsi="Arial"/>
          <w:sz w:val="18"/>
          <w:szCs w:val="18"/>
          <w:b w:val="1"/>
          <w:bCs w:val="1"/>
          <w:color w:val="auto"/>
        </w:rPr>
        <w:t>AmiCare Behavioral Centers, LLC and Subsidiaries (collectively, the “Company” or “AmiCare”) was formed to provide comprehensive psychiatric treatment to children, adolescents and adults. The Company currently serves patients in Arkansas. The Company’s corporate office is in Fayetteville, Arkansas.</w:t>
      </w:r>
    </w:p>
    <w:p>
      <w:pPr>
        <w:spacing w:after="0" w:line="173" w:lineRule="exact"/>
        <w:rPr>
          <w:sz w:val="20"/>
          <w:szCs w:val="20"/>
          <w:color w:val="auto"/>
        </w:rPr>
      </w:pPr>
    </w:p>
    <w:p>
      <w:pPr>
        <w:ind w:left="892" w:hanging="446"/>
        <w:spacing w:after="0"/>
        <w:tabs>
          <w:tab w:leader="none" w:pos="89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 of membership interest</w:t>
      </w:r>
    </w:p>
    <w:p>
      <w:pPr>
        <w:spacing w:after="0" w:line="90" w:lineRule="exact"/>
        <w:rPr>
          <w:sz w:val="20"/>
          <w:szCs w:val="20"/>
          <w:color w:val="auto"/>
        </w:rPr>
      </w:pPr>
    </w:p>
    <w:p>
      <w:pPr>
        <w:ind w:left="912" w:right="140"/>
        <w:spacing w:after="0" w:line="262" w:lineRule="auto"/>
        <w:rPr>
          <w:sz w:val="20"/>
          <w:szCs w:val="20"/>
          <w:color w:val="auto"/>
        </w:rPr>
      </w:pPr>
      <w:r>
        <w:rPr>
          <w:rFonts w:ascii="Arial" w:cs="Arial" w:eastAsia="Arial" w:hAnsi="Arial"/>
          <w:sz w:val="18"/>
          <w:szCs w:val="18"/>
          <w:b w:val="1"/>
          <w:bCs w:val="1"/>
          <w:color w:val="auto"/>
        </w:rPr>
        <w:t>On August 1, 2011, two members of AmiCare redeemed 100% of their membership interest in the Company in exchange for a distribution of certain assets and liabilities. The assets and liabilities distributed on August 1, 2011 in exchange for their membership interest were as follows:</w:t>
      </w:r>
    </w:p>
    <w:p>
      <w:pPr>
        <w:spacing w:after="0" w:line="187"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135,096</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1,646,489</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170,412</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7,141,893</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other intangible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7,600,000</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(204,422)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(1,003,508)</w:t>
            </w: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Long term debt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(3,500,000)</w:t>
            </w:r>
          </w:p>
        </w:tc>
      </w:tr>
      <w:tr>
        <w:trPr>
          <w:trHeight w:val="27"/>
        </w:trPr>
        <w:tc>
          <w:tcPr>
            <w:tcW w:w="4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11,985,960</w:t>
            </w:r>
          </w:p>
        </w:tc>
        <w:tc>
          <w:tcPr>
            <w:tcW w:w="12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92" w:hanging="446"/>
        <w:spacing w:after="0"/>
        <w:tabs>
          <w:tab w:leader="none" w:pos="89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Principles of consolidation</w:t>
      </w:r>
    </w:p>
    <w:p>
      <w:pPr>
        <w:spacing w:after="0" w:line="90" w:lineRule="exact"/>
        <w:rPr>
          <w:sz w:val="20"/>
          <w:szCs w:val="20"/>
          <w:color w:val="auto"/>
        </w:rPr>
      </w:pPr>
    </w:p>
    <w:p>
      <w:pPr>
        <w:ind w:left="912" w:right="1020"/>
        <w:spacing w:after="0" w:line="275" w:lineRule="auto"/>
        <w:rPr>
          <w:sz w:val="20"/>
          <w:szCs w:val="20"/>
          <w:color w:val="auto"/>
        </w:rPr>
      </w:pPr>
      <w:r>
        <w:rPr>
          <w:rFonts w:ascii="Arial" w:cs="Arial" w:eastAsia="Arial" w:hAnsi="Arial"/>
          <w:sz w:val="18"/>
          <w:szCs w:val="18"/>
          <w:b w:val="1"/>
          <w:bCs w:val="1"/>
          <w:color w:val="auto"/>
        </w:rPr>
        <w:t>These consolidated financial statements include the accounts of all of the Company’s wholly-owned subsidiaries. All significant intercompany accounts and transactions have been eliminated.</w:t>
      </w:r>
    </w:p>
    <w:p>
      <w:pPr>
        <w:spacing w:after="0" w:line="160" w:lineRule="exact"/>
        <w:rPr>
          <w:sz w:val="20"/>
          <w:szCs w:val="20"/>
          <w:color w:val="auto"/>
        </w:rPr>
      </w:pPr>
    </w:p>
    <w:p>
      <w:pPr>
        <w:ind w:left="892" w:hanging="446"/>
        <w:spacing w:after="0"/>
        <w:tabs>
          <w:tab w:leader="none" w:pos="89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0" w:lineRule="exact"/>
        <w:rPr>
          <w:sz w:val="20"/>
          <w:szCs w:val="20"/>
          <w:color w:val="auto"/>
        </w:rPr>
      </w:pPr>
    </w:p>
    <w:p>
      <w:pPr>
        <w:ind w:left="912" w:right="180"/>
        <w:spacing w:after="0" w:line="301" w:lineRule="auto"/>
        <w:rPr>
          <w:sz w:val="20"/>
          <w:szCs w:val="20"/>
          <w:color w:val="auto"/>
        </w:rPr>
      </w:pPr>
      <w:r>
        <w:rPr>
          <w:rFonts w:ascii="Arial" w:cs="Arial" w:eastAsia="Arial" w:hAnsi="Arial"/>
          <w:sz w:val="16"/>
          <w:szCs w:val="16"/>
          <w:b w:val="1"/>
          <w:bCs w:val="1"/>
          <w:color w:val="auto"/>
        </w:rPr>
        <w:t>The Company is organized as a limited liability company and is taxed as a partnership for federal and state income tax purposes. Under federal and state income tax provisions, the Company is not subject to income taxes on its taxable income. Instead, the Company’s income and loss pass through to the members and are taxed at the individual level. Certain subsidiaries in Arkansas are subject to various state income taxes. State income taxes are not material to the Company.</w:t>
      </w:r>
    </w:p>
    <w:p>
      <w:pPr>
        <w:spacing w:after="0" w:line="22" w:lineRule="exact"/>
        <w:rPr>
          <w:sz w:val="20"/>
          <w:szCs w:val="20"/>
          <w:color w:val="auto"/>
        </w:rPr>
      </w:pPr>
    </w:p>
    <w:p>
      <w:pPr>
        <w:ind w:left="912"/>
        <w:spacing w:after="0" w:line="256" w:lineRule="auto"/>
        <w:rPr>
          <w:sz w:val="20"/>
          <w:szCs w:val="20"/>
          <w:color w:val="auto"/>
        </w:rPr>
      </w:pPr>
      <w:r>
        <w:rPr>
          <w:rFonts w:ascii="Arial" w:cs="Arial" w:eastAsia="Arial" w:hAnsi="Arial"/>
          <w:sz w:val="18"/>
          <w:szCs w:val="18"/>
          <w:b w:val="1"/>
          <w:bCs w:val="1"/>
          <w:color w:val="auto"/>
        </w:rPr>
        <w:t>Under generally accepted accounting principles,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purposes not meeting the “more likely than not” test, no tax benefit is recorded. The Company has no material uncertain tax positions that qualify for either recognition or disclosure in the financial statements.</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392"/>
          </w:cols>
          <w:pgMar w:left="248" w:top="274" w:right="259" w:bottom="1440" w:gutter="0" w:footer="0" w:header="0"/>
        </w:sectPr>
      </w:pPr>
    </w:p>
    <w:bookmarkStart w:id="67" w:name="page68"/>
    <w:bookmarkEnd w:id="67"/>
    <w:p>
      <w:pPr>
        <w:ind w:left="270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486"/>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6"/>
        <w:spacing w:after="0"/>
        <w:rPr>
          <w:sz w:val="20"/>
          <w:szCs w:val="20"/>
          <w:color w:val="auto"/>
        </w:rPr>
      </w:pPr>
      <w:r>
        <w:rPr>
          <w:rFonts w:ascii="Arial" w:cs="Arial" w:eastAsia="Arial" w:hAnsi="Arial"/>
          <w:sz w:val="15"/>
          <w:szCs w:val="15"/>
          <w:b w:val="1"/>
          <w:bCs w:val="1"/>
          <w:color w:val="auto"/>
        </w:rPr>
        <w:t>As of September 30, 2012 and December 31, 2011, the Company has accrued no interest and no penalties related to uncertain tax positions.</w:t>
      </w:r>
    </w:p>
    <w:p>
      <w:pPr>
        <w:spacing w:after="0" w:line="56"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It is the Company’s policy to recognize interest and/or penalties related to income tax matters in income tax expense.</w:t>
      </w:r>
    </w:p>
    <w:p>
      <w:pPr>
        <w:spacing w:after="0" w:line="78" w:lineRule="exact"/>
        <w:rPr>
          <w:sz w:val="20"/>
          <w:szCs w:val="20"/>
          <w:color w:val="auto"/>
        </w:rPr>
      </w:pPr>
    </w:p>
    <w:p>
      <w:pPr>
        <w:ind w:left="466" w:right="640"/>
        <w:spacing w:after="0" w:line="275" w:lineRule="auto"/>
        <w:rPr>
          <w:sz w:val="20"/>
          <w:szCs w:val="20"/>
          <w:color w:val="auto"/>
        </w:rPr>
      </w:pPr>
      <w:r>
        <w:rPr>
          <w:rFonts w:ascii="Arial" w:cs="Arial" w:eastAsia="Arial" w:hAnsi="Arial"/>
          <w:sz w:val="18"/>
          <w:szCs w:val="18"/>
          <w:b w:val="1"/>
          <w:bCs w:val="1"/>
          <w:color w:val="auto"/>
        </w:rPr>
        <w:t>The Company files U.S. Federal and various state income tax returns. The Company is currently open to audit under that statute of limitations by the Internal Revenue Service and various states for the years ending after 2008.</w:t>
      </w:r>
    </w:p>
    <w:p>
      <w:pPr>
        <w:spacing w:after="0" w:line="160" w:lineRule="exact"/>
        <w:rPr>
          <w:sz w:val="20"/>
          <w:szCs w:val="20"/>
          <w:color w:val="auto"/>
        </w:rPr>
      </w:pPr>
    </w:p>
    <w:p>
      <w:pPr>
        <w:ind w:left="446" w:hanging="446"/>
        <w:spacing w:after="0"/>
        <w:tabs>
          <w:tab w:leader="none" w:pos="44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90" w:lineRule="exact"/>
        <w:rPr>
          <w:sz w:val="20"/>
          <w:szCs w:val="20"/>
          <w:color w:val="auto"/>
        </w:rPr>
      </w:pPr>
    </w:p>
    <w:p>
      <w:pPr>
        <w:jc w:val="both"/>
        <w:ind w:left="466"/>
        <w:spacing w:after="0" w:line="258" w:lineRule="auto"/>
        <w:rPr>
          <w:sz w:val="20"/>
          <w:szCs w:val="20"/>
          <w:color w:val="auto"/>
        </w:rPr>
      </w:pPr>
      <w:r>
        <w:rPr>
          <w:rFonts w:ascii="Arial" w:cs="Arial" w:eastAsia="Arial" w:hAnsi="Arial"/>
          <w:sz w:val="18"/>
          <w:szCs w:val="18"/>
          <w:b w:val="1"/>
          <w:bCs w:val="1"/>
          <w:color w:val="auto"/>
        </w:rPr>
        <w:t>The preparation of the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left="446" w:hanging="446"/>
        <w:spacing w:after="0"/>
        <w:tabs>
          <w:tab w:leader="none" w:pos="44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accounting pronouncements</w:t>
      </w:r>
    </w:p>
    <w:p>
      <w:pPr>
        <w:spacing w:after="0" w:line="90" w:lineRule="exact"/>
        <w:rPr>
          <w:sz w:val="20"/>
          <w:szCs w:val="20"/>
          <w:color w:val="auto"/>
        </w:rPr>
      </w:pPr>
    </w:p>
    <w:p>
      <w:pPr>
        <w:ind w:left="466" w:right="140"/>
        <w:spacing w:after="0" w:line="289" w:lineRule="auto"/>
        <w:rPr>
          <w:sz w:val="20"/>
          <w:szCs w:val="20"/>
          <w:color w:val="auto"/>
        </w:rPr>
      </w:pPr>
      <w:r>
        <w:rPr>
          <w:rFonts w:ascii="Arial" w:cs="Arial" w:eastAsia="Arial" w:hAnsi="Arial"/>
          <w:sz w:val="16"/>
          <w:szCs w:val="16"/>
          <w:b w:val="1"/>
          <w:bCs w:val="1"/>
          <w:color w:val="auto"/>
        </w:rPr>
        <w:t>In July 2012, the Financial Accounting Standards Board (“FASB”) issued Accounting Standards Update (“ASU”) 2012-02,</w:t>
      </w:r>
      <w:r>
        <w:rPr>
          <w:rFonts w:ascii="Arial" w:cs="Arial" w:eastAsia="Arial" w:hAnsi="Arial"/>
          <w:sz w:val="16"/>
          <w:szCs w:val="16"/>
          <w:b w:val="1"/>
          <w:bCs w:val="1"/>
          <w:i w:val="1"/>
          <w:iCs w:val="1"/>
          <w:color w:val="auto"/>
        </w:rPr>
        <w:t xml:space="preserve">”Intangibles-Goodwill and Other (Topic 350): Testing Indefinite-Lived Intangible Assets for Impairment” </w:t>
      </w:r>
      <w:r>
        <w:rPr>
          <w:rFonts w:ascii="Arial" w:cs="Arial" w:eastAsia="Arial" w:hAnsi="Arial"/>
          <w:sz w:val="16"/>
          <w:szCs w:val="16"/>
          <w:b w:val="1"/>
          <w:bCs w:val="1"/>
          <w:color w:val="auto"/>
        </w:rPr>
        <w:t>(“ASU 2012-02”). ASU 2012-02 states that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entity has the option first to assess qualitative factors to determine whether the existence of events and circumstances indicates that it is more likely than not that the indefinite-lived intangible asset is impaired. This allows for the same evaluation as described in ASU 2011-08 for </w:t>
      </w:r>
      <w:r>
        <w:rPr>
          <w:rFonts w:ascii="Arial" w:cs="Arial" w:eastAsia="Arial" w:hAnsi="Arial"/>
          <w:sz w:val="16"/>
          <w:szCs w:val="16"/>
          <w:b w:val="1"/>
          <w:bCs w:val="1"/>
          <w:i w:val="1"/>
          <w:iCs w:val="1"/>
          <w:color w:val="auto"/>
        </w:rPr>
        <w:t>“Intangibles—Goodwill and Other (Topic 350): Testing Goodwill for Impairment.”</w:t>
      </w:r>
      <w:r>
        <w:rPr>
          <w:rFonts w:ascii="Arial" w:cs="Arial" w:eastAsia="Arial" w:hAnsi="Arial"/>
          <w:sz w:val="16"/>
          <w:szCs w:val="16"/>
          <w:b w:val="1"/>
          <w:bCs w:val="1"/>
          <w:color w:val="auto"/>
        </w:rPr>
        <w:t xml:space="preserve"> The amendments are effective for annual and interim impairment tests performed for fiscal years beginning after September 15, 2012. Early adoption is permitted, including for annual and interim impairment tests performed as of a date before July 27, 2012, if a public entity’s financial statements for the most recent annual or interim period have not yet been issued, or for nonpublic entities, have not yet been made available for issuance. ASU 2012-02 is not expected to significantly impact the Company’s consolidated financial statements.</w:t>
      </w:r>
    </w:p>
    <w:p>
      <w:pPr>
        <w:spacing w:after="0" w:line="32" w:lineRule="exact"/>
        <w:rPr>
          <w:sz w:val="20"/>
          <w:szCs w:val="20"/>
          <w:color w:val="auto"/>
        </w:rPr>
      </w:pPr>
    </w:p>
    <w:p>
      <w:pPr>
        <w:ind w:left="466" w:right="100"/>
        <w:spacing w:after="0" w:line="290" w:lineRule="auto"/>
        <w:rPr>
          <w:sz w:val="20"/>
          <w:szCs w:val="20"/>
          <w:color w:val="auto"/>
        </w:rPr>
      </w:pPr>
      <w:r>
        <w:rPr>
          <w:rFonts w:ascii="Arial" w:cs="Arial" w:eastAsia="Arial" w:hAnsi="Arial"/>
          <w:sz w:val="16"/>
          <w:szCs w:val="16"/>
          <w:b w:val="1"/>
          <w:bCs w:val="1"/>
          <w:color w:val="auto"/>
        </w:rPr>
        <w:t>In June 2011, the FASB issued ASU 2011-05, “</w:t>
      </w:r>
      <w:r>
        <w:rPr>
          <w:rFonts w:ascii="Arial" w:cs="Arial" w:eastAsia="Arial" w:hAnsi="Arial"/>
          <w:sz w:val="16"/>
          <w:szCs w:val="16"/>
          <w:b w:val="1"/>
          <w:bCs w:val="1"/>
          <w:i w:val="1"/>
          <w:iCs w:val="1"/>
          <w:color w:val="auto"/>
        </w:rPr>
        <w:t>Comprehensive Income (Topic 220) — Presentation of Comprehensive Income</w:t>
      </w:r>
      <w:r>
        <w:rPr>
          <w:rFonts w:ascii="Arial" w:cs="Arial" w:eastAsia="Arial" w:hAnsi="Arial"/>
          <w:sz w:val="16"/>
          <w:szCs w:val="16"/>
          <w:b w:val="1"/>
          <w:bCs w:val="1"/>
          <w:color w:val="auto"/>
        </w:rPr>
        <w:t>” (“ASU 2011-05”). ASU 2011-05 eliminates the option to present components of other comprehensive income as part of the statement of changes in stockholders’ equity. Instead, ASU 2011-05 requires that all non-owner changes in stockholders’ equity be presented either in a single continuous statement of comprehensive income or in two separate but consecutive statements. ASU 2011-05 is required to be applied retrospectively and is effective for public companies for fiscal years beginning after December 15, 2011 and interim periods within those fiscal years. For nonpublic entities, the amendments are effective for fiscal years ending after December 15, 2012, and interim and annual periods thereafter. These changes became effective for the Company beginning January 1, 2012. The adoption of ASU 2011-05 did not have a significant impact on the Company’s consolidated financial statements.</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0946"/>
          </w:cols>
          <w:pgMar w:left="694" w:top="274" w:right="259" w:bottom="1440" w:gutter="0" w:footer="0" w:header="0"/>
        </w:sectPr>
      </w:pPr>
    </w:p>
    <w:bookmarkStart w:id="68" w:name="page69"/>
    <w:bookmarkEnd w:id="68"/>
    <w:p>
      <w:pPr>
        <w:ind w:left="31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892" w:hanging="446"/>
        <w:spacing w:after="0"/>
        <w:tabs>
          <w:tab w:leader="none" w:pos="89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90" w:lineRule="exact"/>
        <w:rPr>
          <w:sz w:val="20"/>
          <w:szCs w:val="20"/>
          <w:color w:val="auto"/>
        </w:rPr>
      </w:pPr>
    </w:p>
    <w:p>
      <w:pPr>
        <w:ind w:left="912" w:right="60"/>
        <w:spacing w:after="0" w:line="289" w:lineRule="auto"/>
        <w:rPr>
          <w:sz w:val="20"/>
          <w:szCs w:val="20"/>
          <w:color w:val="auto"/>
        </w:rPr>
      </w:pPr>
      <w:r>
        <w:rPr>
          <w:rFonts w:ascii="Arial" w:cs="Arial" w:eastAsia="Arial" w:hAnsi="Arial"/>
          <w:sz w:val="16"/>
          <w:szCs w:val="16"/>
          <w:b w:val="1"/>
          <w:bCs w:val="1"/>
          <w:color w:val="auto"/>
        </w:rPr>
        <w:t>Fair value is a market 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fair value accounting standards establish a fair value hierarchy that distinguishes between market participant assumptions based on market data obtained from sources independent of the reporting entity including quoted market prices in active markets for identical assets (Level 1), or significant other observable inputs (Level 2) and the reporting entity’s own assumptions about market participant assumptions (Level 3). The Company does not have any fair value measurements using significant unobservable inputs (Level 3) as of September 30, 2012 or December 31, 2011. The Company has derivative instruments that are classified as Level 2 liabilities since the fair value is based on modeling techniques that include inputs such as market volatilities, spot rates and interest differentials from published sources.</w:t>
      </w:r>
    </w:p>
    <w:p>
      <w:pPr>
        <w:spacing w:after="0" w:line="153" w:lineRule="exact"/>
        <w:rPr>
          <w:sz w:val="20"/>
          <w:szCs w:val="20"/>
          <w:color w:val="auto"/>
        </w:rPr>
      </w:pPr>
    </w:p>
    <w:p>
      <w:pPr>
        <w:ind w:left="892" w:hanging="446"/>
        <w:spacing w:after="0"/>
        <w:tabs>
          <w:tab w:leader="none" w:pos="89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occurring after reporting date</w:t>
      </w:r>
    </w:p>
    <w:p>
      <w:pPr>
        <w:spacing w:after="0" w:line="90" w:lineRule="exact"/>
        <w:rPr>
          <w:sz w:val="20"/>
          <w:szCs w:val="20"/>
          <w:color w:val="auto"/>
        </w:rPr>
      </w:pPr>
    </w:p>
    <w:p>
      <w:pPr>
        <w:ind w:left="912" w:right="260"/>
        <w:spacing w:after="0" w:line="262" w:lineRule="auto"/>
        <w:rPr>
          <w:sz w:val="20"/>
          <w:szCs w:val="20"/>
          <w:color w:val="auto"/>
        </w:rPr>
      </w:pPr>
      <w:r>
        <w:rPr>
          <w:rFonts w:ascii="Arial" w:cs="Arial" w:eastAsia="Arial" w:hAnsi="Arial"/>
          <w:sz w:val="18"/>
          <w:szCs w:val="18"/>
          <w:b w:val="1"/>
          <w:bCs w:val="1"/>
          <w:color w:val="auto"/>
        </w:rPr>
        <w:t>On November 23, 2012, the members of the Company entered into an agreement with Acadia Healthcare Company, Inc. (“Acadia”) whereby Acadia will acquire the membership interest of the Company for approximately $113.0 million of cash consideration. The sale is expected to close by December 31, 2012.</w:t>
      </w:r>
    </w:p>
    <w:p>
      <w:pPr>
        <w:spacing w:after="0" w:line="51" w:lineRule="exact"/>
        <w:rPr>
          <w:sz w:val="20"/>
          <w:szCs w:val="20"/>
          <w:color w:val="auto"/>
        </w:rPr>
      </w:pPr>
    </w:p>
    <w:p>
      <w:pPr>
        <w:ind w:left="912" w:right="280"/>
        <w:spacing w:after="0" w:line="339" w:lineRule="auto"/>
        <w:rPr>
          <w:sz w:val="20"/>
          <w:szCs w:val="20"/>
          <w:color w:val="auto"/>
        </w:rPr>
      </w:pPr>
      <w:r>
        <w:rPr>
          <w:rFonts w:ascii="Arial" w:cs="Arial" w:eastAsia="Arial" w:hAnsi="Arial"/>
          <w:sz w:val="16"/>
          <w:szCs w:val="16"/>
          <w:b w:val="1"/>
          <w:bCs w:val="1"/>
          <w:color w:val="auto"/>
        </w:rPr>
        <w:t>The Company has evaluated events and transactions that occurred between September 30, 2012 and December 3, 2012, which is the date that the financial statements were available to be issued, for possible recognition or disclosure in the financial statements.</w:t>
      </w:r>
    </w:p>
    <w:p>
      <w:pPr>
        <w:spacing w:after="0" w:line="196" w:lineRule="exact"/>
        <w:rPr>
          <w:sz w:val="20"/>
          <w:szCs w:val="20"/>
          <w:color w:val="auto"/>
        </w:rPr>
      </w:pPr>
    </w:p>
    <w:p>
      <w:pPr>
        <w:ind w:left="452" w:hanging="452"/>
        <w:spacing w:after="0"/>
        <w:tabs>
          <w:tab w:leader="none" w:pos="45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Credit risk and other concentrations</w:t>
      </w:r>
    </w:p>
    <w:p>
      <w:pPr>
        <w:spacing w:after="0" w:line="90" w:lineRule="exact"/>
        <w:rPr>
          <w:rFonts w:ascii="Arial" w:cs="Arial" w:eastAsia="Arial" w:hAnsi="Arial"/>
          <w:sz w:val="18"/>
          <w:szCs w:val="18"/>
          <w:b w:val="1"/>
          <w:bCs w:val="1"/>
          <w:color w:val="auto"/>
        </w:rPr>
      </w:pPr>
    </w:p>
    <w:p>
      <w:pPr>
        <w:ind w:left="452"/>
        <w:spacing w:after="0" w:line="334"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may maintain cash on deposit at banks in excess of federally insured amounts. The Company has not experienced any losses in such accounts and management believes the Company is not exposed to any significant credit risk related to cash.</w:t>
      </w:r>
    </w:p>
    <w:p>
      <w:pPr>
        <w:spacing w:after="0" w:line="1" w:lineRule="exact"/>
        <w:rPr>
          <w:rFonts w:ascii="Arial" w:cs="Arial" w:eastAsia="Arial" w:hAnsi="Arial"/>
          <w:sz w:val="18"/>
          <w:szCs w:val="18"/>
          <w:b w:val="1"/>
          <w:bCs w:val="1"/>
          <w:color w:val="auto"/>
        </w:rPr>
      </w:pPr>
    </w:p>
    <w:p>
      <w:pPr>
        <w:ind w:left="452" w:right="40"/>
        <w:spacing w:after="0" w:line="339" w:lineRule="auto"/>
        <w:rPr>
          <w:rFonts w:ascii="Arial" w:cs="Arial" w:eastAsia="Arial" w:hAnsi="Arial"/>
          <w:sz w:val="18"/>
          <w:szCs w:val="18"/>
          <w:b w:val="1"/>
          <w:bCs w:val="1"/>
          <w:color w:val="auto"/>
        </w:rPr>
      </w:pPr>
      <w:r>
        <w:rPr>
          <w:rFonts w:ascii="Arial" w:cs="Arial" w:eastAsia="Arial" w:hAnsi="Arial"/>
          <w:sz w:val="15"/>
          <w:szCs w:val="15"/>
          <w:b w:val="1"/>
          <w:bCs w:val="1"/>
          <w:color w:val="auto"/>
        </w:rPr>
        <w:t>The Company grants credit without collateral to its patients, most of whom are individuals that are insured under third-party payor agreements. Concentrations of credit risk relating to accounts receivable is limited to some extent by the diversity and number of patients and payors. The mix of net accounts receivable from patients and third-party payors as of September 30, 2012 and December 31, 2011, was as follows:</w:t>
      </w:r>
    </w:p>
    <w:p>
      <w:pPr>
        <w:spacing w:after="0" w:line="122"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w w:val="85"/>
              </w:rPr>
              <w:t>September 30, 2012</w:t>
            </w:r>
          </w:p>
        </w:tc>
        <w:tc>
          <w:tcPr>
            <w:tcW w:w="700" w:type="dxa"/>
            <w:vAlign w:val="bottom"/>
          </w:tcPr>
          <w:p>
            <w:pPr>
              <w:spacing w:after="0"/>
              <w:rPr>
                <w:sz w:val="14"/>
                <w:szCs w:val="14"/>
                <w:color w:val="auto"/>
              </w:rPr>
            </w:pPr>
          </w:p>
        </w:tc>
        <w:tc>
          <w:tcPr>
            <w:tcW w:w="1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Medicare</w:t>
            </w:r>
          </w:p>
        </w:tc>
        <w:tc>
          <w:tcPr>
            <w:tcW w:w="15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24%</w:t>
            </w:r>
          </w:p>
        </w:tc>
        <w:tc>
          <w:tcPr>
            <w:tcW w:w="5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Medicaid and other state programs</w:t>
            </w:r>
          </w:p>
        </w:tc>
        <w:tc>
          <w:tcPr>
            <w:tcW w:w="33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51%</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w:t>
            </w:r>
          </w:p>
        </w:tc>
        <w:tc>
          <w:tcPr>
            <w:tcW w:w="3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21%</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Self pay</w:t>
            </w:r>
          </w:p>
        </w:tc>
        <w:tc>
          <w:tcPr>
            <w:tcW w:w="152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520" w:type="dxa"/>
            <w:vAlign w:val="bottom"/>
            <w:vMerge w:val="restart"/>
          </w:tcPr>
          <w:p>
            <w:pPr>
              <w:jc w:val="right"/>
              <w:ind w:right="512"/>
              <w:spacing w:after="0"/>
              <w:rPr>
                <w:sz w:val="20"/>
                <w:szCs w:val="20"/>
                <w:color w:val="auto"/>
              </w:rPr>
            </w:pPr>
            <w:r>
              <w:rPr>
                <w:rFonts w:ascii="Arial" w:cs="Arial" w:eastAsia="Arial" w:hAnsi="Arial"/>
                <w:sz w:val="18"/>
                <w:szCs w:val="18"/>
                <w:b w:val="1"/>
                <w:bCs w:val="1"/>
                <w:color w:val="auto"/>
              </w:rPr>
              <w:t>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sectPr>
      </w:pPr>
    </w:p>
    <w:bookmarkStart w:id="69" w:name="page70"/>
    <w:bookmarkEnd w:id="69"/>
    <w:p>
      <w:pPr>
        <w:ind w:left="3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right="320"/>
        <w:spacing w:after="0" w:line="275" w:lineRule="auto"/>
        <w:rPr>
          <w:sz w:val="20"/>
          <w:szCs w:val="20"/>
          <w:color w:val="auto"/>
        </w:rPr>
      </w:pPr>
      <w:r>
        <w:rPr>
          <w:rFonts w:ascii="Arial" w:cs="Arial" w:eastAsia="Arial" w:hAnsi="Arial"/>
          <w:sz w:val="18"/>
          <w:szCs w:val="18"/>
          <w:b w:val="1"/>
          <w:bCs w:val="1"/>
          <w:color w:val="auto"/>
        </w:rPr>
        <w:t>Approximately 88% and 87% of net patient revenues in the nine months ended September 30, 2012 and 2011, respectively, were derived under contractual agreements with certain government funded programs (principally Medicare and Medicaid).</w:t>
      </w:r>
    </w:p>
    <w:p>
      <w:pPr>
        <w:spacing w:after="0" w:line="241"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Note receivable from members</w:t>
      </w:r>
    </w:p>
    <w:p>
      <w:pPr>
        <w:spacing w:after="0" w:line="90" w:lineRule="exact"/>
        <w:rPr>
          <w:rFonts w:ascii="Arial" w:cs="Arial" w:eastAsia="Arial" w:hAnsi="Arial"/>
          <w:sz w:val="18"/>
          <w:szCs w:val="18"/>
          <w:b w:val="1"/>
          <w:bCs w:val="1"/>
          <w:color w:val="auto"/>
        </w:rPr>
      </w:pPr>
    </w:p>
    <w:p>
      <w:pPr>
        <w:ind w:left="460" w:right="420"/>
        <w:spacing w:after="0" w:line="339" w:lineRule="auto"/>
        <w:rPr>
          <w:rFonts w:ascii="Arial" w:cs="Arial" w:eastAsia="Arial" w:hAnsi="Arial"/>
          <w:sz w:val="18"/>
          <w:szCs w:val="18"/>
          <w:b w:val="1"/>
          <w:bCs w:val="1"/>
          <w:color w:val="auto"/>
        </w:rPr>
      </w:pPr>
      <w:r>
        <w:rPr>
          <w:rFonts w:ascii="Arial" w:cs="Arial" w:eastAsia="Arial" w:hAnsi="Arial"/>
          <w:sz w:val="15"/>
          <w:szCs w:val="15"/>
          <w:b w:val="1"/>
          <w:bCs w:val="1"/>
          <w:color w:val="auto"/>
        </w:rPr>
        <w:t>The Company had a note receivable from a member amounting to $157,210 as of December 31, 2011. During the period ended September 30, 2012, the Company issued additional notes receivable amounting to $474,004 to certain members. The notes are payable on demand. The uncollected portion of the member notes receivable as of the date of the applicable report is reflected as a component of members’ equity.</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summary of property and equipment as of September 30, 2012 and December 31, 2011 is as follows: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60" w:type="dxa"/>
            <w:vAlign w:val="bottom"/>
            <w:gridSpan w:val="3"/>
          </w:tcPr>
          <w:p>
            <w:pPr>
              <w:ind w:left="1020"/>
              <w:spacing w:after="0"/>
              <w:rPr>
                <w:sz w:val="20"/>
                <w:szCs w:val="20"/>
                <w:color w:val="auto"/>
              </w:rPr>
            </w:pPr>
            <w:r>
              <w:rPr>
                <w:rFonts w:ascii="Arial" w:cs="Arial" w:eastAsia="Arial" w:hAnsi="Arial"/>
                <w:sz w:val="14"/>
                <w:szCs w:val="14"/>
                <w:b w:val="1"/>
                <w:bCs w:val="1"/>
                <w:color w:val="auto"/>
                <w:w w:val="85"/>
              </w:rPr>
              <w:t>September 30, 2012</w:t>
            </w:r>
          </w:p>
        </w:tc>
        <w:tc>
          <w:tcPr>
            <w:tcW w:w="1840" w:type="dxa"/>
            <w:vAlign w:val="bottom"/>
            <w:gridSpan w:val="4"/>
          </w:tcPr>
          <w:p>
            <w:pPr>
              <w:ind w:left="640"/>
              <w:spacing w:after="0"/>
              <w:rPr>
                <w:sz w:val="20"/>
                <w:szCs w:val="20"/>
                <w:color w:val="auto"/>
              </w:rPr>
            </w:pPr>
            <w:r>
              <w:rPr>
                <w:rFonts w:ascii="Arial" w:cs="Arial" w:eastAsia="Arial" w:hAnsi="Arial"/>
                <w:sz w:val="14"/>
                <w:szCs w:val="14"/>
                <w:b w:val="1"/>
                <w:bCs w:val="1"/>
                <w:color w:val="auto"/>
                <w:w w:val="93"/>
              </w:rPr>
              <w:t>December 31, 2011</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Land</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1,367,080</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Buildings and improvements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17,676,650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17,654,078</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Leasehold improvements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1,063,396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647,449</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Transportation equipment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245,457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136,975</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Furniture and fixtures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1,662,538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1,200,013</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Construction in progress</w:t>
            </w: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880,272</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530,483</w:t>
            </w:r>
          </w:p>
        </w:tc>
        <w:tc>
          <w:tcPr>
            <w:tcW w:w="10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22,895,393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21,687,278</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Less accumulated depreciation and amortization</w:t>
            </w: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2,201,177</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1,505,290</w:t>
            </w:r>
          </w:p>
        </w:tc>
        <w:tc>
          <w:tcPr>
            <w:tcW w:w="10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20,694,216</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20,181,988</w:t>
            </w:r>
          </w:p>
        </w:tc>
        <w:tc>
          <w:tcPr>
            <w:tcW w:w="10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Lines of credit</w:t>
      </w:r>
    </w:p>
    <w:p>
      <w:pPr>
        <w:spacing w:after="0" w:line="90"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has two lines of credit amounting to $4,000,000 available with two banks at September 30, 2012 and December 31, 2011. Borrowings of $1,374,433 and $394,326, exclusive of checks drawn in excess discussed in the following paragraph, were outstanding under the lines of credit at September 30, 2012 and December 31, 2011, respectively. Borrowings under the lines of credit bear interest, payable quarterly, at a variable interest rate equal to the base rate and applicable margin (5.24% at September 30, 2012). The lines of credit are secured by substantially all assets of the Company. The lines of credit mature in February 2014. The lines of credit place certain restrictions and limitations upon the Company (see Note 6).</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4" w:right="239" w:bottom="1440" w:gutter="0" w:footer="0" w:header="0"/>
        </w:sectPr>
      </w:pPr>
    </w:p>
    <w:bookmarkStart w:id="70" w:name="page71"/>
    <w:bookmarkEnd w:id="70"/>
    <w:p>
      <w:pPr>
        <w:ind w:left="3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b w:val="1"/>
          <w:bCs w:val="1"/>
          <w:color w:val="auto"/>
        </w:rPr>
        <w:t>Pursuant to the credit agreement, one of the banks mentioned above has made up to $2,000,000 of the commitment available pursuant to a swing line credit agreement. The total commitment available at any time is subject to borrowing base limitations as defined in the agreement. Borrowings of $1,374,433 and $394,326 were outstanding under this swing line of credit at September 30, 2012 and December 31, 2011, respectively. Borrowings under the line of credit bear interest, payable quarterly, at a variable interest rate equal to the highest of the prime rate, federal funds effective rate plus 0.50% or LIBOR plus 1.25% (5.24% at September 30, 2012). Due to contractual provisions of the swing line of credit which allow for current receipts of the Company to reduce the outstanding balance, this portion of the obligation is classified as a short-term liability in accordance with generally accepted accounting standards. Since the swing line of credit agreement is drawn upon to satisfy disbursements clearing the operating account when sufficient cash is not available, management has included checks drawn in excess of cash balance totaling $358,689 and $816,488 at September 30, 2012 and December 31, 2011, respectively, within this line of credit balance on the accompanying consolidated balance sheet.</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u w:val="single" w:color="auto"/>
          <w:color w:val="auto"/>
        </w:rPr>
        <w:t>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summary of long-term debt as of September 30, 2012 and December 31, 2011 is as follows: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82"/>
        </w:trPr>
        <w:tc>
          <w:tcPr>
            <w:tcW w:w="6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Term loan to bank; interest at a variable rate of ABR or Eurodollar rate plus the</w:t>
            </w:r>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96"/>
              </w:rPr>
              <w:t>applicable margin (5.24% at September 30, 2012); variable quarterly principal and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90"/>
              </w:rPr>
              <w:t>interest payments with all unpaid principal and interest due February 2014; secured by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substantially all assets of the Company.</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$ 20,000,000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$ 21,575,000</w:t>
            </w:r>
          </w:p>
        </w:tc>
        <w:tc>
          <w:tcPr>
            <w:tcW w:w="100" w:type="dxa"/>
            <w:vAlign w:val="bottom"/>
            <w:shd w:val="clear" w:color="auto" w:fill="CCEEFF"/>
          </w:tcPr>
          <w:p>
            <w:pPr>
              <w:spacing w:after="0"/>
              <w:rPr>
                <w:sz w:val="20"/>
                <w:szCs w:val="20"/>
                <w:color w:val="auto"/>
              </w:rPr>
            </w:pPr>
          </w:p>
        </w:tc>
      </w:tr>
      <w:tr>
        <w:trPr>
          <w:trHeight w:val="202"/>
        </w:trPr>
        <w:tc>
          <w:tcPr>
            <w:tcW w:w="6960" w:type="dxa"/>
            <w:vAlign w:val="bottom"/>
          </w:tcPr>
          <w:p>
            <w:pPr>
              <w:spacing w:after="0" w:line="201" w:lineRule="exact"/>
              <w:rPr>
                <w:sz w:val="20"/>
                <w:szCs w:val="20"/>
                <w:color w:val="auto"/>
              </w:rPr>
            </w:pPr>
            <w:r>
              <w:rPr>
                <w:rFonts w:ascii="Arial" w:cs="Arial" w:eastAsia="Arial" w:hAnsi="Arial"/>
                <w:sz w:val="18"/>
                <w:szCs w:val="18"/>
                <w:b w:val="1"/>
                <w:bCs w:val="1"/>
                <w:color w:val="auto"/>
              </w:rPr>
              <w:t>Subordinated note payable to related party; interest at a variable rate of ABR or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b w:val="1"/>
                <w:bCs w:val="1"/>
                <w:color w:val="auto"/>
                <w:w w:val="94"/>
              </w:rPr>
              <w:t>Eurodollar rate plus the applicable margin (5.24% at September 30, 2012); principal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60" w:type="dxa"/>
            <w:vAlign w:val="bottom"/>
          </w:tcPr>
          <w:p>
            <w:pPr>
              <w:ind w:left="220"/>
              <w:spacing w:after="0"/>
              <w:rPr>
                <w:sz w:val="20"/>
                <w:szCs w:val="20"/>
                <w:color w:val="auto"/>
              </w:rPr>
            </w:pPr>
            <w:r>
              <w:rPr>
                <w:rFonts w:ascii="Arial" w:cs="Arial" w:eastAsia="Arial" w:hAnsi="Arial"/>
                <w:sz w:val="18"/>
                <w:szCs w:val="18"/>
                <w:b w:val="1"/>
                <w:bCs w:val="1"/>
                <w:color w:val="auto"/>
              </w:rPr>
              <w:t>and interest due February 2014.</w:t>
            </w: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1,186,745</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1,186,745</w:t>
            </w:r>
          </w:p>
        </w:tc>
        <w:tc>
          <w:tcPr>
            <w:tcW w:w="100" w:type="dxa"/>
            <w:vAlign w:val="bottom"/>
          </w:tcPr>
          <w:p>
            <w:pPr>
              <w:spacing w:after="0"/>
              <w:rPr>
                <w:sz w:val="19"/>
                <w:szCs w:val="19"/>
                <w:color w:val="auto"/>
              </w:rPr>
            </w:pPr>
          </w:p>
        </w:tc>
      </w:tr>
      <w:tr>
        <w:trPr>
          <w:trHeight w:val="28"/>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21,186,745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22,761,745</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Less current installments</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2,550,000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2,100,000</w:t>
            </w:r>
          </w:p>
        </w:tc>
        <w:tc>
          <w:tcPr>
            <w:tcW w:w="100" w:type="dxa"/>
            <w:vAlign w:val="bottom"/>
          </w:tcPr>
          <w:p>
            <w:pPr>
              <w:spacing w:after="0"/>
              <w:rPr>
                <w:sz w:val="18"/>
                <w:szCs w:val="18"/>
                <w:color w:val="auto"/>
              </w:rPr>
            </w:pPr>
          </w:p>
        </w:tc>
      </w:tr>
      <w:tr>
        <w:trPr>
          <w:trHeight w:val="27"/>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excluding current installments</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$ 18,636,745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$ 20,661,745</w:t>
            </w:r>
          </w:p>
        </w:tc>
        <w:tc>
          <w:tcPr>
            <w:tcW w:w="100" w:type="dxa"/>
            <w:vAlign w:val="bottom"/>
            <w:shd w:val="clear" w:color="auto" w:fill="CCEEFF"/>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b w:val="1"/>
          <w:bCs w:val="1"/>
          <w:color w:val="auto"/>
        </w:rPr>
        <w:t>During 2007, AmiCare entered into an interest rate swap agreement to reduce or eliminate the risk associated with debt interest rate fluctuations. The swap had an original notional principal amount of $5,000,000 and expired on May 1, 2012. Under the swap agreement, the Company paid interest at a fixed rate of 7.60% and received interest at the LIBOR rate plus 200 basis points. Due to interest rate fluctuations, the Company could have incurred a cost upon early termination or sale of the swap agreement. A liability thereon of $76,959 at December 31, 2011, was reported in the accompanying consolidated financial statements. No costs were incurred at the termination of the swap.</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340"/>
          </w:cols>
          <w:pgMar w:left="240" w:top="274" w:right="319" w:bottom="1440" w:gutter="0" w:footer="0" w:header="0"/>
        </w:sectPr>
      </w:pPr>
    </w:p>
    <w:bookmarkStart w:id="71" w:name="page72"/>
    <w:bookmarkEnd w:id="71"/>
    <w:p>
      <w:pPr>
        <w:ind w:left="31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right="40"/>
        <w:spacing w:after="0" w:line="296" w:lineRule="auto"/>
        <w:rPr>
          <w:sz w:val="20"/>
          <w:szCs w:val="20"/>
          <w:color w:val="auto"/>
        </w:rPr>
      </w:pPr>
      <w:r>
        <w:rPr>
          <w:rFonts w:ascii="Arial" w:cs="Arial" w:eastAsia="Arial" w:hAnsi="Arial"/>
          <w:sz w:val="16"/>
          <w:szCs w:val="16"/>
          <w:b w:val="1"/>
          <w:bCs w:val="1"/>
          <w:color w:val="auto"/>
        </w:rPr>
        <w:t>During 2010, the Company entered into a second interest rate swap agreement to comply with the terms of a credit agreement the Company has with a bank. The swap has a remaining notional principal amount totaling $12,862,500 and $9,344,257 at September 30, 2012 and December 31, 2011, respectively, and expires on February 28, 2014. Under the swap agreement, the Company pays interest at a fixed rate of 1.25% and receives interest at 1 month LIBOR. A liability thereon of $173,261 and $179,535 at September 30, 2012 and December 31, 2011, respectively, has been reported in the accompanying consolidated financial statements.</w:t>
      </w:r>
    </w:p>
    <w:p>
      <w:pPr>
        <w:spacing w:after="0" w:line="27" w:lineRule="exact"/>
        <w:rPr>
          <w:sz w:val="20"/>
          <w:szCs w:val="20"/>
          <w:color w:val="auto"/>
        </w:rPr>
      </w:pPr>
    </w:p>
    <w:p>
      <w:pPr>
        <w:ind w:left="452"/>
        <w:spacing w:after="0"/>
        <w:rPr>
          <w:sz w:val="20"/>
          <w:szCs w:val="20"/>
          <w:color w:val="auto"/>
        </w:rPr>
      </w:pPr>
      <w:r>
        <w:rPr>
          <w:rFonts w:ascii="Arial" w:cs="Arial" w:eastAsia="Arial" w:hAnsi="Arial"/>
          <w:sz w:val="15"/>
          <w:szCs w:val="15"/>
          <w:b w:val="1"/>
          <w:bCs w:val="1"/>
          <w:color w:val="auto"/>
        </w:rPr>
        <w:t>Any change in the fair value of the interest rate swaps is included in interest expense in accordance with generally accepted accounting principles.</w:t>
      </w:r>
    </w:p>
    <w:p>
      <w:pPr>
        <w:spacing w:after="0" w:line="125" w:lineRule="exact"/>
        <w:rPr>
          <w:sz w:val="20"/>
          <w:szCs w:val="20"/>
          <w:color w:val="auto"/>
        </w:rPr>
      </w:pPr>
    </w:p>
    <w:p>
      <w:pPr>
        <w:ind w:left="452" w:right="120"/>
        <w:spacing w:after="0" w:line="275" w:lineRule="auto"/>
        <w:rPr>
          <w:sz w:val="20"/>
          <w:szCs w:val="20"/>
          <w:color w:val="auto"/>
        </w:rPr>
      </w:pPr>
      <w:r>
        <w:rPr>
          <w:rFonts w:ascii="Arial" w:cs="Arial" w:eastAsia="Arial" w:hAnsi="Arial"/>
          <w:sz w:val="18"/>
          <w:szCs w:val="18"/>
          <w:b w:val="1"/>
          <w:bCs w:val="1"/>
          <w:color w:val="auto"/>
        </w:rPr>
        <w:t>The provisions of the lines of credit (see Note 5) and the long term debt require the maintenance of certain financial ratios. The Company was in compliance with all covenants as of September 30, 2012 and December 31, 2011.</w:t>
      </w:r>
    </w:p>
    <w:p>
      <w:pPr>
        <w:spacing w:after="0" w:line="241" w:lineRule="exact"/>
        <w:rPr>
          <w:sz w:val="20"/>
          <w:szCs w:val="20"/>
          <w:color w:val="auto"/>
        </w:rPr>
      </w:pPr>
    </w:p>
    <w:p>
      <w:pPr>
        <w:ind w:left="452" w:hanging="452"/>
        <w:spacing w:after="0"/>
        <w:tabs>
          <w:tab w:leader="none" w:pos="45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0" w:lineRule="exact"/>
        <w:rPr>
          <w:rFonts w:ascii="Arial" w:cs="Arial" w:eastAsia="Arial" w:hAnsi="Arial"/>
          <w:sz w:val="18"/>
          <w:szCs w:val="18"/>
          <w:b w:val="1"/>
          <w:bCs w:val="1"/>
          <w:color w:val="auto"/>
        </w:rPr>
      </w:pPr>
    </w:p>
    <w:p>
      <w:pPr>
        <w:ind w:left="452" w:right="20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Generally accepted accounting principles requires that all components of an entity that have been disposed of (by sale, by abandonment or in a distribution to owners) or are held for sale and whose cash flows can be clearly distinguished from the rest of the entity be presented as discontinued operations. The results of operations of the facilities divested on August 1, 2011 as discussed in Note 1(b) have been reported as discontinued operations in the accompanying consolidated financial statements.</w:t>
      </w:r>
    </w:p>
    <w:p>
      <w:pPr>
        <w:spacing w:after="0" w:line="2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summary of results from discontinued operations for the nine months ended September 30, 2011 is as follows:</w:t>
      </w:r>
    </w:p>
    <w:p>
      <w:pPr>
        <w:spacing w:after="0" w:line="226"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patient 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Net earnings from discontinued operations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right="9320" w:hanging="452"/>
        <w:spacing w:after="0" w:line="413" w:lineRule="auto"/>
        <w:tabs>
          <w:tab w:leader="none" w:pos="441"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Contingent liabilities </w:t>
      </w:r>
      <w:r>
        <w:rPr>
          <w:rFonts w:ascii="Arial" w:cs="Arial" w:eastAsia="Arial" w:hAnsi="Arial"/>
          <w:sz w:val="15"/>
          <w:szCs w:val="15"/>
          <w:b w:val="1"/>
          <w:bCs w:val="1"/>
          <w:i w:val="1"/>
          <w:iCs w:val="1"/>
          <w:color w:val="auto"/>
        </w:rPr>
        <w:t>General liability</w:t>
      </w:r>
    </w:p>
    <w:p>
      <w:pPr>
        <w:ind w:left="452" w:right="200"/>
        <w:spacing w:after="0" w:line="339" w:lineRule="auto"/>
        <w:rPr>
          <w:rFonts w:ascii="Arial" w:cs="Arial" w:eastAsia="Arial" w:hAnsi="Arial"/>
          <w:sz w:val="15"/>
          <w:szCs w:val="15"/>
          <w:b w:val="1"/>
          <w:bCs w:val="1"/>
          <w:color w:val="auto"/>
        </w:rPr>
      </w:pPr>
      <w:r>
        <w:rPr>
          <w:rFonts w:ascii="Arial" w:cs="Arial" w:eastAsia="Arial" w:hAnsi="Arial"/>
          <w:sz w:val="16"/>
          <w:szCs w:val="16"/>
          <w:b w:val="1"/>
          <w:bCs w:val="1"/>
          <w:color w:val="auto"/>
        </w:rPr>
        <w:t>The Company is subject to claims and lawsuits that arise primarily in the ordinary course of business. It is the opinion of management that the disposition or ultimate resolution of such claims and lawsuits will not have a material adverse effect on these financial statements.</w:t>
      </w:r>
    </w:p>
    <w:p>
      <w:pPr>
        <w:spacing w:after="0" w:line="161"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Healthcare Industry</w:t>
      </w:r>
    </w:p>
    <w:p>
      <w:pPr>
        <w:spacing w:after="0" w:line="84" w:lineRule="exact"/>
        <w:rPr>
          <w:rFonts w:ascii="Arial" w:cs="Arial" w:eastAsia="Arial" w:hAnsi="Arial"/>
          <w:sz w:val="15"/>
          <w:szCs w:val="15"/>
          <w:b w:val="1"/>
          <w:bCs w:val="1"/>
          <w:color w:val="auto"/>
        </w:rPr>
      </w:pPr>
    </w:p>
    <w:p>
      <w:pPr>
        <w:ind w:left="452"/>
        <w:spacing w:after="0" w:line="291" w:lineRule="auto"/>
        <w:rPr>
          <w:rFonts w:ascii="Arial" w:cs="Arial" w:eastAsia="Arial" w:hAnsi="Arial"/>
          <w:sz w:val="15"/>
          <w:szCs w:val="15"/>
          <w:b w:val="1"/>
          <w:bCs w:val="1"/>
          <w:color w:val="auto"/>
        </w:rPr>
      </w:pPr>
      <w:r>
        <w:rPr>
          <w:rFonts w:ascii="Arial" w:cs="Arial" w:eastAsia="Arial" w:hAnsi="Arial"/>
          <w:sz w:val="16"/>
          <w:szCs w:val="16"/>
          <w:b w:val="1"/>
          <w:bCs w:val="1"/>
          <w:color w:val="auto"/>
        </w:rPr>
        <w:t>The delivery of personal and health care services entails an inherent risk of liability. Participants in the health care services industry have become subject to an increasing number of lawsuits alleging negligence or related legal theories, many of which involve large claims and result in the incurrence of significant exposure and defense costs. The Company and its subsidiaries are insured with respect to medical malpractice risk on a claims-made basis. The Company also maintains insurance for general liability, director and officer liability and property. Certain policies are subject to deductibles. In addition to the insurance coverage provided, the Company indemnifies certain officers and directors for actions taken on behalf of the Company and its subsidiaries. Management is not aware of any claims against it or its subsidiaries which would have a material financial impact.</w:t>
      </w:r>
    </w:p>
    <w:p>
      <w:pPr>
        <w:spacing w:after="0" w:line="10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332"/>
          </w:cols>
          <w:pgMar w:left="248" w:top="274" w:right="319" w:bottom="1440" w:gutter="0" w:footer="0" w:header="0"/>
        </w:sectPr>
      </w:pPr>
    </w:p>
    <w:bookmarkStart w:id="72" w:name="page73"/>
    <w:bookmarkEnd w:id="72"/>
    <w:p>
      <w:pPr>
        <w:ind w:left="31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9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52" w:right="80"/>
        <w:spacing w:after="0" w:line="291" w:lineRule="auto"/>
        <w:rPr>
          <w:sz w:val="20"/>
          <w:szCs w:val="20"/>
          <w:color w:val="auto"/>
        </w:rPr>
      </w:pPr>
      <w:r>
        <w:rPr>
          <w:rFonts w:ascii="Arial" w:cs="Arial" w:eastAsia="Arial" w:hAnsi="Arial"/>
          <w:sz w:val="16"/>
          <w:szCs w:val="16"/>
          <w:b w:val="1"/>
          <w:bCs w:val="1"/>
          <w:color w:val="auto"/>
        </w:rPr>
        <w:t>The health care industry is subject to numerous laws and regulations of federal, state and local governments. These laws and regulations include, but are not necessarily limited to, matters such as licensure, accreditation, government health care program participation requirements, reimbursement for patient services, and Medicare fraud and abuse. Recently, government activity has increased with respect to investigations and/or allegations concerning possible violations of fraud and abuse statutes and/or regulations by health care providers. Violations of these laws and regulations could result in expulsion from government health care programs together with the imposition of significant fines and penalties, as well as repayments for patient services previously billed. Management believes that the Company is in compliance with fraud and abuse statutes, as well as other applicable government laws and regulations.</w:t>
      </w:r>
    </w:p>
    <w:p>
      <w:pPr>
        <w:spacing w:after="0" w:line="200"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84" w:lineRule="exact"/>
        <w:rPr>
          <w:sz w:val="20"/>
          <w:szCs w:val="20"/>
          <w:color w:val="auto"/>
        </w:rPr>
      </w:pPr>
    </w:p>
    <w:p>
      <w:pPr>
        <w:ind w:left="452"/>
        <w:spacing w:after="0" w:line="289" w:lineRule="auto"/>
        <w:rPr>
          <w:sz w:val="20"/>
          <w:szCs w:val="20"/>
          <w:color w:val="auto"/>
        </w:rPr>
      </w:pPr>
      <w:r>
        <w:rPr>
          <w:rFonts w:ascii="Arial" w:cs="Arial" w:eastAsia="Arial" w:hAnsi="Arial"/>
          <w:sz w:val="16"/>
          <w:szCs w:val="16"/>
          <w:b w:val="1"/>
          <w:bCs w:val="1"/>
          <w:color w:val="auto"/>
        </w:rPr>
        <w:t>In March 2010, Congress adopted comprehensive health care insurance legislation, the Patient Care Protection and Affordable Care Act and the Health Care and Education Reconciliation Act (“collectively, the “Health Care Reform Legislation”). The Health Care Reform Legislation, among other matters, is designed to expand access to health care coverage to substantially all citizens through a combination of public program expansion and private industry health insurance. Provisions of the Health Care Reform Legislation become effective at various dates over the next several years and a number of additional steps are required to implement these requirements. Due to the complexity of the Health Care Reform Legislation, reconciliation and implementation of the legislation continues to be under consideration by lawmakers, and it is not certain as to what changes may be made in the future regarding health care policies. Changes to existing Medicaid coverage and payments are also expected to occur as a result of this legislation. While the full impact of Health Care Reform Legislation is not yet fully known, changes to policies regarding reimbursement, universal health insurance and managed competition may materially impact the Company’s operations.</w:t>
      </w:r>
    </w:p>
    <w:p>
      <w:pPr>
        <w:spacing w:after="0" w:line="234" w:lineRule="exact"/>
        <w:rPr>
          <w:sz w:val="20"/>
          <w:szCs w:val="20"/>
          <w:color w:val="auto"/>
        </w:rPr>
      </w:pPr>
    </w:p>
    <w:p>
      <w:pPr>
        <w:ind w:left="452" w:hanging="452"/>
        <w:spacing w:after="0"/>
        <w:tabs>
          <w:tab w:leader="none" w:pos="4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Unit option plan</w:t>
      </w:r>
    </w:p>
    <w:p>
      <w:pPr>
        <w:spacing w:after="0" w:line="90" w:lineRule="exact"/>
        <w:rPr>
          <w:rFonts w:ascii="Arial" w:cs="Arial" w:eastAsia="Arial" w:hAnsi="Arial"/>
          <w:sz w:val="18"/>
          <w:szCs w:val="18"/>
          <w:b w:val="1"/>
          <w:bCs w:val="1"/>
          <w:color w:val="auto"/>
        </w:rPr>
      </w:pPr>
    </w:p>
    <w:p>
      <w:pPr>
        <w:ind w:left="452" w:right="4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has reserved 486,000 common units to be issued under the 2007 Option Plan (“the Plan”). The Plan is designed to promote the interest and long-term success of the Company by granting unit options to selected employees. The Plan is administered by a committee appointed by the Board of Directors (the “Committee”). Under the plan, the Committee has the sole discretion to grant unit options with exercise prices determined by the Committee at the time of grant but not less than the fair market value of the units at the date of grant. The unit option term and vesting period will be determined by the Committee at the date of grant. The unit options cannot be sold or transferred to any other party without consent of the Committee.</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412"/>
          </w:cols>
          <w:pgMar w:left="248" w:top="274" w:right="239" w:bottom="1440" w:gutter="0" w:footer="0" w:header="0"/>
        </w:sectPr>
      </w:pPr>
    </w:p>
    <w:bookmarkStart w:id="73" w:name="page74"/>
    <w:bookmarkEnd w:id="73"/>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At September 30, 2012 and December 31, 2011, the weighted-average exercise price of the outstanding units was approximately $1.59. The Company used the Black-Scholes-Merton formula to estimate the calculated value of the unit-based payments. Using this method, management has determined that the applicable compensation expense is immaterial and, accordingly, has not been recorded in the accompanying consolidated financial statements. Management does not expect future compensation expense related to existing and future unit options to be material to the consolidated financial statements. A schedule of the option activity is as follows:</w:t>
      </w:r>
    </w:p>
    <w:p>
      <w:pPr>
        <w:spacing w:after="0" w:line="13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0" w:type="dxa"/>
            <w:vAlign w:val="bottom"/>
            <w:gridSpan w:val="3"/>
          </w:tcPr>
          <w:p>
            <w:pPr>
              <w:jc w:val="center"/>
              <w:ind w:left="3877"/>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2011</w:t>
            </w:r>
          </w:p>
        </w:tc>
        <w:tc>
          <w:tcPr>
            <w:tcW w:w="4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253,000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b w:val="1"/>
                <w:bCs w:val="1"/>
                <w:color w:val="auto"/>
              </w:rPr>
              <w:t>Granted</w:t>
            </w:r>
          </w:p>
        </w:tc>
        <w:tc>
          <w:tcPr>
            <w:tcW w:w="4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Exercised</w:t>
            </w:r>
          </w:p>
        </w:tc>
        <w:tc>
          <w:tcPr>
            <w:tcW w:w="4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420"/>
              <w:spacing w:after="0"/>
              <w:rPr>
                <w:sz w:val="20"/>
                <w:szCs w:val="20"/>
                <w:color w:val="auto"/>
              </w:rPr>
            </w:pPr>
            <w:r>
              <w:rPr>
                <w:rFonts w:ascii="Arial" w:cs="Arial" w:eastAsia="Arial" w:hAnsi="Arial"/>
                <w:sz w:val="18"/>
                <w:szCs w:val="18"/>
                <w:b w:val="1"/>
                <w:bCs w:val="1"/>
                <w:color w:val="auto"/>
              </w:rPr>
              <w:t>Forfeited</w:t>
            </w:r>
          </w:p>
        </w:tc>
        <w:tc>
          <w:tcPr>
            <w:tcW w:w="406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2012</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60" w:type="dxa"/>
            <w:vAlign w:val="bottom"/>
            <w:vMerge w:val="restart"/>
          </w:tcPr>
          <w:p>
            <w:pPr>
              <w:jc w:val="right"/>
              <w:ind w:right="2977"/>
              <w:spacing w:after="0"/>
              <w:rPr>
                <w:sz w:val="20"/>
                <w:szCs w:val="20"/>
                <w:color w:val="auto"/>
              </w:rPr>
            </w:pPr>
            <w:r>
              <w:rPr>
                <w:rFonts w:ascii="Arial" w:cs="Arial" w:eastAsia="Arial" w:hAnsi="Arial"/>
                <w:sz w:val="18"/>
                <w:szCs w:val="18"/>
                <w:b w:val="1"/>
                <w:bCs w:val="1"/>
                <w:color w:val="auto"/>
              </w:rPr>
              <w:t>12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700" w:top="274" w:right="25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Members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AmiCare Behavioral Centers, LLC and Subsidiaries: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We have audited the accompanying consolidated balance sheet of AmiCare Behavioral Centers, LLC and Subsidiaries (collectively the “Company”) as of December 31, 2011, and the related consolidated statements of operations, changes in members’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36" w:lineRule="exact"/>
        <w:rPr>
          <w:sz w:val="20"/>
          <w:szCs w:val="20"/>
          <w:color w:val="auto"/>
        </w:rPr>
      </w:pPr>
    </w:p>
    <w:p>
      <w:pPr>
        <w:ind w:right="200"/>
        <w:spacing w:after="0" w:line="313" w:lineRule="auto"/>
        <w:rPr>
          <w:sz w:val="20"/>
          <w:szCs w:val="20"/>
          <w:color w:val="auto"/>
        </w:rPr>
      </w:pPr>
      <w:r>
        <w:rPr>
          <w:rFonts w:ascii="Arial" w:cs="Arial" w:eastAsia="Arial" w:hAnsi="Arial"/>
          <w:sz w:val="15"/>
          <w:szCs w:val="15"/>
          <w:b w:val="1"/>
          <w:bCs w:val="1"/>
          <w:color w:val="auto"/>
        </w:rPr>
        <w:t>We conducted our audit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 provides a reasonable basis for our opinion.</w:t>
      </w:r>
    </w:p>
    <w:p>
      <w:pPr>
        <w:spacing w:after="0" w:line="10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In our opinion, the consolidated financial statements referred to above present fairly, in all material respects, the financial position of AmiCare Behavioral Centers, LLC and Subsidiaries as of December 31, 2011, and the results of their operations and their cash flows for the year then ended in conformity with accounting principles generally accepted in the United States of America.</w:t>
      </w:r>
    </w:p>
    <w:p>
      <w:pPr>
        <w:spacing w:after="0" w:line="13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As discussed in Note 13 to the consolidated financial statements, the Company has restated its statement of operations to account for the distribution of certain facilities as discontinued operations.</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As discussed in Note 14 to the consolidated financial statements, the members of the Company have entered into an agreement to sell their membership interests.</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 Lattimore Black Morgan &amp; Cain,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Brentwood, Tennessee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 2012</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360"/>
          </w:cols>
          <w:pgMar w:left="240" w:top="274" w:right="299" w:bottom="1440" w:gutter="0" w:footer="0" w:header="0"/>
        </w:sectPr>
      </w:pPr>
    </w:p>
    <w:bookmarkStart w:id="75" w:name="page76"/>
    <w:bookmarkEnd w:id="75"/>
    <w:p>
      <w:pPr>
        <w:jc w:val="center"/>
        <w:ind w:left="174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113" w:lineRule="exact"/>
        <w:rPr>
          <w:sz w:val="20"/>
          <w:szCs w:val="20"/>
          <w:color w:val="auto"/>
        </w:rPr>
      </w:pPr>
    </w:p>
    <w:p>
      <w:pPr>
        <w:jc w:val="center"/>
        <w:ind w:left="1746"/>
        <w:spacing w:after="0"/>
        <w:rPr>
          <w:sz w:val="20"/>
          <w:szCs w:val="20"/>
          <w:color w:val="auto"/>
        </w:rPr>
      </w:pPr>
      <w:r>
        <w:rPr>
          <w:rFonts w:ascii="Arial" w:cs="Arial" w:eastAsia="Arial" w:hAnsi="Arial"/>
          <w:sz w:val="18"/>
          <w:szCs w:val="18"/>
          <w:b w:val="1"/>
          <w:bCs w:val="1"/>
          <w:color w:val="auto"/>
        </w:rPr>
        <w:t>Consolidated Balance Sheet</w:t>
      </w:r>
    </w:p>
    <w:p>
      <w:pPr>
        <w:spacing w:after="0" w:line="90" w:lineRule="exact"/>
        <w:rPr>
          <w:sz w:val="20"/>
          <w:szCs w:val="20"/>
          <w:color w:val="auto"/>
        </w:rPr>
      </w:pPr>
    </w:p>
    <w:p>
      <w:pPr>
        <w:jc w:val="center"/>
        <w:ind w:left="1746"/>
        <w:spacing w:after="0"/>
        <w:rPr>
          <w:sz w:val="20"/>
          <w:szCs w:val="20"/>
          <w:color w:val="auto"/>
        </w:rPr>
      </w:pPr>
      <w:r>
        <w:rPr>
          <w:rFonts w:ascii="Arial" w:cs="Arial" w:eastAsia="Arial" w:hAnsi="Arial"/>
          <w:sz w:val="18"/>
          <w:szCs w:val="18"/>
          <w:b w:val="1"/>
          <w:bCs w:val="1"/>
          <w:color w:val="auto"/>
        </w:rPr>
        <w:t>December 31, 2011</w:t>
      </w:r>
    </w:p>
    <w:p>
      <w:pPr>
        <w:spacing w:after="0" w:line="212" w:lineRule="exact"/>
        <w:rPr>
          <w:sz w:val="20"/>
          <w:szCs w:val="20"/>
          <w:color w:val="auto"/>
        </w:rPr>
      </w:pPr>
    </w:p>
    <w:p>
      <w:pPr>
        <w:jc w:val="center"/>
        <w:ind w:left="386"/>
        <w:spacing w:after="0"/>
        <w:rPr>
          <w:sz w:val="20"/>
          <w:szCs w:val="20"/>
          <w:color w:val="auto"/>
        </w:rPr>
      </w:pPr>
      <w:r>
        <w:rPr>
          <w:rFonts w:ascii="Arial" w:cs="Arial" w:eastAsia="Arial" w:hAnsi="Arial"/>
          <w:sz w:val="18"/>
          <w:szCs w:val="18"/>
          <w:b w:val="1"/>
          <w:bCs w:val="1"/>
          <w:u w:val="single" w:color="auto"/>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Accounts receivable, less allowance for doubtful accounts of $651,934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Prepaid expenses</w:t>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Loan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74" w:lineRule="exact"/>
        <w:rPr>
          <w:sz w:val="20"/>
          <w:szCs w:val="20"/>
          <w:color w:val="auto"/>
        </w:rPr>
      </w:pPr>
    </w:p>
    <w:p>
      <w:pPr>
        <w:jc w:val="center"/>
        <w:ind w:left="386"/>
        <w:spacing w:after="0"/>
        <w:rPr>
          <w:sz w:val="20"/>
          <w:szCs w:val="20"/>
          <w:color w:val="auto"/>
        </w:rPr>
      </w:pPr>
      <w:r>
        <w:rPr>
          <w:rFonts w:ascii="Arial" w:cs="Arial" w:eastAsia="Arial" w:hAnsi="Arial"/>
          <w:sz w:val="18"/>
          <w:szCs w:val="18"/>
          <w:b w:val="1"/>
          <w:bCs w:val="1"/>
          <w:u w:val="single" w:color="auto"/>
          <w:color w:val="auto"/>
        </w:rPr>
        <w:t>Liabilities and Members’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Current installments of long-term debt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Accrued salaries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Other accrued expenses</w:t>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excluding current installments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Total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left="1746"/>
        <w:spacing w:after="0"/>
        <w:rPr>
          <w:sz w:val="20"/>
          <w:szCs w:val="20"/>
          <w:color w:val="auto"/>
        </w:rPr>
      </w:pPr>
      <w:r>
        <w:rPr>
          <w:rFonts w:ascii="Arial" w:cs="Arial" w:eastAsia="Arial" w:hAnsi="Arial"/>
          <w:sz w:val="16"/>
          <w:szCs w:val="16"/>
          <w:b w:val="1"/>
          <w:bCs w:val="1"/>
          <w:color w:val="auto"/>
        </w:rPr>
        <w:t>See accompanying notes to the consolidated financial statements.</w:t>
      </w:r>
    </w:p>
    <w:p>
      <w:pPr>
        <w:spacing w:after="0" w:line="181" w:lineRule="exact"/>
        <w:rPr>
          <w:sz w:val="20"/>
          <w:szCs w:val="20"/>
          <w:color w:val="auto"/>
        </w:rPr>
      </w:pPr>
    </w:p>
    <w:p>
      <w:pPr>
        <w:jc w:val="center"/>
        <w:ind w:left="1746"/>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6" w:hanging="366"/>
        <w:spacing w:after="0"/>
        <w:tabs>
          <w:tab w:leader="none" w:pos="366"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758,312</w:t>
      </w:r>
    </w:p>
    <w:p>
      <w:pPr>
        <w:spacing w:after="0" w:line="55" w:lineRule="exact"/>
        <w:rPr>
          <w:rFonts w:ascii="Arial" w:cs="Arial" w:eastAsia="Arial" w:hAnsi="Arial"/>
          <w:sz w:val="15"/>
          <w:szCs w:val="15"/>
          <w:b w:val="1"/>
          <w:bCs w:val="1"/>
          <w:color w:val="auto"/>
        </w:rPr>
      </w:pPr>
    </w:p>
    <w:p>
      <w:pPr>
        <w:ind w:left="226"/>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4,343,277</w:t>
      </w:r>
    </w:p>
    <w:p>
      <w:pPr>
        <w:spacing w:after="0" w:line="43" w:lineRule="exact"/>
        <w:rPr>
          <w:rFonts w:ascii="Arial" w:cs="Arial" w:eastAsia="Arial" w:hAnsi="Arial"/>
          <w:sz w:val="15"/>
          <w:szCs w:val="15"/>
          <w:b w:val="1"/>
          <w:bCs w:val="1"/>
          <w:color w:val="auto"/>
        </w:rPr>
      </w:pPr>
    </w:p>
    <w:p>
      <w:pPr>
        <w:ind w:left="366"/>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501,926</w:t>
      </w:r>
    </w:p>
    <w:p>
      <w:pPr>
        <w:spacing w:after="0" w:line="43" w:lineRule="exact"/>
        <w:rPr>
          <w:rFonts w:ascii="Arial" w:cs="Arial" w:eastAsia="Arial" w:hAnsi="Arial"/>
          <w:sz w:val="15"/>
          <w:szCs w:val="15"/>
          <w:b w:val="1"/>
          <w:bCs w:val="1"/>
          <w:color w:val="auto"/>
        </w:rPr>
      </w:pPr>
    </w:p>
    <w:p>
      <w:pPr>
        <w:ind w:left="366"/>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399,997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1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6,003,512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20,181,988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14,174,940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91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5"/>
          <w:szCs w:val="15"/>
          <w:b w:val="1"/>
          <w:bCs w:val="1"/>
          <w:u w:val="single" w:color="auto"/>
          <w:color w:val="auto"/>
        </w:rPr>
        <w:t>$ 40,431,450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91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26" w:hanging="226"/>
        <w:spacing w:after="0"/>
        <w:tabs>
          <w:tab w:leader="none" w:pos="226"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2,100,000</w:t>
      </w:r>
    </w:p>
    <w:p>
      <w:pPr>
        <w:spacing w:after="0" w:line="55" w:lineRule="exact"/>
        <w:rPr>
          <w:rFonts w:ascii="Arial" w:cs="Arial" w:eastAsia="Arial" w:hAnsi="Arial"/>
          <w:sz w:val="15"/>
          <w:szCs w:val="15"/>
          <w:b w:val="1"/>
          <w:bCs w:val="1"/>
          <w:color w:val="auto"/>
        </w:rPr>
      </w:pPr>
    </w:p>
    <w:p>
      <w:pPr>
        <w:ind w:left="226"/>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1,210,814</w:t>
      </w:r>
    </w:p>
    <w:p>
      <w:pPr>
        <w:spacing w:after="0" w:line="43" w:lineRule="exact"/>
        <w:rPr>
          <w:rFonts w:ascii="Arial" w:cs="Arial" w:eastAsia="Arial" w:hAnsi="Arial"/>
          <w:sz w:val="15"/>
          <w:szCs w:val="15"/>
          <w:b w:val="1"/>
          <w:bCs w:val="1"/>
          <w:color w:val="auto"/>
        </w:rPr>
      </w:pPr>
    </w:p>
    <w:p>
      <w:pPr>
        <w:ind w:left="226"/>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1,896,203</w:t>
      </w:r>
    </w:p>
    <w:p>
      <w:pPr>
        <w:spacing w:after="0" w:line="43" w:lineRule="exact"/>
        <w:rPr>
          <w:rFonts w:ascii="Arial" w:cs="Arial" w:eastAsia="Arial" w:hAnsi="Arial"/>
          <w:sz w:val="15"/>
          <w:szCs w:val="15"/>
          <w:b w:val="1"/>
          <w:bCs w:val="1"/>
          <w:color w:val="auto"/>
        </w:rPr>
      </w:pPr>
    </w:p>
    <w:p>
      <w:pPr>
        <w:ind w:left="226"/>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2,396,974</w:t>
      </w:r>
    </w:p>
    <w:p>
      <w:pPr>
        <w:spacing w:after="0" w:line="43" w:lineRule="exact"/>
        <w:rPr>
          <w:rFonts w:ascii="Arial" w:cs="Arial" w:eastAsia="Arial" w:hAnsi="Arial"/>
          <w:sz w:val="15"/>
          <w:szCs w:val="15"/>
          <w:b w:val="1"/>
          <w:bCs w:val="1"/>
          <w:color w:val="auto"/>
        </w:rPr>
      </w:pPr>
    </w:p>
    <w:p>
      <w:pPr>
        <w:ind w:left="226"/>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1,716,494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18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9,320,485</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20,661,745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256,494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91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30,238,724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10,192,726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91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5"/>
          <w:szCs w:val="15"/>
          <w:b w:val="1"/>
          <w:bCs w:val="1"/>
          <w:u w:val="single" w:color="auto"/>
          <w:color w:val="auto"/>
        </w:rPr>
        <w:t>$ 40,431,450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91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ectPr>
          <w:pgSz w:w="11900" w:h="16838" w:orient="portrait"/>
          <w:cols w:equalWidth="0" w:num="2">
            <w:col w:w="9674" w:space="720"/>
            <w:col w:w="926"/>
          </w:cols>
          <w:pgMar w:left="240" w:top="27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patient revenues before provision for doubtful accounts</w:t>
            </w:r>
          </w:p>
        </w:tc>
        <w:tc>
          <w:tcPr>
            <w:tcW w:w="3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59,841,436</w:t>
            </w: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Provision for doubtful accounts</w:t>
            </w: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1,380,846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patient revenues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58,460,590</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Salaries and benefits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37,969,192</w:t>
            </w: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b w:val="1"/>
                <w:bCs w:val="1"/>
                <w:color w:val="auto"/>
              </w:rPr>
              <w:t>Purchased services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2,665,183</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Supplies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1,157,486</w:t>
            </w: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b w:val="1"/>
                <w:bCs w:val="1"/>
                <w:color w:val="auto"/>
              </w:rPr>
              <w:t>Rent</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2,041,260</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Depreciation and amortization</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925,054</w:t>
            </w: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b w:val="1"/>
                <w:bCs w:val="1"/>
                <w:color w:val="auto"/>
              </w:rPr>
              <w:t>Travel and entertainment</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782,998</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Professional services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1,948,130</w:t>
            </w: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b w:val="1"/>
                <w:bCs w:val="1"/>
                <w:color w:val="auto"/>
              </w:rPr>
              <w:t>Repairs and maintenance</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518,880</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expenses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4,574,761</w:t>
            </w:r>
          </w:p>
        </w:tc>
      </w:tr>
      <w:tr>
        <w:trPr>
          <w:trHeight w:val="230"/>
        </w:trPr>
        <w:tc>
          <w:tcPr>
            <w:tcW w:w="20" w:type="dxa"/>
            <w:vAlign w:val="bottom"/>
          </w:tcPr>
          <w:p>
            <w:pPr>
              <w:spacing w:after="0"/>
              <w:rPr>
                <w:sz w:val="20"/>
                <w:szCs w:val="20"/>
                <w:color w:val="auto"/>
              </w:rPr>
            </w:pPr>
          </w:p>
        </w:tc>
        <w:tc>
          <w:tcPr>
            <w:tcW w:w="7400" w:type="dxa"/>
            <w:vAlign w:val="bottom"/>
          </w:tcPr>
          <w:p>
            <w:pPr>
              <w:ind w:left="860"/>
              <w:spacing w:after="0"/>
              <w:rPr>
                <w:sz w:val="20"/>
                <w:szCs w:val="20"/>
                <w:color w:val="auto"/>
              </w:rPr>
            </w:pPr>
            <w:r>
              <w:rPr>
                <w:rFonts w:ascii="Arial" w:cs="Arial" w:eastAsia="Arial" w:hAnsi="Arial"/>
                <w:sz w:val="18"/>
                <w:szCs w:val="18"/>
                <w:b w:val="1"/>
                <w:bCs w:val="1"/>
                <w:color w:val="auto"/>
              </w:rPr>
              <w:t>Total operating expenses</w:t>
            </w:r>
          </w:p>
        </w:tc>
        <w:tc>
          <w:tcPr>
            <w:tcW w:w="29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52,582,944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5,877,646</w:t>
            </w: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Other expense - interest</w:t>
            </w: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(1,793,871)</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from continuing operations</w:t>
            </w:r>
          </w:p>
        </w:tc>
        <w:tc>
          <w:tcPr>
            <w:tcW w:w="2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4,083,775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Net earnings from discontinued operations (Note 13)</w:t>
            </w: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1,490,892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3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5,574,667</w:t>
            </w: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1420"/>
          </w:cols>
          <w:pgMar w:left="240" w:top="27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r>
      <w:tr>
        <w:trPr>
          <w:trHeight w:val="149"/>
        </w:trPr>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rPr>
              <w:t>Member</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Note Receivable</w:t>
            </w:r>
          </w:p>
        </w:tc>
        <w:tc>
          <w:tcPr>
            <w:tcW w:w="15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Retained</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r>
      <w:tr>
        <w:trPr>
          <w:trHeight w:val="161"/>
        </w:trPr>
        <w:tc>
          <w:tcPr>
            <w:tcW w:w="5960" w:type="dxa"/>
            <w:vAlign w:val="bottom"/>
          </w:tcPr>
          <w:p>
            <w:pPr>
              <w:spacing w:after="0"/>
              <w:rPr>
                <w:sz w:val="14"/>
                <w:szCs w:val="14"/>
                <w:color w:val="auto"/>
              </w:rPr>
            </w:pPr>
          </w:p>
        </w:tc>
        <w:tc>
          <w:tcPr>
            <w:tcW w:w="14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1"/>
              </w:rPr>
              <w:t>Contributions</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from Member</w:t>
            </w: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Earnings (Deficit)</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19,791,988</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7"/>
              </w:rPr>
              <w:t>(157,210)</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(389,005)</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$ 19,245,773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Distribution of membership interest (see Note 1(b))</w:t>
            </w:r>
          </w:p>
        </w:tc>
        <w:tc>
          <w:tcPr>
            <w:tcW w:w="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8"/>
              </w:rPr>
              <w:t>(11,985,960)</w:t>
            </w:r>
          </w:p>
        </w:tc>
        <w:tc>
          <w:tcPr>
            <w:tcW w:w="2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(11,985,960)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 contributions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700,000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700,000</w:t>
            </w: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Distributions to members</w:t>
            </w: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(3,341,754)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(3,341,754)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5,574,667</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5,574,667</w:t>
            </w: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Balance at December 31, 2011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8,506,028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4"/>
              </w:rPr>
              <w:t>(157,210</w:t>
            </w:r>
          </w:p>
        </w:tc>
        <w:tc>
          <w:tcPr>
            <w:tcW w:w="500" w:type="dxa"/>
            <w:vAlign w:val="bottom"/>
          </w:tcPr>
          <w:p>
            <w:pPr>
              <w:jc w:val="right"/>
              <w:ind w:right="358"/>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   1,843,908</w:t>
            </w: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$ 10,192,726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w:t>
      </w:r>
    </w:p>
    <w:p>
      <w:pPr>
        <w:sectPr>
          <w:pgSz w:w="11900" w:h="16838" w:orient="portrait"/>
          <w:cols w:equalWidth="0" w:num="1">
            <w:col w:w="11420"/>
          </w:cols>
          <w:pgMar w:left="240" w:top="274" w:right="239" w:bottom="1440" w:gutter="0" w:footer="0" w:header="0"/>
        </w:sectPr>
      </w:pPr>
    </w:p>
    <w:bookmarkStart w:id="78" w:name="page79"/>
    <w:bookmarkEnd w:id="78"/>
    <w:p>
      <w:pPr>
        <w:jc w:val="center"/>
        <w:ind w:left="1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113"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0"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For the Year Ended December 31,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earnings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Adjustments to reconcile net earnings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Depreciation and amortization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b w:val="1"/>
          <w:bCs w:val="1"/>
          <w:color w:val="auto"/>
        </w:rPr>
        <w:t>Loss on disposal of property and equipment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Interest earned on note receivable from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b w:val="1"/>
          <w:bCs w:val="1"/>
          <w:color w:val="auto"/>
        </w:rPr>
        <w:t>Change in fair value of interest rate swap liability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(Increase) decrease in operating assets, net of effects of distribution (see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b w:val="1"/>
          <w:bCs w:val="1"/>
          <w:color w:val="auto"/>
        </w:rPr>
        <w:t>Receivables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b w:val="1"/>
          <w:bCs w:val="1"/>
          <w:color w:val="auto"/>
        </w:rPr>
        <w:t>Other assets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Increase (decrease) in operating liabilities, net of effects of distribution (see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Accounts payable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Total adjustments</w:t>
      </w:r>
    </w:p>
    <w:p>
      <w:pPr>
        <w:spacing w:after="0" w:line="3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Proceeds from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Purchases of property and equipment</w:t>
      </w:r>
    </w:p>
    <w:p>
      <w:pPr>
        <w:spacing w:after="0" w:line="24"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Net cash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jc w:val="center"/>
        <w:ind w:right="3700"/>
        <w:spacing w:after="0"/>
        <w:rPr>
          <w:sz w:val="20"/>
          <w:szCs w:val="20"/>
          <w:color w:val="auto"/>
        </w:rPr>
      </w:pPr>
      <w:r>
        <w:rPr>
          <w:rFonts w:ascii="Arial" w:cs="Arial" w:eastAsia="Arial" w:hAnsi="Arial"/>
          <w:sz w:val="15"/>
          <w:szCs w:val="15"/>
          <w:b w:val="1"/>
          <w:bCs w:val="1"/>
          <w:color w:val="auto"/>
        </w:rPr>
        <w:t>Cash flows from financing activities, net of effects of distribution (see Note 1(b)):</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Payment of loan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Payment on line-of-credit,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Distributions to members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Distribution of membership interest (see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Net cash used by financing activities</w:t>
      </w:r>
    </w:p>
    <w:p>
      <w:pPr>
        <w:spacing w:after="0" w:line="3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at beginning of year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67" w:lineRule="exact"/>
        <w:rPr>
          <w:sz w:val="20"/>
          <w:szCs w:val="20"/>
          <w:color w:val="auto"/>
        </w:rPr>
      </w:pPr>
    </w:p>
    <w:p>
      <w:pPr>
        <w:jc w:val="center"/>
        <w:ind w:left="1700"/>
        <w:spacing w:after="0"/>
        <w:rPr>
          <w:sz w:val="20"/>
          <w:szCs w:val="20"/>
          <w:color w:val="auto"/>
        </w:rPr>
      </w:pPr>
      <w:r>
        <w:rPr>
          <w:rFonts w:ascii="Arial" w:cs="Arial" w:eastAsia="Arial" w:hAnsi="Arial"/>
          <w:sz w:val="16"/>
          <w:szCs w:val="16"/>
          <w:b w:val="1"/>
          <w:bCs w:val="1"/>
          <w:color w:val="auto"/>
        </w:rPr>
        <w:t>See accompanying notes to the consolidated financial statements.</w:t>
      </w:r>
    </w:p>
    <w:p>
      <w:pPr>
        <w:spacing w:after="0" w:line="181"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hanging="152"/>
        <w:spacing w:after="0"/>
        <w:tabs>
          <w:tab w:leader="none" w:pos="160" w:val="left"/>
        </w:tabs>
        <w:numPr>
          <w:ilvl w:val="0"/>
          <w:numId w:val="10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5,574,667</w:t>
      </w:r>
    </w:p>
    <w:p>
      <w:pPr>
        <w:spacing w:after="0" w:line="275" w:lineRule="exact"/>
        <w:rPr>
          <w:rFonts w:ascii="Arial" w:cs="Arial" w:eastAsia="Arial" w:hAnsi="Arial"/>
          <w:sz w:val="16"/>
          <w:szCs w:val="16"/>
          <w:b w:val="1"/>
          <w:bCs w:val="1"/>
          <w:u w:val="single" w:color="auto"/>
          <w:color w:val="auto"/>
        </w:rPr>
      </w:pPr>
    </w:p>
    <w:p>
      <w:pPr>
        <w:ind w:left="160"/>
        <w:spacing w:after="0"/>
        <w:rPr>
          <w:rFonts w:ascii="Arial" w:cs="Arial" w:eastAsia="Arial" w:hAnsi="Arial"/>
          <w:sz w:val="16"/>
          <w:szCs w:val="16"/>
          <w:b w:val="1"/>
          <w:bCs w:val="1"/>
          <w:u w:val="single" w:color="auto"/>
          <w:color w:val="auto"/>
        </w:rPr>
      </w:pPr>
      <w:r>
        <w:rPr>
          <w:rFonts w:ascii="Arial" w:cs="Arial" w:eastAsia="Arial" w:hAnsi="Arial"/>
          <w:sz w:val="16"/>
          <w:szCs w:val="16"/>
          <w:b w:val="1"/>
          <w:bCs w:val="1"/>
          <w:color w:val="auto"/>
        </w:rPr>
        <w:t>1,295,683</w:t>
      </w:r>
    </w:p>
    <w:p>
      <w:pPr>
        <w:spacing w:after="0" w:line="44" w:lineRule="exact"/>
        <w:rPr>
          <w:rFonts w:ascii="Arial" w:cs="Arial" w:eastAsia="Arial" w:hAnsi="Arial"/>
          <w:sz w:val="16"/>
          <w:szCs w:val="16"/>
          <w:b w:val="1"/>
          <w:bCs w:val="1"/>
          <w:u w:val="single" w:color="auto"/>
          <w:color w:val="auto"/>
        </w:rPr>
      </w:pPr>
    </w:p>
    <w:p>
      <w:pPr>
        <w:ind w:left="160"/>
        <w:spacing w:after="0"/>
        <w:rPr>
          <w:rFonts w:ascii="Arial" w:cs="Arial" w:eastAsia="Arial" w:hAnsi="Arial"/>
          <w:sz w:val="16"/>
          <w:szCs w:val="16"/>
          <w:b w:val="1"/>
          <w:bCs w:val="1"/>
          <w:u w:val="single" w:color="auto"/>
          <w:color w:val="auto"/>
        </w:rPr>
      </w:pPr>
      <w:r>
        <w:rPr>
          <w:rFonts w:ascii="Arial" w:cs="Arial" w:eastAsia="Arial" w:hAnsi="Arial"/>
          <w:sz w:val="16"/>
          <w:szCs w:val="16"/>
          <w:b w:val="1"/>
          <w:bCs w:val="1"/>
          <w:color w:val="auto"/>
        </w:rPr>
        <w:t>1,417,330</w:t>
      </w:r>
    </w:p>
    <w:p>
      <w:pPr>
        <w:spacing w:after="0" w:line="32" w:lineRule="exact"/>
        <w:rPr>
          <w:rFonts w:ascii="Arial" w:cs="Arial" w:eastAsia="Arial" w:hAnsi="Arial"/>
          <w:sz w:val="16"/>
          <w:szCs w:val="16"/>
          <w:b w:val="1"/>
          <w:bCs w:val="1"/>
          <w:u w:val="single" w:color="auto"/>
          <w:color w:val="auto"/>
        </w:rPr>
      </w:pPr>
    </w:p>
    <w:p>
      <w:pPr>
        <w:ind w:left="380"/>
        <w:spacing w:after="0"/>
        <w:rPr>
          <w:rFonts w:ascii="Arial" w:cs="Arial" w:eastAsia="Arial" w:hAnsi="Arial"/>
          <w:sz w:val="16"/>
          <w:szCs w:val="16"/>
          <w:b w:val="1"/>
          <w:bCs w:val="1"/>
          <w:u w:val="single" w:color="auto"/>
          <w:color w:val="auto"/>
        </w:rPr>
      </w:pPr>
      <w:r>
        <w:rPr>
          <w:rFonts w:ascii="Arial" w:cs="Arial" w:eastAsia="Arial" w:hAnsi="Arial"/>
          <w:sz w:val="18"/>
          <w:szCs w:val="18"/>
          <w:b w:val="1"/>
          <w:bCs w:val="1"/>
          <w:color w:val="auto"/>
        </w:rPr>
        <w:t>32,571</w:t>
      </w:r>
    </w:p>
    <w:p>
      <w:pPr>
        <w:spacing w:after="0" w:line="9" w:lineRule="exact"/>
        <w:rPr>
          <w:rFonts w:ascii="Arial" w:cs="Arial" w:eastAsia="Arial" w:hAnsi="Arial"/>
          <w:sz w:val="16"/>
          <w:szCs w:val="16"/>
          <w:b w:val="1"/>
          <w:bCs w:val="1"/>
          <w:u w:val="single" w:color="auto"/>
          <w:color w:val="auto"/>
        </w:rPr>
      </w:pPr>
    </w:p>
    <w:p>
      <w:pPr>
        <w:ind w:left="420"/>
        <w:spacing w:after="0"/>
        <w:rPr>
          <w:rFonts w:ascii="Arial" w:cs="Arial" w:eastAsia="Arial" w:hAnsi="Arial"/>
          <w:sz w:val="16"/>
          <w:szCs w:val="16"/>
          <w:b w:val="1"/>
          <w:bCs w:val="1"/>
          <w:u w:val="single" w:color="auto"/>
          <w:color w:val="auto"/>
        </w:rPr>
      </w:pPr>
      <w:r>
        <w:rPr>
          <w:rFonts w:ascii="Arial" w:cs="Arial" w:eastAsia="Arial" w:hAnsi="Arial"/>
          <w:sz w:val="16"/>
          <w:szCs w:val="16"/>
          <w:b w:val="1"/>
          <w:bCs w:val="1"/>
          <w:color w:val="auto"/>
        </w:rPr>
        <w:t>(7,861)</w:t>
      </w:r>
    </w:p>
    <w:p>
      <w:pPr>
        <w:spacing w:after="0" w:line="32" w:lineRule="exact"/>
        <w:rPr>
          <w:rFonts w:ascii="Arial" w:cs="Arial" w:eastAsia="Arial" w:hAnsi="Arial"/>
          <w:sz w:val="16"/>
          <w:szCs w:val="16"/>
          <w:b w:val="1"/>
          <w:bCs w:val="1"/>
          <w:u w:val="single" w:color="auto"/>
          <w:color w:val="auto"/>
        </w:rPr>
      </w:pPr>
    </w:p>
    <w:p>
      <w:pPr>
        <w:ind w:left="340"/>
        <w:spacing w:after="0"/>
        <w:rPr>
          <w:rFonts w:ascii="Arial" w:cs="Arial" w:eastAsia="Arial" w:hAnsi="Arial"/>
          <w:sz w:val="16"/>
          <w:szCs w:val="16"/>
          <w:b w:val="1"/>
          <w:bCs w:val="1"/>
          <w:u w:val="single" w:color="auto"/>
          <w:color w:val="auto"/>
        </w:rPr>
      </w:pPr>
      <w:r>
        <w:rPr>
          <w:rFonts w:ascii="Arial" w:cs="Arial" w:eastAsia="Arial" w:hAnsi="Arial"/>
          <w:sz w:val="16"/>
          <w:szCs w:val="16"/>
          <w:b w:val="1"/>
          <w:bCs w:val="1"/>
          <w:color w:val="auto"/>
        </w:rPr>
        <w:t>(65,791)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(680,034)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(168,017)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825</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959,238</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261,901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486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3,045,845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486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8,620,512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486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135,000</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(1,512,666</w:t>
      </w:r>
      <w:r>
        <w:rPr>
          <w:rFonts w:ascii="Arial" w:cs="Arial" w:eastAsia="Arial" w:hAnsi="Arial"/>
          <w:sz w:val="18"/>
          <w:szCs w:val="18"/>
          <w:b w:val="1"/>
          <w:bCs w:val="1"/>
          <w:color w:val="auto"/>
        </w:rPr>
        <w: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(1,377,666</w:t>
      </w:r>
      <w:r>
        <w:rPr>
          <w:rFonts w:ascii="Arial" w:cs="Arial" w:eastAsia="Arial" w:hAnsi="Arial"/>
          <w:sz w:val="18"/>
          <w:szCs w:val="18"/>
          <w:b w:val="1"/>
          <w:bCs w:val="1"/>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(71,010)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(682,860)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(3,100,000)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(3,185,913)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(135,096)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86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(7,174,879</w:t>
      </w:r>
      <w:r>
        <w:rPr>
          <w:rFonts w:ascii="Arial" w:cs="Arial" w:eastAsia="Arial" w:hAnsi="Arial"/>
          <w:sz w:val="18"/>
          <w:szCs w:val="18"/>
          <w:b w:val="1"/>
          <w:bCs w:val="1"/>
          <w:color w:val="auto"/>
        </w:rPr>
        <w:t>)</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67,967</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690,345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486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7" w:lineRule="exact"/>
        <w:rPr>
          <w:sz w:val="20"/>
          <w:szCs w:val="20"/>
          <w:color w:val="auto"/>
        </w:rPr>
      </w:pPr>
    </w:p>
    <w:p>
      <w:pPr>
        <w:ind w:left="300" w:hanging="292"/>
        <w:spacing w:after="0"/>
        <w:tabs>
          <w:tab w:leader="none" w:pos="300" w:val="left"/>
        </w:tabs>
        <w:numPr>
          <w:ilvl w:val="0"/>
          <w:numId w:val="10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758,312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486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2">
            <w:col w:w="9720" w:space="720"/>
            <w:col w:w="940"/>
          </w:cols>
          <w:pgMar w:left="240" w:top="274" w:right="279" w:bottom="1440" w:gutter="0" w:footer="0" w:header="0"/>
        </w:sectPr>
      </w:pPr>
    </w:p>
    <w:bookmarkStart w:id="79" w:name="page80"/>
    <w:bookmarkEnd w:id="79"/>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operations</w:t>
      </w:r>
    </w:p>
    <w:p>
      <w:pPr>
        <w:spacing w:after="0" w:line="90" w:lineRule="exact"/>
        <w:rPr>
          <w:sz w:val="20"/>
          <w:szCs w:val="20"/>
          <w:color w:val="auto"/>
        </w:rPr>
      </w:pPr>
    </w:p>
    <w:p>
      <w:pPr>
        <w:ind w:left="712" w:hanging="256"/>
        <w:spacing w:after="0"/>
        <w:tabs>
          <w:tab w:leader="none" w:pos="71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w:t>
      </w:r>
    </w:p>
    <w:p>
      <w:pPr>
        <w:spacing w:after="0" w:line="90" w:lineRule="exact"/>
        <w:rPr>
          <w:sz w:val="20"/>
          <w:szCs w:val="20"/>
          <w:color w:val="auto"/>
        </w:rPr>
      </w:pPr>
    </w:p>
    <w:p>
      <w:pPr>
        <w:jc w:val="both"/>
        <w:ind w:left="912" w:right="120"/>
        <w:spacing w:after="0" w:line="262" w:lineRule="auto"/>
        <w:rPr>
          <w:sz w:val="20"/>
          <w:szCs w:val="20"/>
          <w:color w:val="auto"/>
        </w:rPr>
      </w:pPr>
      <w:r>
        <w:rPr>
          <w:rFonts w:ascii="Arial" w:cs="Arial" w:eastAsia="Arial" w:hAnsi="Arial"/>
          <w:sz w:val="18"/>
          <w:szCs w:val="18"/>
          <w:b w:val="1"/>
          <w:bCs w:val="1"/>
          <w:color w:val="auto"/>
        </w:rPr>
        <w:t>AmiCare Behavioral Centers, LLC and Subsidiaries (collectively, the “Company” or “AmiCare”) was formed to provide comprehensive psychiatric treatment to children, adolescents and adults. The Company currently serves patients in Arkansas. The Company’s corporate office is in Fayetteville, Arkansas.</w:t>
      </w:r>
    </w:p>
    <w:p>
      <w:pPr>
        <w:spacing w:after="0" w:line="173" w:lineRule="exact"/>
        <w:rPr>
          <w:sz w:val="20"/>
          <w:szCs w:val="20"/>
          <w:color w:val="auto"/>
        </w:rPr>
      </w:pPr>
    </w:p>
    <w:p>
      <w:pPr>
        <w:ind w:left="892" w:hanging="446"/>
        <w:spacing w:after="0"/>
        <w:tabs>
          <w:tab w:leader="none" w:pos="89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 of membership interest</w:t>
      </w:r>
    </w:p>
    <w:p>
      <w:pPr>
        <w:spacing w:after="0" w:line="90" w:lineRule="exact"/>
        <w:rPr>
          <w:sz w:val="20"/>
          <w:szCs w:val="20"/>
          <w:color w:val="auto"/>
        </w:rPr>
      </w:pPr>
    </w:p>
    <w:p>
      <w:pPr>
        <w:ind w:left="912" w:right="60"/>
        <w:spacing w:after="0" w:line="262" w:lineRule="auto"/>
        <w:rPr>
          <w:sz w:val="20"/>
          <w:szCs w:val="20"/>
          <w:color w:val="auto"/>
        </w:rPr>
      </w:pPr>
      <w:r>
        <w:rPr>
          <w:rFonts w:ascii="Arial" w:cs="Arial" w:eastAsia="Arial" w:hAnsi="Arial"/>
          <w:sz w:val="18"/>
          <w:szCs w:val="18"/>
          <w:b w:val="1"/>
          <w:bCs w:val="1"/>
          <w:color w:val="auto"/>
        </w:rPr>
        <w:t>On August 1, 2011, two members of AmiCare redeemed 100% of their membership interest in the Company in exchange for a distribution of certain assets and liabilities. The assets and liabilities distributed on August 1, 2011 in exchange for their membership interest was as follows:</w:t>
      </w:r>
    </w:p>
    <w:p>
      <w:pPr>
        <w:spacing w:after="0" w:line="187"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135,096</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1,646,489</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170,412</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7,141,893</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other intangible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7,600,000</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(204,422)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(1,003,508)</w:t>
            </w: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Long term debt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(3,500,000)</w:t>
            </w:r>
          </w:p>
        </w:tc>
      </w:tr>
      <w:tr>
        <w:trPr>
          <w:trHeight w:val="27"/>
        </w:trPr>
        <w:tc>
          <w:tcPr>
            <w:tcW w:w="4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11,985,960</w:t>
            </w:r>
          </w:p>
        </w:tc>
        <w:tc>
          <w:tcPr>
            <w:tcW w:w="12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90" w:lineRule="exact"/>
        <w:rPr>
          <w:sz w:val="20"/>
          <w:szCs w:val="20"/>
          <w:color w:val="auto"/>
        </w:rPr>
      </w:pPr>
    </w:p>
    <w:p>
      <w:pPr>
        <w:ind w:left="892" w:hanging="446"/>
        <w:spacing w:after="0"/>
        <w:tabs>
          <w:tab w:leader="none" w:pos="89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Principles of consolidation</w:t>
      </w:r>
    </w:p>
    <w:p>
      <w:pPr>
        <w:spacing w:after="0" w:line="90" w:lineRule="exact"/>
        <w:rPr>
          <w:sz w:val="20"/>
          <w:szCs w:val="20"/>
          <w:color w:val="auto"/>
        </w:rPr>
      </w:pPr>
    </w:p>
    <w:p>
      <w:pPr>
        <w:ind w:left="912" w:right="940"/>
        <w:spacing w:after="0" w:line="275" w:lineRule="auto"/>
        <w:rPr>
          <w:sz w:val="20"/>
          <w:szCs w:val="20"/>
          <w:color w:val="auto"/>
        </w:rPr>
      </w:pPr>
      <w:r>
        <w:rPr>
          <w:rFonts w:ascii="Arial" w:cs="Arial" w:eastAsia="Arial" w:hAnsi="Arial"/>
          <w:sz w:val="18"/>
          <w:szCs w:val="18"/>
          <w:b w:val="1"/>
          <w:bCs w:val="1"/>
          <w:color w:val="auto"/>
        </w:rPr>
        <w:t>These consolidated financial statements include the accounts of all of the Company’s wholly-owned subsidiaries. All significant intercompany accounts and transactions have been eliminated.</w:t>
      </w:r>
    </w:p>
    <w:p>
      <w:pPr>
        <w:spacing w:after="0" w:line="160" w:lineRule="exact"/>
        <w:rPr>
          <w:sz w:val="20"/>
          <w:szCs w:val="20"/>
          <w:color w:val="auto"/>
        </w:rPr>
      </w:pPr>
    </w:p>
    <w:p>
      <w:pPr>
        <w:ind w:left="892" w:hanging="446"/>
        <w:spacing w:after="0"/>
        <w:tabs>
          <w:tab w:leader="none" w:pos="89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receivable</w:t>
      </w:r>
    </w:p>
    <w:p>
      <w:pPr>
        <w:spacing w:after="0" w:line="90" w:lineRule="exact"/>
        <w:rPr>
          <w:sz w:val="20"/>
          <w:szCs w:val="20"/>
          <w:color w:val="auto"/>
        </w:rPr>
      </w:pPr>
    </w:p>
    <w:p>
      <w:pPr>
        <w:ind w:left="912"/>
        <w:spacing w:after="0" w:line="291" w:lineRule="auto"/>
        <w:rPr>
          <w:sz w:val="20"/>
          <w:szCs w:val="20"/>
          <w:color w:val="auto"/>
        </w:rPr>
      </w:pPr>
      <w:r>
        <w:rPr>
          <w:rFonts w:ascii="Arial" w:cs="Arial" w:eastAsia="Arial" w:hAnsi="Arial"/>
          <w:sz w:val="16"/>
          <w:szCs w:val="16"/>
          <w:b w:val="1"/>
          <w:bCs w:val="1"/>
          <w:color w:val="auto"/>
        </w:rPr>
        <w:t>The Company receives payment for services rendered from federal and state agencies (including Medicaid, Medicare and other state programs), private insurance carriers, managed care programs and patients. The Company states patient accounts receivable for services rendered at net realizable amounts. The Company manages receivables by regularly reviewing its accounts and contracts and by providing appropriate allowances for uncollectible amounts. The Company records an allowance for uncollectible accounts on a weighted scale based on days outstanding. As a service to the patients, AmiCare bills third-party payers directly and bills the patients when the patient’s liability is determined. Patient accounts receivable are due in full when billed. Delinquent accounts are turned over to a third party collection agency, and any subsequent recoveries are recognized in the period received.</w:t>
      </w:r>
    </w:p>
    <w:p>
      <w:pPr>
        <w:spacing w:after="0" w:line="100"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1312"/>
          </w:cols>
          <w:pgMar w:left="248" w:top="274" w:right="339" w:bottom="1440" w:gutter="0" w:footer="0" w:header="0"/>
        </w:sectPr>
      </w:pPr>
    </w:p>
    <w:bookmarkStart w:id="80" w:name="page81"/>
    <w:bookmarkEnd w:id="80"/>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46" w:hanging="446"/>
        <w:spacing w:after="0"/>
        <w:tabs>
          <w:tab w:leader="none" w:pos="446"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90" w:lineRule="exact"/>
        <w:rPr>
          <w:sz w:val="20"/>
          <w:szCs w:val="20"/>
          <w:color w:val="auto"/>
        </w:rPr>
      </w:pPr>
    </w:p>
    <w:p>
      <w:pPr>
        <w:ind w:left="466" w:right="60"/>
        <w:spacing w:after="0" w:line="258" w:lineRule="auto"/>
        <w:rPr>
          <w:sz w:val="20"/>
          <w:szCs w:val="20"/>
          <w:color w:val="auto"/>
        </w:rPr>
      </w:pPr>
      <w:r>
        <w:rPr>
          <w:rFonts w:ascii="Arial" w:cs="Arial" w:eastAsia="Arial" w:hAnsi="Arial"/>
          <w:sz w:val="18"/>
          <w:szCs w:val="18"/>
          <w:b w:val="1"/>
          <w:bCs w:val="1"/>
          <w:color w:val="auto"/>
        </w:rPr>
        <w:t>Property and equipment are stated at cost or fair value when contributed. Depreciation and amortization are provided over the assets’ estimated useful lives using the straight-line method. Leasehold improvements are amortized over the shorter of their estimated lives or the respective lease term. Buildings and improvements are generally depreciated over thirty years while automobiles and furniture and fixtures are generally depreciated over five years.</w:t>
      </w:r>
    </w:p>
    <w:p>
      <w:pPr>
        <w:spacing w:after="0" w:line="55" w:lineRule="exact"/>
        <w:rPr>
          <w:sz w:val="20"/>
          <w:szCs w:val="20"/>
          <w:color w:val="auto"/>
        </w:rPr>
      </w:pPr>
    </w:p>
    <w:p>
      <w:pPr>
        <w:ind w:left="466" w:right="280"/>
        <w:spacing w:after="0" w:line="262" w:lineRule="auto"/>
        <w:rPr>
          <w:sz w:val="20"/>
          <w:szCs w:val="20"/>
          <w:color w:val="auto"/>
        </w:rPr>
      </w:pPr>
      <w:r>
        <w:rPr>
          <w:rFonts w:ascii="Arial" w:cs="Arial" w:eastAsia="Arial" w:hAnsi="Arial"/>
          <w:sz w:val="18"/>
          <w:szCs w:val="18"/>
          <w:b w:val="1"/>
          <w:bCs w:val="1"/>
          <w:color w:val="auto"/>
        </w:rPr>
        <w:t>Expenditures for maintenance and repairs are expensed when incurred. Expenditures for renewals or betterments are capitalized. When property is retired or sold, the cost and the related accumulated depreciation or amortization are removed from the accounts, and the resulting gain or loss is included in operations.</w:t>
      </w:r>
    </w:p>
    <w:p>
      <w:pPr>
        <w:spacing w:after="0" w:line="173" w:lineRule="exact"/>
        <w:rPr>
          <w:sz w:val="20"/>
          <w:szCs w:val="20"/>
          <w:color w:val="auto"/>
        </w:rPr>
      </w:pPr>
    </w:p>
    <w:p>
      <w:pPr>
        <w:ind w:left="446" w:hanging="446"/>
        <w:spacing w:after="0"/>
        <w:tabs>
          <w:tab w:leader="none" w:pos="446"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0" w:lineRule="exact"/>
        <w:rPr>
          <w:sz w:val="20"/>
          <w:szCs w:val="20"/>
          <w:color w:val="auto"/>
        </w:rPr>
      </w:pPr>
    </w:p>
    <w:p>
      <w:pPr>
        <w:ind w:left="466" w:right="100"/>
        <w:spacing w:after="0" w:line="262" w:lineRule="auto"/>
        <w:rPr>
          <w:sz w:val="20"/>
          <w:szCs w:val="20"/>
          <w:color w:val="auto"/>
        </w:rPr>
      </w:pPr>
      <w:r>
        <w:rPr>
          <w:rFonts w:ascii="Arial" w:cs="Arial" w:eastAsia="Arial" w:hAnsi="Arial"/>
          <w:sz w:val="18"/>
          <w:szCs w:val="18"/>
          <w:b w:val="1"/>
          <w:bCs w:val="1"/>
          <w:color w:val="auto"/>
        </w:rPr>
        <w:t>The Company reviews goodwill for impairment on an annual basis or more frequently if impairment indicators arise. In the event goodwill is considered to be impaired, a charge to earnings would be recorded during the period in which management makes such impairment assessment.</w:t>
      </w:r>
    </w:p>
    <w:p>
      <w:pPr>
        <w:spacing w:after="0" w:line="173" w:lineRule="exact"/>
        <w:rPr>
          <w:sz w:val="20"/>
          <w:szCs w:val="20"/>
          <w:color w:val="auto"/>
        </w:rPr>
      </w:pPr>
    </w:p>
    <w:p>
      <w:pPr>
        <w:ind w:left="446" w:hanging="446"/>
        <w:spacing w:after="0"/>
        <w:tabs>
          <w:tab w:leader="none" w:pos="44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costs</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Loan costs are amortized on a straight-line basis over the term of the related loans.</w:t>
      </w:r>
    </w:p>
    <w:p>
      <w:pPr>
        <w:spacing w:after="0" w:line="212" w:lineRule="exact"/>
        <w:rPr>
          <w:sz w:val="20"/>
          <w:szCs w:val="20"/>
          <w:color w:val="auto"/>
        </w:rPr>
      </w:pPr>
    </w:p>
    <w:p>
      <w:pPr>
        <w:ind w:left="446" w:hanging="446"/>
        <w:spacing w:after="0"/>
        <w:tabs>
          <w:tab w:leader="none" w:pos="446"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patient service revenue</w:t>
      </w:r>
    </w:p>
    <w:p>
      <w:pPr>
        <w:spacing w:after="0" w:line="90" w:lineRule="exact"/>
        <w:rPr>
          <w:sz w:val="20"/>
          <w:szCs w:val="20"/>
          <w:color w:val="auto"/>
        </w:rPr>
      </w:pPr>
    </w:p>
    <w:p>
      <w:pPr>
        <w:ind w:left="466" w:right="160"/>
        <w:spacing w:after="0" w:line="320" w:lineRule="auto"/>
        <w:rPr>
          <w:sz w:val="20"/>
          <w:szCs w:val="20"/>
          <w:color w:val="auto"/>
        </w:rPr>
      </w:pPr>
      <w:r>
        <w:rPr>
          <w:rFonts w:ascii="Arial" w:cs="Arial" w:eastAsia="Arial" w:hAnsi="Arial"/>
          <w:sz w:val="15"/>
          <w:szCs w:val="15"/>
          <w:b w:val="1"/>
          <w:bCs w:val="1"/>
          <w:color w:val="auto"/>
        </w:rPr>
        <w:t>Substantially all revenues of the Company are derived from comprehensive psychiatric treatment to residential, inpatient and outpatient patients. It is the Company’s policy to recognize revenues as services are provided to patients. In accordance with professional standards, revenues are reported at the estimated net realizable amount from patients, third-party payors and others for services rendered, including estimated retroactive adjustments under reimbursement agreements with third party payors. Retroactive adjustments are accrued on an estimated basis in the period the related services are rendered and adjusted in future period as final settlements are determined.</w:t>
      </w:r>
    </w:p>
    <w:p>
      <w:pPr>
        <w:spacing w:after="0" w:line="12" w:lineRule="exact"/>
        <w:rPr>
          <w:sz w:val="20"/>
          <w:szCs w:val="20"/>
          <w:color w:val="auto"/>
        </w:rPr>
      </w:pPr>
    </w:p>
    <w:p>
      <w:pPr>
        <w:ind w:left="466" w:right="40"/>
        <w:spacing w:after="0" w:line="296" w:lineRule="auto"/>
        <w:rPr>
          <w:sz w:val="20"/>
          <w:szCs w:val="20"/>
          <w:color w:val="auto"/>
        </w:rPr>
      </w:pPr>
      <w:r>
        <w:rPr>
          <w:rFonts w:ascii="Arial" w:cs="Arial" w:eastAsia="Arial" w:hAnsi="Arial"/>
          <w:sz w:val="16"/>
          <w:szCs w:val="16"/>
          <w:b w:val="1"/>
          <w:bCs w:val="1"/>
          <w:color w:val="auto"/>
        </w:rPr>
        <w:t>Inpatient services rendered to Medicare and certain Medicaid program beneficiaries are reimbursed under a cost reimbursement methodology, subject to certain cost limitations. The Company is reimbursed at a tentative rate with final settlement determined after submission of annual cost reports by the Company and audit thereof by the Medicare and Medicaid fiscal intermediary. Outpatient services rendered to Medicaid program beneficiaries are reimbursed based on defined allowable charges, and Medicare outpatient services are primarily paid under a prospective payment system. See Note 3 for revenue concentrations.</w:t>
      </w:r>
    </w:p>
    <w:p>
      <w:pPr>
        <w:spacing w:after="0" w:line="27" w:lineRule="exact"/>
        <w:rPr>
          <w:sz w:val="20"/>
          <w:szCs w:val="20"/>
          <w:color w:val="auto"/>
        </w:rPr>
      </w:pPr>
    </w:p>
    <w:p>
      <w:pPr>
        <w:jc w:val="both"/>
        <w:ind w:left="466"/>
        <w:spacing w:after="0" w:line="262" w:lineRule="auto"/>
        <w:rPr>
          <w:sz w:val="20"/>
          <w:szCs w:val="20"/>
          <w:color w:val="auto"/>
        </w:rPr>
      </w:pPr>
      <w:r>
        <w:rPr>
          <w:rFonts w:ascii="Arial" w:cs="Arial" w:eastAsia="Arial" w:hAnsi="Arial"/>
          <w:sz w:val="18"/>
          <w:szCs w:val="18"/>
          <w:b w:val="1"/>
          <w:bCs w:val="1"/>
          <w:color w:val="auto"/>
        </w:rPr>
        <w:t>The Company has also entered into payment agreements with certain commercial insurance carriers and preferred provider organizations. The basis for payment of the Company under these arrangements includes global payment rates, prospectively-determined rates per patient day and discounts from established charges.</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19</w:t>
      </w:r>
    </w:p>
    <w:p>
      <w:pPr>
        <w:sectPr>
          <w:pgSz w:w="11900" w:h="16838" w:orient="portrait"/>
          <w:cols w:equalWidth="0" w:num="1">
            <w:col w:w="10946"/>
          </w:cols>
          <w:pgMar w:left="694" w:top="274" w:right="259" w:bottom="1440" w:gutter="0" w:footer="0" w:header="0"/>
        </w:sectPr>
      </w:pPr>
    </w:p>
    <w:bookmarkStart w:id="81" w:name="page82"/>
    <w:bookmarkEnd w:id="81"/>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66" w:right="20"/>
        <w:spacing w:after="0" w:line="301" w:lineRule="auto"/>
        <w:rPr>
          <w:sz w:val="20"/>
          <w:szCs w:val="20"/>
          <w:color w:val="auto"/>
        </w:rPr>
      </w:pPr>
      <w:r>
        <w:rPr>
          <w:rFonts w:ascii="Arial" w:cs="Arial" w:eastAsia="Arial" w:hAnsi="Arial"/>
          <w:sz w:val="16"/>
          <w:szCs w:val="16"/>
          <w:b w:val="1"/>
          <w:bCs w:val="1"/>
          <w:color w:val="auto"/>
        </w:rPr>
        <w:t>The Company provides care to patients who meet certain criteria under its charity care policy without charge or at amounts less than its established rates. Because the Company does not pursue collection of amounts determined to qualify as charity care, they are not reported as revenue. The amount of costs recognized in the statements of operations for providing charity care aggregated approximately $100,000 in 2011. These costs were estimated based on the ratio of total costs to gross charges.</w:t>
      </w:r>
    </w:p>
    <w:p>
      <w:pPr>
        <w:spacing w:after="0" w:line="144" w:lineRule="exact"/>
        <w:rPr>
          <w:sz w:val="20"/>
          <w:szCs w:val="20"/>
          <w:color w:val="auto"/>
        </w:rPr>
      </w:pPr>
    </w:p>
    <w:p>
      <w:pPr>
        <w:ind w:left="446" w:hanging="446"/>
        <w:spacing w:after="0"/>
        <w:tabs>
          <w:tab w:leader="none" w:pos="446"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0" w:lineRule="exact"/>
        <w:rPr>
          <w:sz w:val="20"/>
          <w:szCs w:val="20"/>
          <w:color w:val="auto"/>
        </w:rPr>
      </w:pPr>
    </w:p>
    <w:p>
      <w:pPr>
        <w:ind w:left="466" w:right="180"/>
        <w:spacing w:after="0" w:line="301" w:lineRule="auto"/>
        <w:rPr>
          <w:sz w:val="20"/>
          <w:szCs w:val="20"/>
          <w:color w:val="auto"/>
        </w:rPr>
      </w:pPr>
      <w:r>
        <w:rPr>
          <w:rFonts w:ascii="Arial" w:cs="Arial" w:eastAsia="Arial" w:hAnsi="Arial"/>
          <w:sz w:val="16"/>
          <w:szCs w:val="16"/>
          <w:b w:val="1"/>
          <w:bCs w:val="1"/>
          <w:color w:val="auto"/>
        </w:rPr>
        <w:t>The Company is organized as a limited liability company and is taxed as a partnership for federal and state income tax purposes. Under federal and state income tax provisions, the Company is not subject to income taxes on its taxable income. Instead, the Company’s income and loss pass through to the members and are taxed at the individual level. Certain subsidiaries in Arkansas are subject to various state income taxes. State income taxes are not material to the Company.</w:t>
      </w:r>
    </w:p>
    <w:p>
      <w:pPr>
        <w:spacing w:after="0" w:line="22" w:lineRule="exact"/>
        <w:rPr>
          <w:sz w:val="20"/>
          <w:szCs w:val="20"/>
          <w:color w:val="auto"/>
        </w:rPr>
      </w:pPr>
    </w:p>
    <w:p>
      <w:pPr>
        <w:ind w:left="466"/>
        <w:spacing w:after="0" w:line="256" w:lineRule="auto"/>
        <w:rPr>
          <w:sz w:val="20"/>
          <w:szCs w:val="20"/>
          <w:color w:val="auto"/>
        </w:rPr>
      </w:pPr>
      <w:r>
        <w:rPr>
          <w:rFonts w:ascii="Arial" w:cs="Arial" w:eastAsia="Arial" w:hAnsi="Arial"/>
          <w:sz w:val="18"/>
          <w:szCs w:val="18"/>
          <w:b w:val="1"/>
          <w:bCs w:val="1"/>
          <w:color w:val="auto"/>
        </w:rPr>
        <w:t>Under generally accepted accounting principles,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purposes not meeting the “more likely than not” test, no tax benefit is recorded. The Company has no material uncertain tax positions that qualify for either recognition or disclosure in the financial statements.</w:t>
      </w:r>
    </w:p>
    <w:p>
      <w:pPr>
        <w:spacing w:after="0" w:line="58" w:lineRule="exact"/>
        <w:rPr>
          <w:sz w:val="20"/>
          <w:szCs w:val="20"/>
          <w:color w:val="auto"/>
        </w:rPr>
      </w:pPr>
    </w:p>
    <w:p>
      <w:pPr>
        <w:ind w:left="466" w:right="460"/>
        <w:spacing w:after="0" w:line="275" w:lineRule="auto"/>
        <w:rPr>
          <w:sz w:val="20"/>
          <w:szCs w:val="20"/>
          <w:color w:val="auto"/>
        </w:rPr>
      </w:pPr>
      <w:r>
        <w:rPr>
          <w:rFonts w:ascii="Arial" w:cs="Arial" w:eastAsia="Arial" w:hAnsi="Arial"/>
          <w:sz w:val="18"/>
          <w:szCs w:val="18"/>
          <w:b w:val="1"/>
          <w:bCs w:val="1"/>
          <w:color w:val="auto"/>
        </w:rPr>
        <w:t>As of December 31, 2011, the Company has accrued no interest and no penalties related to uncertain tax positions. It is the Company’s policy to recognize interest and/or penalties related to income tax matters in income tax expense.</w:t>
      </w:r>
    </w:p>
    <w:p>
      <w:pPr>
        <w:spacing w:after="0" w:line="39" w:lineRule="exact"/>
        <w:rPr>
          <w:sz w:val="20"/>
          <w:szCs w:val="20"/>
          <w:color w:val="auto"/>
        </w:rPr>
      </w:pPr>
    </w:p>
    <w:p>
      <w:pPr>
        <w:ind w:left="466" w:right="640"/>
        <w:spacing w:after="0" w:line="275" w:lineRule="auto"/>
        <w:rPr>
          <w:sz w:val="20"/>
          <w:szCs w:val="20"/>
          <w:color w:val="auto"/>
        </w:rPr>
      </w:pPr>
      <w:r>
        <w:rPr>
          <w:rFonts w:ascii="Arial" w:cs="Arial" w:eastAsia="Arial" w:hAnsi="Arial"/>
          <w:sz w:val="18"/>
          <w:szCs w:val="18"/>
          <w:b w:val="1"/>
          <w:bCs w:val="1"/>
          <w:color w:val="auto"/>
        </w:rPr>
        <w:t>The Company files U.S. Federal and various state income tax returns. The Company is currently open to audit under that statute of limitations by the Internal Revenue Service and various states for the years ending after 2007.</w:t>
      </w:r>
    </w:p>
    <w:p>
      <w:pPr>
        <w:spacing w:after="0" w:line="160" w:lineRule="exact"/>
        <w:rPr>
          <w:sz w:val="20"/>
          <w:szCs w:val="20"/>
          <w:color w:val="auto"/>
        </w:rPr>
      </w:pPr>
    </w:p>
    <w:p>
      <w:pPr>
        <w:ind w:left="446" w:hanging="446"/>
        <w:spacing w:after="0"/>
        <w:tabs>
          <w:tab w:leader="none" w:pos="44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Advertising costs</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Advertising costs are expensed as incurred.</w:t>
      </w:r>
    </w:p>
    <w:p>
      <w:pPr>
        <w:spacing w:after="0" w:line="212" w:lineRule="exact"/>
        <w:rPr>
          <w:sz w:val="20"/>
          <w:szCs w:val="20"/>
          <w:color w:val="auto"/>
        </w:rPr>
      </w:pPr>
    </w:p>
    <w:p>
      <w:pPr>
        <w:ind w:left="446" w:hanging="446"/>
        <w:spacing w:after="0"/>
        <w:tabs>
          <w:tab w:leader="none" w:pos="446"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incentive compensation</w:t>
      </w:r>
    </w:p>
    <w:p>
      <w:pPr>
        <w:spacing w:after="0" w:line="90" w:lineRule="exact"/>
        <w:rPr>
          <w:sz w:val="20"/>
          <w:szCs w:val="20"/>
          <w:color w:val="auto"/>
        </w:rPr>
      </w:pPr>
    </w:p>
    <w:p>
      <w:pPr>
        <w:ind w:left="466" w:right="200"/>
        <w:spacing w:after="0" w:line="262" w:lineRule="auto"/>
        <w:rPr>
          <w:sz w:val="20"/>
          <w:szCs w:val="20"/>
          <w:color w:val="auto"/>
        </w:rPr>
      </w:pPr>
      <w:r>
        <w:rPr>
          <w:rFonts w:ascii="Arial" w:cs="Arial" w:eastAsia="Arial" w:hAnsi="Arial"/>
          <w:sz w:val="18"/>
          <w:szCs w:val="18"/>
          <w:b w:val="1"/>
          <w:bCs w:val="1"/>
          <w:color w:val="auto"/>
        </w:rPr>
        <w:t>The Company has a unit option plan, which is described more fully in Note 11. Equity based compensation cost is measured at the grant date based upon the fair value of the award and is recognized as expense on a straight line basis over the requisite service period, which is generally the vesting period.</w:t>
      </w:r>
    </w:p>
    <w:p>
      <w:pPr>
        <w:spacing w:after="0" w:line="173" w:lineRule="exact"/>
        <w:rPr>
          <w:sz w:val="20"/>
          <w:szCs w:val="20"/>
          <w:color w:val="auto"/>
        </w:rPr>
      </w:pPr>
    </w:p>
    <w:p>
      <w:pPr>
        <w:ind w:left="446" w:hanging="446"/>
        <w:spacing w:after="0"/>
        <w:tabs>
          <w:tab w:leader="none" w:pos="446"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Realization of long-lived assets</w:t>
      </w:r>
    </w:p>
    <w:p>
      <w:pPr>
        <w:spacing w:after="0" w:line="90" w:lineRule="exact"/>
        <w:rPr>
          <w:sz w:val="20"/>
          <w:szCs w:val="20"/>
          <w:color w:val="auto"/>
        </w:rPr>
      </w:pPr>
    </w:p>
    <w:p>
      <w:pPr>
        <w:ind w:left="466" w:right="240"/>
        <w:spacing w:after="0" w:line="262" w:lineRule="auto"/>
        <w:rPr>
          <w:sz w:val="20"/>
          <w:szCs w:val="20"/>
          <w:color w:val="auto"/>
        </w:rPr>
      </w:pPr>
      <w:r>
        <w:rPr>
          <w:rFonts w:ascii="Arial" w:cs="Arial" w:eastAsia="Arial" w:hAnsi="Arial"/>
          <w:sz w:val="18"/>
          <w:szCs w:val="18"/>
          <w:b w:val="1"/>
          <w:bCs w:val="1"/>
          <w:color w:val="auto"/>
        </w:rPr>
        <w:t>Management evaluates the recoverability of the investment in long-lived assets on an ongoing basis and recognizes any impairment in the year of determination. It is reasonably possible that relevant conditions could change in the near term and necessitate a change in management’s estimate of the recoverability of these assets.</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0946"/>
          </w:cols>
          <w:pgMar w:left="694" w:top="274" w:right="259" w:bottom="1440" w:gutter="0" w:footer="0" w:header="0"/>
        </w:sectPr>
      </w:pPr>
    </w:p>
    <w:bookmarkStart w:id="82" w:name="page83"/>
    <w:bookmarkEnd w:id="82"/>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46" w:hanging="446"/>
        <w:spacing w:after="0"/>
        <w:tabs>
          <w:tab w:leader="none" w:pos="446"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90" w:lineRule="exact"/>
        <w:rPr>
          <w:sz w:val="20"/>
          <w:szCs w:val="20"/>
          <w:color w:val="auto"/>
        </w:rPr>
      </w:pPr>
    </w:p>
    <w:p>
      <w:pPr>
        <w:jc w:val="both"/>
        <w:ind w:left="466"/>
        <w:spacing w:after="0" w:line="258" w:lineRule="auto"/>
        <w:rPr>
          <w:sz w:val="20"/>
          <w:szCs w:val="20"/>
          <w:color w:val="auto"/>
        </w:rPr>
      </w:pPr>
      <w:r>
        <w:rPr>
          <w:rFonts w:ascii="Arial" w:cs="Arial" w:eastAsia="Arial" w:hAnsi="Arial"/>
          <w:sz w:val="18"/>
          <w:szCs w:val="18"/>
          <w:b w:val="1"/>
          <w:bCs w:val="1"/>
          <w:color w:val="auto"/>
        </w:rPr>
        <w:t>The preparation of the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left="446" w:hanging="446"/>
        <w:spacing w:after="0"/>
        <w:tabs>
          <w:tab w:leader="none" w:pos="446"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90" w:lineRule="exact"/>
        <w:rPr>
          <w:sz w:val="20"/>
          <w:szCs w:val="20"/>
          <w:color w:val="auto"/>
        </w:rPr>
      </w:pPr>
    </w:p>
    <w:p>
      <w:pPr>
        <w:ind w:left="466" w:right="40"/>
        <w:spacing w:after="0" w:line="258" w:lineRule="auto"/>
        <w:rPr>
          <w:sz w:val="20"/>
          <w:szCs w:val="20"/>
          <w:color w:val="auto"/>
        </w:rPr>
      </w:pPr>
      <w:r>
        <w:rPr>
          <w:rFonts w:ascii="Arial" w:cs="Arial" w:eastAsia="Arial" w:hAnsi="Arial"/>
          <w:sz w:val="18"/>
          <w:szCs w:val="18"/>
          <w:b w:val="1"/>
          <w:bCs w:val="1"/>
          <w:color w:val="auto"/>
        </w:rPr>
        <w:t>The Company has derivative instruments which consist of interest rate swap arrangements entered into in order to hedge the variable interest rates associated with portions of its long-term debt. The swap arrangements involve an exchange of floating rate interest payments for fixed rate interest payments. The difference between the floating rate and the swap rate is recognized as a component of interest expense in the accompanying consolidated statements of operations.</w:t>
      </w:r>
    </w:p>
    <w:p>
      <w:pPr>
        <w:spacing w:after="0" w:line="177" w:lineRule="exact"/>
        <w:rPr>
          <w:sz w:val="20"/>
          <w:szCs w:val="20"/>
          <w:color w:val="auto"/>
        </w:rPr>
      </w:pPr>
    </w:p>
    <w:p>
      <w:pPr>
        <w:ind w:left="446" w:hanging="446"/>
        <w:spacing w:after="0"/>
        <w:tabs>
          <w:tab w:leader="none" w:pos="44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accounting pronouncements</w:t>
      </w:r>
    </w:p>
    <w:p>
      <w:pPr>
        <w:spacing w:after="0" w:line="90"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b w:val="1"/>
          <w:bCs w:val="1"/>
          <w:color w:val="auto"/>
        </w:rPr>
        <w:t>In September 2011, the Financial Accounting Standards Board (“FASB”) issued accounting standards relating to goodwill and other intangibles. This guidance allows an entity the option to first assess qualitative factors to determine whether it is necessary to perform the two-step quantitative goodwill impairment test prescribed by current accounting standards. Under that option, an entity would no longer be required to calculate the fair value of a reporting unit unless the entity determines, based on the qualitative assessment, that it is more likely than not that its fair value is less than its carrying amount. An entity can bypass the qualitative goodwill impairment test, and then resume performing the qualitative assessment in any subsequent period. These standards are effective for annual and interim goodwill impairment tests performed for fiscal years beginning after December 15, 2011 and early adoption is permitted. The adoption of this accounting standard is not expected to have a material impact on the Company’s consolidated financial statements.</w:t>
      </w:r>
    </w:p>
    <w:p>
      <w:pPr>
        <w:spacing w:after="0" w:line="31" w:lineRule="exact"/>
        <w:rPr>
          <w:sz w:val="20"/>
          <w:szCs w:val="20"/>
          <w:color w:val="auto"/>
        </w:rPr>
      </w:pPr>
    </w:p>
    <w:p>
      <w:pPr>
        <w:ind w:left="466" w:right="20"/>
        <w:spacing w:after="0" w:line="313" w:lineRule="auto"/>
        <w:rPr>
          <w:sz w:val="20"/>
          <w:szCs w:val="20"/>
          <w:color w:val="auto"/>
        </w:rPr>
      </w:pPr>
      <w:r>
        <w:rPr>
          <w:rFonts w:ascii="Arial" w:cs="Arial" w:eastAsia="Arial" w:hAnsi="Arial"/>
          <w:sz w:val="15"/>
          <w:szCs w:val="15"/>
          <w:b w:val="1"/>
          <w:bCs w:val="1"/>
          <w:color w:val="auto"/>
        </w:rPr>
        <w:t>In July 2011, the FASB issued accounting standards that require changes in financial statement presentation and enhanced disclosures by health care entities that recognize significant amounts of patient service revenue at the time services are rendered without taking account of patients’ ability to pay. These standards require health care entities to change the presentation of their statement of operations by reclassifying the provision for bad debts associated with patient service revenue from an operating expense to a deduction from patient service revenue (net of contractual allowances and discounts). Additionally, these entities will be required to provide enhanced disclosure about their policies for recognizing revenue and assessing bad debts as well as qualitative and quantitative information about changes in the allowance for doubtful accounts. These changes have been reflected within the consolidated financial statements (see Note 14).</w:t>
      </w:r>
    </w:p>
    <w:p>
      <w:pPr>
        <w:spacing w:after="0" w:line="87"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0946"/>
          </w:cols>
          <w:pgMar w:left="694" w:top="274" w:right="259" w:bottom="1440" w:gutter="0" w:footer="0" w:header="0"/>
        </w:sectPr>
      </w:pPr>
    </w:p>
    <w:bookmarkStart w:id="83" w:name="page84"/>
    <w:bookmarkEnd w:id="8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892" w:hanging="446"/>
        <w:spacing w:after="0"/>
        <w:tabs>
          <w:tab w:leader="none" w:pos="89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90" w:lineRule="exact"/>
        <w:rPr>
          <w:sz w:val="20"/>
          <w:szCs w:val="20"/>
          <w:color w:val="auto"/>
        </w:rPr>
      </w:pPr>
    </w:p>
    <w:p>
      <w:pPr>
        <w:ind w:left="912" w:right="60"/>
        <w:spacing w:after="0" w:line="289" w:lineRule="auto"/>
        <w:rPr>
          <w:sz w:val="20"/>
          <w:szCs w:val="20"/>
          <w:color w:val="auto"/>
        </w:rPr>
      </w:pPr>
      <w:r>
        <w:rPr>
          <w:rFonts w:ascii="Arial" w:cs="Arial" w:eastAsia="Arial" w:hAnsi="Arial"/>
          <w:sz w:val="16"/>
          <w:szCs w:val="16"/>
          <w:b w:val="1"/>
          <w:bCs w:val="1"/>
          <w:color w:val="auto"/>
        </w:rPr>
        <w:t>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fair value accounting standards establish a fair value hierarchy that distinguishes between market participant assumptions based on market data obtained from sources independent of the reporting entity including quoted market prices in active markets for identical assets (Level 1), or significant other observable inputs (Level 2) and the reporting entity’s own assumptions about market participant assumptions (Level 3). The Company does not have any fair value measurements using significant unobservable inputs (Level 3) as of December 31, 2011. The Company has derivative instruments that are classified as Level 2 liabilities since the fair value is based on modeling techniques that include inputs such as market volatilities, spot rates and interest differentials from published sources.</w:t>
      </w:r>
    </w:p>
    <w:p>
      <w:pPr>
        <w:spacing w:after="0" w:line="153" w:lineRule="exact"/>
        <w:rPr>
          <w:sz w:val="20"/>
          <w:szCs w:val="20"/>
          <w:color w:val="auto"/>
        </w:rPr>
      </w:pPr>
    </w:p>
    <w:p>
      <w:pPr>
        <w:ind w:left="892" w:hanging="446"/>
        <w:spacing w:after="0"/>
        <w:tabs>
          <w:tab w:leader="none" w:pos="89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occurring after reporting date</w:t>
      </w:r>
    </w:p>
    <w:p>
      <w:pPr>
        <w:spacing w:after="0" w:line="90" w:lineRule="exact"/>
        <w:rPr>
          <w:sz w:val="20"/>
          <w:szCs w:val="20"/>
          <w:color w:val="auto"/>
        </w:rPr>
      </w:pPr>
    </w:p>
    <w:p>
      <w:pPr>
        <w:ind w:left="912"/>
        <w:spacing w:after="0" w:line="339" w:lineRule="auto"/>
        <w:rPr>
          <w:sz w:val="20"/>
          <w:szCs w:val="20"/>
          <w:color w:val="auto"/>
        </w:rPr>
      </w:pPr>
      <w:r>
        <w:rPr>
          <w:rFonts w:ascii="Arial" w:cs="Arial" w:eastAsia="Arial" w:hAnsi="Arial"/>
          <w:sz w:val="16"/>
          <w:szCs w:val="16"/>
          <w:b w:val="1"/>
          <w:bCs w:val="1"/>
          <w:color w:val="auto"/>
        </w:rPr>
        <w:t>The Company has evaluated events and transactions that occurred between December 31, 2011 and December 3, 2012, which is the date that the financial statements were available to be issued, for possible recognition or disclosure in the financial statements.</w:t>
      </w:r>
    </w:p>
    <w:p>
      <w:pPr>
        <w:spacing w:after="0" w:line="196" w:lineRule="exact"/>
        <w:rPr>
          <w:sz w:val="20"/>
          <w:szCs w:val="20"/>
          <w:color w:val="auto"/>
        </w:rPr>
      </w:pPr>
    </w:p>
    <w:p>
      <w:pPr>
        <w:ind w:left="452" w:hanging="452"/>
        <w:spacing w:after="0"/>
        <w:tabs>
          <w:tab w:leader="none" w:pos="45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Credit risk and other concentrations</w:t>
      </w:r>
    </w:p>
    <w:p>
      <w:pPr>
        <w:spacing w:after="0" w:line="90" w:lineRule="exact"/>
        <w:rPr>
          <w:rFonts w:ascii="Arial" w:cs="Arial" w:eastAsia="Arial" w:hAnsi="Arial"/>
          <w:sz w:val="18"/>
          <w:szCs w:val="18"/>
          <w:b w:val="1"/>
          <w:bCs w:val="1"/>
          <w:color w:val="auto"/>
        </w:rPr>
      </w:pPr>
    </w:p>
    <w:p>
      <w:pPr>
        <w:ind w:left="452"/>
        <w:spacing w:after="0" w:line="334"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may maintain cash on deposit at banks in excess of federally insured amounts. The Company has not experienced any losses in such accounts and management believes the Company is not exposed to any significant credit risk related to cash.</w:t>
      </w:r>
    </w:p>
    <w:p>
      <w:pPr>
        <w:spacing w:after="0" w:line="1" w:lineRule="exact"/>
        <w:rPr>
          <w:rFonts w:ascii="Arial" w:cs="Arial" w:eastAsia="Arial" w:hAnsi="Arial"/>
          <w:sz w:val="18"/>
          <w:szCs w:val="18"/>
          <w:b w:val="1"/>
          <w:bCs w:val="1"/>
          <w:color w:val="auto"/>
        </w:rPr>
      </w:pPr>
    </w:p>
    <w:p>
      <w:pPr>
        <w:jc w:val="both"/>
        <w:ind w:left="452" w:right="100"/>
        <w:spacing w:after="0" w:line="310"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grants credit without collateral to its patients, most of whom are individuals that are insured under third-party payor agreements. Concentration of credit risk relating to accounts receivable is limited to some extent by the diversity and number of patients and payors. The mix of net accounts receivable from patients and third-party payors as of December 31, 2011, was as follows:</w:t>
      </w:r>
    </w:p>
    <w:p>
      <w:pPr>
        <w:spacing w:after="0" w:line="152"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Medicare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Medicaid and other state programs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w:t>
            </w: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Self pay</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r>
      <w:tr>
        <w:trPr>
          <w:trHeight w:val="27"/>
        </w:trPr>
        <w:tc>
          <w:tcPr>
            <w:tcW w:w="7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r>
      <w:tr>
        <w:trPr>
          <w:trHeight w:val="20"/>
        </w:trPr>
        <w:tc>
          <w:tcPr>
            <w:tcW w:w="7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61" w:lineRule="exact"/>
        <w:rPr>
          <w:sz w:val="20"/>
          <w:szCs w:val="20"/>
          <w:color w:val="auto"/>
        </w:rPr>
      </w:pPr>
    </w:p>
    <w:p>
      <w:pPr>
        <w:ind w:left="452" w:right="560"/>
        <w:spacing w:after="0" w:line="275" w:lineRule="auto"/>
        <w:rPr>
          <w:sz w:val="20"/>
          <w:szCs w:val="20"/>
          <w:color w:val="auto"/>
        </w:rPr>
      </w:pPr>
      <w:r>
        <w:rPr>
          <w:rFonts w:ascii="Arial" w:cs="Arial" w:eastAsia="Arial" w:hAnsi="Arial"/>
          <w:sz w:val="18"/>
          <w:szCs w:val="18"/>
          <w:b w:val="1"/>
          <w:bCs w:val="1"/>
          <w:color w:val="auto"/>
        </w:rPr>
        <w:t>Approximately 91% of net patient revenues in 2011 were derived under contractual agreements with certain government funded programs (principally Medicare and Medicaid).</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1392"/>
          </w:cols>
          <w:pgMar w:left="248" w:top="274" w:right="259" w:bottom="1440" w:gutter="0" w:footer="0" w:header="0"/>
        </w:sectPr>
      </w:pPr>
    </w:p>
    <w:bookmarkStart w:id="84" w:name="page85"/>
    <w:bookmarkEnd w:id="84"/>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52" w:hanging="452"/>
        <w:spacing w:after="0"/>
        <w:tabs>
          <w:tab w:leader="none" w:pos="45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Note receivable from member</w:t>
      </w:r>
    </w:p>
    <w:p>
      <w:pPr>
        <w:spacing w:after="0" w:line="90" w:lineRule="exact"/>
        <w:rPr>
          <w:rFonts w:ascii="Arial" w:cs="Arial" w:eastAsia="Arial" w:hAnsi="Arial"/>
          <w:sz w:val="18"/>
          <w:szCs w:val="18"/>
          <w:b w:val="1"/>
          <w:bCs w:val="1"/>
          <w:color w:val="auto"/>
        </w:rPr>
      </w:pPr>
    </w:p>
    <w:p>
      <w:pPr>
        <w:ind w:left="452"/>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has a note receivable from a member amounting to $157,210 as of December 31, 2011. The note bears interest at a fixed rate of 5% and is due April 1, 2017. The note was issued in exchange for equity. In accordance with accounting standards relating to classifying notes receivable for equity, the uncollected portion of the note receivable as of the date of the applicable report was reflected as a component of members’ equity.</w:t>
      </w:r>
    </w:p>
    <w:p>
      <w:pPr>
        <w:spacing w:after="0" w:line="257" w:lineRule="exact"/>
        <w:rPr>
          <w:rFonts w:ascii="Arial" w:cs="Arial" w:eastAsia="Arial" w:hAnsi="Arial"/>
          <w:sz w:val="18"/>
          <w:szCs w:val="18"/>
          <w:b w:val="1"/>
          <w:bCs w:val="1"/>
          <w:color w:val="auto"/>
        </w:rPr>
      </w:pPr>
    </w:p>
    <w:p>
      <w:pPr>
        <w:ind w:left="452" w:hanging="452"/>
        <w:spacing w:after="0"/>
        <w:tabs>
          <w:tab w:leader="none" w:pos="45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summary of property and equipment as of December 31, 2011 is as follows:</w:t>
      </w:r>
    </w:p>
    <w:p>
      <w:pPr>
        <w:spacing w:after="0" w:line="226" w:lineRule="exact"/>
        <w:rPr>
          <w:sz w:val="20"/>
          <w:szCs w:val="20"/>
          <w:color w:val="auto"/>
        </w:rPr>
      </w:pPr>
    </w:p>
    <w:tbl>
      <w:tblPr>
        <w:tblLayout w:type="fixed"/>
        <w:tblInd w:w="1372"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Land</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1,518,280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Buildings and improvements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17,654,078</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Leasehold improvements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647,449</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Transportation equipment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136,975</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Furniture and fixtures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1,200,013</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Construction in progress</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530,483</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21,687,278</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Less accumulated depreciation and amortization</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1,505,290</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20,181,988</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52" w:right="520"/>
        <w:spacing w:after="0" w:line="275" w:lineRule="auto"/>
        <w:rPr>
          <w:sz w:val="20"/>
          <w:szCs w:val="20"/>
          <w:color w:val="auto"/>
        </w:rPr>
      </w:pPr>
      <w:r>
        <w:rPr>
          <w:rFonts w:ascii="Arial" w:cs="Arial" w:eastAsia="Arial" w:hAnsi="Arial"/>
          <w:sz w:val="18"/>
          <w:szCs w:val="18"/>
          <w:b w:val="1"/>
          <w:bCs w:val="1"/>
          <w:color w:val="auto"/>
        </w:rPr>
        <w:t>During 2011, the Company was in the process of constructing various expansions and additions to existing facilities. The estimated costs to complete these projects is approximately $585,000.</w:t>
      </w:r>
    </w:p>
    <w:p>
      <w:pPr>
        <w:spacing w:after="0" w:line="241" w:lineRule="exact"/>
        <w:rPr>
          <w:sz w:val="20"/>
          <w:szCs w:val="20"/>
          <w:color w:val="auto"/>
        </w:rPr>
      </w:pPr>
    </w:p>
    <w:p>
      <w:pPr>
        <w:ind w:left="452" w:hanging="452"/>
        <w:spacing w:after="0"/>
        <w:tabs>
          <w:tab w:leader="none" w:pos="45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Lines of credit</w:t>
      </w:r>
    </w:p>
    <w:p>
      <w:pPr>
        <w:spacing w:after="0" w:line="90" w:lineRule="exact"/>
        <w:rPr>
          <w:rFonts w:ascii="Arial" w:cs="Arial" w:eastAsia="Arial" w:hAnsi="Arial"/>
          <w:sz w:val="18"/>
          <w:szCs w:val="18"/>
          <w:b w:val="1"/>
          <w:bCs w:val="1"/>
          <w:color w:val="auto"/>
        </w:rPr>
      </w:pPr>
    </w:p>
    <w:p>
      <w:pPr>
        <w:ind w:left="452" w:right="8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The Company has two lines of credit amounting to $4,000,000 available with two banks at December 31, 2011. Borrowings of $394,326, exclusive of checks drawn in excess discussed in the following paragraph, were outstanding under the lines of credit at December 31, 2011. Borrowings under the lines of credit bear interest, payable quarterly, at a variable interest rate equal to the base rate and applicable margin (5.28% at December 31, 2011). The lines of credit are secured by substantially all assets of the Company. The lines of credit mature in February 2014. The lines of credit place certain restrictions and limitations upon the Company (see Note 7).</w:t>
      </w:r>
    </w:p>
    <w:p>
      <w:pPr>
        <w:spacing w:after="0" w:line="94"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312"/>
          </w:cols>
          <w:pgMar w:left="248" w:top="274" w:right="339" w:bottom="1440" w:gutter="0" w:footer="0" w:header="0"/>
        </w:sectPr>
      </w:pPr>
    </w:p>
    <w:bookmarkStart w:id="85" w:name="page86"/>
    <w:bookmarkEnd w:id="8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52"/>
        <w:spacing w:after="0" w:line="289" w:lineRule="auto"/>
        <w:rPr>
          <w:sz w:val="20"/>
          <w:szCs w:val="20"/>
          <w:color w:val="auto"/>
        </w:rPr>
      </w:pPr>
      <w:r>
        <w:rPr>
          <w:rFonts w:ascii="Arial" w:cs="Arial" w:eastAsia="Arial" w:hAnsi="Arial"/>
          <w:sz w:val="16"/>
          <w:szCs w:val="16"/>
          <w:b w:val="1"/>
          <w:bCs w:val="1"/>
          <w:color w:val="auto"/>
        </w:rPr>
        <w:t>Pursuant to the credit agreement, one of the banks mentioned above has made up to $2,000,000 of the commitment available pursuant to a swing line credit agreement. The total commitment available at any time is subject to borrowing base limitations as defined in the agreement. Borrowings of $394,326 were outstanding under this swing line of credit at December 31, 2011. Borrowings under the line of credit bear interest, payable quarterly, at a variable interest rate equal to the highest of the prime rate, federal funds effective rate plus 0.50% or LIBOR plus 1.25% (5.28% at December 31, 2011). Due to contractual provisions of the swing line of credit which allow for current receipts of the Company to reduce the outstanding balance, this portion of the obligation is classified as a short-term liability in accordance with generally accepted accounting standards. Since the swing line of credit agreement is drawn upon to satisfy disbursements clearing the operating account when sufficient cash is not available, management has included checks drawn in excess of cash balance totaling $816,488 at December 31, 2011 within this line of credit balance on the accompanying consolidated balance sheet.</w:t>
      </w:r>
    </w:p>
    <w:p>
      <w:pPr>
        <w:sectPr>
          <w:pgSz w:w="11900" w:h="16838" w:orient="portrait"/>
          <w:cols w:equalWidth="0" w:num="1">
            <w:col w:w="11332"/>
          </w:cols>
          <w:pgMar w:left="248" w:top="274" w:right="319" w:bottom="1440" w:gutter="0" w:footer="0" w:header="0"/>
        </w:sectPr>
      </w:pPr>
    </w:p>
    <w:p>
      <w:pPr>
        <w:spacing w:after="0" w:line="234" w:lineRule="exact"/>
        <w:rPr>
          <w:sz w:val="20"/>
          <w:szCs w:val="20"/>
          <w:color w:val="auto"/>
        </w:rPr>
      </w:pPr>
    </w:p>
    <w:p>
      <w:pPr>
        <w:ind w:left="452" w:hanging="452"/>
        <w:spacing w:after="0"/>
        <w:tabs>
          <w:tab w:leader="none" w:pos="45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summary of long-term debt as of December 31, 2011 is as follows:</w:t>
      </w:r>
    </w:p>
    <w:p>
      <w:pPr>
        <w:spacing w:after="0" w:line="212" w:lineRule="exact"/>
        <w:rPr>
          <w:sz w:val="20"/>
          <w:szCs w:val="20"/>
          <w:color w:val="auto"/>
        </w:rPr>
      </w:pPr>
    </w:p>
    <w:p>
      <w:pPr>
        <w:jc w:val="both"/>
        <w:ind w:left="1132" w:hanging="215"/>
        <w:spacing w:after="0" w:line="287" w:lineRule="auto"/>
        <w:rPr>
          <w:sz w:val="20"/>
          <w:szCs w:val="20"/>
          <w:color w:val="auto"/>
        </w:rPr>
      </w:pPr>
      <w:r>
        <w:rPr>
          <w:rFonts w:ascii="Arial" w:cs="Arial" w:eastAsia="Arial" w:hAnsi="Arial"/>
          <w:sz w:val="16"/>
          <w:szCs w:val="16"/>
          <w:b w:val="1"/>
          <w:bCs w:val="1"/>
          <w:color w:val="auto"/>
        </w:rPr>
        <w:t>Term loan to bank; interest at a variable rate of ABR or Eurodollar rate plus the applicable margin (5.28% at December 31, 2011); variable quarterly principal and interest payments with all unpaid principal and interest due February 2014; secured by substantially all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-409575</wp:posOffset>
            </wp:positionV>
            <wp:extent cx="6080125" cy="411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80125" cy="411480"/>
                    </a:xfrm>
                    <a:prstGeom prst="rect">
                      <a:avLst/>
                    </a:prstGeom>
                    <a:noFill/>
                  </pic:spPr>
                </pic:pic>
              </a:graphicData>
            </a:graphic>
          </wp:anchor>
        </w:drawing>
      </w:r>
    </w:p>
    <w:p>
      <w:pPr>
        <w:ind w:left="1132" w:right="140" w:hanging="215"/>
        <w:spacing w:after="0" w:line="291" w:lineRule="auto"/>
        <w:rPr>
          <w:sz w:val="20"/>
          <w:szCs w:val="20"/>
          <w:color w:val="auto"/>
        </w:rPr>
      </w:pPr>
      <w:r>
        <w:rPr>
          <w:rFonts w:ascii="Arial" w:cs="Arial" w:eastAsia="Arial" w:hAnsi="Arial"/>
          <w:sz w:val="16"/>
          <w:szCs w:val="16"/>
          <w:b w:val="1"/>
          <w:bCs w:val="1"/>
          <w:color w:val="auto"/>
        </w:rPr>
        <w:t>Subordinated note payable to related party; interest at a variable rate of ABR or Eurodollar rate plus the applicable margin (5.28% at December 31, 2011); principal and interest due February 2014.</w:t>
      </w:r>
    </w:p>
    <w:p>
      <w:pPr>
        <w:spacing w:after="0" w:line="1"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-121920</wp:posOffset>
            </wp:positionV>
            <wp:extent cx="608012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Less current installments</w:t>
      </w:r>
    </w:p>
    <w:p>
      <w:pPr>
        <w:spacing w:after="0" w:line="24"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Long-term debt, excluding current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-121920</wp:posOffset>
            </wp:positionV>
            <wp:extent cx="608012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5" w:lineRule="exact"/>
        <w:rPr>
          <w:sz w:val="20"/>
          <w:szCs w:val="20"/>
          <w:color w:val="auto"/>
        </w:rPr>
      </w:pPr>
    </w:p>
    <w:p>
      <w:pPr>
        <w:ind w:left="452"/>
        <w:spacing w:after="0"/>
        <w:rPr>
          <w:sz w:val="20"/>
          <w:szCs w:val="20"/>
          <w:color w:val="auto"/>
        </w:rPr>
      </w:pPr>
      <w:r>
        <w:rPr>
          <w:rFonts w:ascii="Arial" w:cs="Arial" w:eastAsia="Arial" w:hAnsi="Arial"/>
          <w:sz w:val="16"/>
          <w:szCs w:val="16"/>
          <w:b w:val="1"/>
          <w:bCs w:val="1"/>
          <w:color w:val="auto"/>
        </w:rPr>
        <w:t>A summary of approximate future maturities of long-term debt as of December 31, 2011, is as follows:</w:t>
      </w:r>
    </w:p>
    <w:p>
      <w:pPr>
        <w:spacing w:after="0" w:line="236" w:lineRule="exact"/>
        <w:rPr>
          <w:sz w:val="20"/>
          <w:szCs w:val="20"/>
          <w:color w:val="auto"/>
        </w:rPr>
      </w:pPr>
    </w:p>
    <w:p>
      <w:pPr>
        <w:ind w:left="1832"/>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940"/>
        <w:spacing w:after="0"/>
        <w:rPr>
          <w:sz w:val="20"/>
          <w:szCs w:val="20"/>
          <w:color w:val="auto"/>
        </w:rPr>
      </w:pPr>
      <w:r>
        <w:rPr>
          <w:rFonts w:ascii="Arial" w:cs="Arial" w:eastAsia="Arial" w:hAnsi="Arial"/>
          <w:sz w:val="15"/>
          <w:szCs w:val="15"/>
          <w:b w:val="1"/>
          <w:bCs w:val="1"/>
          <w:color w:val="auto"/>
        </w:rPr>
        <w:t>$ 21,575,000</w:t>
      </w:r>
    </w:p>
    <w:p>
      <w:pPr>
        <w:spacing w:after="0" w:line="260" w:lineRule="exact"/>
        <w:rPr>
          <w:sz w:val="20"/>
          <w:szCs w:val="20"/>
          <w:color w:val="auto"/>
        </w:rPr>
      </w:pPr>
    </w:p>
    <w:p>
      <w:pPr>
        <w:jc w:val="right"/>
        <w:ind w:right="940"/>
        <w:spacing w:after="0"/>
        <w:rPr>
          <w:sz w:val="20"/>
          <w:szCs w:val="20"/>
          <w:color w:val="auto"/>
        </w:rPr>
      </w:pPr>
      <w:r>
        <w:rPr>
          <w:rFonts w:ascii="Arial" w:cs="Arial" w:eastAsia="Arial" w:hAnsi="Arial"/>
          <w:sz w:val="18"/>
          <w:szCs w:val="18"/>
          <w:b w:val="1"/>
          <w:bCs w:val="1"/>
          <w:color w:val="auto"/>
        </w:rPr>
        <w:t>1,186,745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5918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6" w:lineRule="exact"/>
        <w:rPr>
          <w:sz w:val="20"/>
          <w:szCs w:val="20"/>
          <w:color w:val="auto"/>
        </w:rPr>
      </w:pPr>
    </w:p>
    <w:p>
      <w:pPr>
        <w:jc w:val="right"/>
        <w:ind w:right="940"/>
        <w:spacing w:after="0"/>
        <w:rPr>
          <w:sz w:val="20"/>
          <w:szCs w:val="20"/>
          <w:color w:val="auto"/>
        </w:rPr>
      </w:pPr>
      <w:r>
        <w:rPr>
          <w:rFonts w:ascii="Arial" w:cs="Arial" w:eastAsia="Arial" w:hAnsi="Arial"/>
          <w:sz w:val="18"/>
          <w:szCs w:val="18"/>
          <w:b w:val="1"/>
          <w:bCs w:val="1"/>
          <w:color w:val="auto"/>
        </w:rPr>
        <w:t>22,761,745</w:t>
      </w:r>
    </w:p>
    <w:p>
      <w:pPr>
        <w:spacing w:after="0" w:line="21" w:lineRule="exact"/>
        <w:rPr>
          <w:sz w:val="20"/>
          <w:szCs w:val="20"/>
          <w:color w:val="auto"/>
        </w:rPr>
      </w:pPr>
    </w:p>
    <w:p>
      <w:pPr>
        <w:jc w:val="right"/>
        <w:ind w:right="940"/>
        <w:spacing w:after="0"/>
        <w:rPr>
          <w:sz w:val="20"/>
          <w:szCs w:val="20"/>
          <w:color w:val="auto"/>
        </w:rPr>
      </w:pPr>
      <w:r>
        <w:rPr>
          <w:rFonts w:ascii="Arial" w:cs="Arial" w:eastAsia="Arial" w:hAnsi="Arial"/>
          <w:sz w:val="18"/>
          <w:szCs w:val="18"/>
          <w:b w:val="1"/>
          <w:bCs w:val="1"/>
          <w:color w:val="auto"/>
        </w:rPr>
        <w:t>2,100,000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5918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$ 20,661,745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5918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860" w:lineRule="exact"/>
        <w:rPr>
          <w:sz w:val="20"/>
          <w:szCs w:val="20"/>
          <w:color w:val="auto"/>
        </w:rPr>
      </w:pPr>
    </w:p>
    <w:p>
      <w:pPr>
        <w:sectPr>
          <w:pgSz w:w="11900" w:h="16838" w:orient="portrait"/>
          <w:cols w:equalWidth="0" w:num="2">
            <w:col w:w="8952" w:space="520"/>
            <w:col w:w="1860"/>
          </w:cols>
          <w:pgMar w:left="248" w:top="274" w:right="319" w:bottom="1440" w:gutter="0" w:footer="0" w:header="0"/>
          <w:type w:val="continuous"/>
        </w:sectPr>
      </w:pPr>
    </w:p>
    <w:tbl>
      <w:tblPr>
        <w:tblLayout w:type="fixed"/>
        <w:tblInd w:w="1832" w:type="dxa"/>
        <w:tblCellMar>
          <w:top w:w="0" w:type="dxa"/>
          <w:left w:w="0" w:type="dxa"/>
          <w:bottom w:w="0" w:type="dxa"/>
          <w:right w:w="0" w:type="dxa"/>
        </w:tblCellMar>
      </w:tblP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60" w:type="dxa"/>
            <w:vAlign w:val="bottom"/>
            <w:gridSpan w:val="2"/>
            <w:shd w:val="clear" w:color="auto" w:fill="CCEEFF"/>
          </w:tcPr>
          <w:p>
            <w:pPr>
              <w:jc w:val="right"/>
              <w:ind w:right="1720"/>
              <w:spacing w:after="0" w:line="189" w:lineRule="exact"/>
              <w:rPr>
                <w:sz w:val="20"/>
                <w:szCs w:val="20"/>
                <w:color w:val="auto"/>
              </w:rPr>
            </w:pPr>
            <w:r>
              <w:rPr>
                <w:rFonts w:ascii="Arial" w:cs="Arial" w:eastAsia="Arial" w:hAnsi="Arial"/>
                <w:sz w:val="18"/>
                <w:szCs w:val="18"/>
                <w:b w:val="1"/>
                <w:bCs w:val="1"/>
                <w:color w:val="auto"/>
                <w:w w:val="79"/>
              </w:rPr>
              <w:t>2012</w:t>
            </w:r>
          </w:p>
        </w:tc>
        <w:tc>
          <w:tcPr>
            <w:tcW w:w="4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2,100,000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jc w:val="right"/>
              <w:ind w:right="1720"/>
              <w:spacing w:after="0"/>
              <w:rPr>
                <w:sz w:val="20"/>
                <w:szCs w:val="20"/>
                <w:color w:val="auto"/>
              </w:rPr>
            </w:pPr>
            <w:r>
              <w:rPr>
                <w:rFonts w:ascii="Arial" w:cs="Arial" w:eastAsia="Arial" w:hAnsi="Arial"/>
                <w:sz w:val="18"/>
                <w:szCs w:val="18"/>
                <w:b w:val="1"/>
                <w:bCs w:val="1"/>
                <w:color w:val="auto"/>
                <w:w w:val="79"/>
              </w:rPr>
              <w:t>2013</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2,700,000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jc w:val="right"/>
              <w:ind w:right="1720"/>
              <w:spacing w:after="0"/>
              <w:rPr>
                <w:sz w:val="20"/>
                <w:szCs w:val="20"/>
                <w:color w:val="auto"/>
              </w:rPr>
            </w:pPr>
            <w:r>
              <w:rPr>
                <w:rFonts w:ascii="Arial" w:cs="Arial" w:eastAsia="Arial" w:hAnsi="Arial"/>
                <w:sz w:val="18"/>
                <w:szCs w:val="18"/>
                <w:b w:val="1"/>
                <w:bCs w:val="1"/>
                <w:color w:val="auto"/>
                <w:w w:val="79"/>
              </w:rPr>
              <w:t>2014</w:t>
            </w:r>
          </w:p>
        </w:tc>
        <w:tc>
          <w:tcPr>
            <w:tcW w:w="4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17,961,745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22,761,745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80" w:type="dxa"/>
            <w:vAlign w:val="bottom"/>
            <w:vMerge w:val="restart"/>
          </w:tcPr>
          <w:p>
            <w:pPr>
              <w:jc w:val="right"/>
              <w:ind w:right="2692"/>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32"/>
          </w:cols>
          <w:pgMar w:left="248" w:top="274" w:right="31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b w:val="1"/>
          <w:bCs w:val="1"/>
          <w:color w:val="auto"/>
        </w:rPr>
        <w:t>During 2007, AmiCare entered into an interest rate swap agreement to reduce or eliminate the risk associated with debt interest rate fluctuations. The swap had an original notional principal amount of $5,000,000 and expired on May 1, 2012. The remaining notional principal amount totaled $4,291,241 at December 31, 2011. Under the swap agreement, the Company paid interest at a fixed rate of 7.60% and received interest at the LIBOR rate plus 200 basis points. Due to interest rate fluctuations, the Company would have incurred a cost upon early termination or sale of the swap agreement. A liability thereon of $76,959 at December 31, 2011, has been reported in the accompanying consolidated financial statements. No costs were incurred at the termination of the swap in 2012.</w:t>
      </w:r>
    </w:p>
    <w:p>
      <w:pPr>
        <w:spacing w:after="0" w:line="30" w:lineRule="exact"/>
        <w:rPr>
          <w:sz w:val="20"/>
          <w:szCs w:val="20"/>
          <w:color w:val="auto"/>
        </w:rPr>
      </w:pPr>
    </w:p>
    <w:p>
      <w:pPr>
        <w:ind w:left="460" w:right="200"/>
        <w:spacing w:after="0" w:line="301" w:lineRule="auto"/>
        <w:rPr>
          <w:sz w:val="20"/>
          <w:szCs w:val="20"/>
          <w:color w:val="auto"/>
        </w:rPr>
      </w:pPr>
      <w:r>
        <w:rPr>
          <w:rFonts w:ascii="Arial" w:cs="Arial" w:eastAsia="Arial" w:hAnsi="Arial"/>
          <w:sz w:val="16"/>
          <w:szCs w:val="16"/>
          <w:b w:val="1"/>
          <w:bCs w:val="1"/>
          <w:color w:val="auto"/>
        </w:rPr>
        <w:t>During 2010, the Company entered into a second interest rate swap agreement to comply with the terms of a credit agreement the Company has with a bank. The swap has a remaining notional principal amount totaling $9,344,257 at December 31, 2011 and expires on February 28, 2014. Under the swap agreement, the Company pays interest at a fixed rate of 1.25% and receives interest at 1-month LIBOR. A liability thereon of $179,535 at December 31, 2011, has been reported in the accompanying consolidated financial statements.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Any change in the fair value of the interest rate swaps is included in interest expense in accordance with generally accepted accounting principles.</w:t>
      </w:r>
    </w:p>
    <w:p>
      <w:pPr>
        <w:spacing w:after="0" w:line="125" w:lineRule="exact"/>
        <w:rPr>
          <w:sz w:val="20"/>
          <w:szCs w:val="20"/>
          <w:color w:val="auto"/>
        </w:rPr>
      </w:pPr>
    </w:p>
    <w:p>
      <w:pPr>
        <w:ind w:left="460" w:right="180"/>
        <w:spacing w:after="0" w:line="275" w:lineRule="auto"/>
        <w:rPr>
          <w:sz w:val="20"/>
          <w:szCs w:val="20"/>
          <w:color w:val="auto"/>
        </w:rPr>
      </w:pPr>
      <w:r>
        <w:rPr>
          <w:rFonts w:ascii="Arial" w:cs="Arial" w:eastAsia="Arial" w:hAnsi="Arial"/>
          <w:sz w:val="18"/>
          <w:szCs w:val="18"/>
          <w:b w:val="1"/>
          <w:bCs w:val="1"/>
          <w:color w:val="auto"/>
        </w:rPr>
        <w:t>The provisions of the lines of credit (see Note 6) and the long-term debt require the maintenance of certain financial ratios. The Company was in compliance with all covenants as of December 31, 2011.</w:t>
      </w:r>
    </w:p>
    <w:p>
      <w:pPr>
        <w:spacing w:after="0" w:line="24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w:t>
      </w:r>
    </w:p>
    <w:p>
      <w:pPr>
        <w:spacing w:after="0" w:line="90" w:lineRule="exact"/>
        <w:rPr>
          <w:rFonts w:ascii="Arial" w:cs="Arial" w:eastAsia="Arial" w:hAnsi="Arial"/>
          <w:sz w:val="18"/>
          <w:szCs w:val="18"/>
          <w:b w:val="1"/>
          <w:bCs w:val="1"/>
          <w:color w:val="auto"/>
        </w:rPr>
      </w:pPr>
    </w:p>
    <w:p>
      <w:pPr>
        <w:ind w:left="460" w:right="34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sponsors a 401(k) plan covering substantially all employees. Company contributions are made at management’s discretion. The Company contributed approximately $309,000 to the plan in 2011.</w:t>
      </w:r>
    </w:p>
    <w:p>
      <w:pPr>
        <w:spacing w:after="0" w:line="241" w:lineRule="exact"/>
        <w:rPr>
          <w:rFonts w:ascii="Arial" w:cs="Arial" w:eastAsia="Arial" w:hAnsi="Arial"/>
          <w:sz w:val="18"/>
          <w:szCs w:val="18"/>
          <w:b w:val="1"/>
          <w:bCs w:val="1"/>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commitments</w:t>
      </w:r>
    </w:p>
    <w:p>
      <w:pPr>
        <w:spacing w:after="0" w:line="90" w:lineRule="exact"/>
        <w:rPr>
          <w:rFonts w:ascii="Arial" w:cs="Arial" w:eastAsia="Arial" w:hAnsi="Arial"/>
          <w:sz w:val="18"/>
          <w:szCs w:val="18"/>
          <w:b w:val="1"/>
          <w:bCs w:val="1"/>
          <w:color w:val="auto"/>
        </w:rPr>
      </w:pPr>
    </w:p>
    <w:p>
      <w:pPr>
        <w:ind w:left="460" w:right="10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utilizes various office space and equipment under operating leases, the majority of which are with related parties. Rent expense under these leases amounted to approximately $2,287,000 in 2011. A summary of approximate future minimum payments under these leases as of December 31, 2011 is as follows:</w:t>
      </w:r>
    </w:p>
    <w:p>
      <w:pPr>
        <w:spacing w:after="0" w:line="17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4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2,098,000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2,088,000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2,088,000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Thereafter</w:t>
            </w:r>
          </w:p>
        </w:tc>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8,097,000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18,579,000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40" w:type="dxa"/>
            <w:vAlign w:val="bottom"/>
            <w:vMerge w:val="restart"/>
          </w:tcPr>
          <w:p>
            <w:pPr>
              <w:jc w:val="right"/>
              <w:ind w:right="2692"/>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7" w:name="page88"/>
    <w:bookmarkEnd w:id="8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52"/>
        <w:spacing w:after="0" w:line="275" w:lineRule="auto"/>
        <w:rPr>
          <w:sz w:val="20"/>
          <w:szCs w:val="20"/>
          <w:color w:val="auto"/>
        </w:rPr>
      </w:pPr>
      <w:r>
        <w:rPr>
          <w:rFonts w:ascii="Arial" w:cs="Arial" w:eastAsia="Arial" w:hAnsi="Arial"/>
          <w:sz w:val="18"/>
          <w:szCs w:val="18"/>
          <w:b w:val="1"/>
          <w:bCs w:val="1"/>
          <w:color w:val="auto"/>
        </w:rPr>
        <w:t>It is expected that in the normal course of business, leases that expire will be renewed or replaced by other leases; thus, it is anticipated that future lease payments will not be less than the commitments for 2012.</w:t>
      </w:r>
    </w:p>
    <w:p>
      <w:pPr>
        <w:spacing w:after="0" w:line="241" w:lineRule="exact"/>
        <w:rPr>
          <w:sz w:val="20"/>
          <w:szCs w:val="20"/>
          <w:color w:val="auto"/>
        </w:rPr>
      </w:pPr>
    </w:p>
    <w:p>
      <w:pPr>
        <w:ind w:left="452" w:right="9360" w:hanging="452"/>
        <w:spacing w:after="0" w:line="413" w:lineRule="auto"/>
        <w:tabs>
          <w:tab w:leader="none" w:pos="441"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Contingent liabilities </w:t>
      </w:r>
      <w:r>
        <w:rPr>
          <w:rFonts w:ascii="Arial" w:cs="Arial" w:eastAsia="Arial" w:hAnsi="Arial"/>
          <w:sz w:val="15"/>
          <w:szCs w:val="15"/>
          <w:b w:val="1"/>
          <w:bCs w:val="1"/>
          <w:i w:val="1"/>
          <w:iCs w:val="1"/>
          <w:color w:val="auto"/>
        </w:rPr>
        <w:t>General liability</w:t>
      </w:r>
    </w:p>
    <w:p>
      <w:pPr>
        <w:ind w:left="452" w:right="240"/>
        <w:spacing w:after="0" w:line="339" w:lineRule="auto"/>
        <w:rPr>
          <w:rFonts w:ascii="Arial" w:cs="Arial" w:eastAsia="Arial" w:hAnsi="Arial"/>
          <w:sz w:val="15"/>
          <w:szCs w:val="15"/>
          <w:b w:val="1"/>
          <w:bCs w:val="1"/>
          <w:color w:val="auto"/>
        </w:rPr>
      </w:pPr>
      <w:r>
        <w:rPr>
          <w:rFonts w:ascii="Arial" w:cs="Arial" w:eastAsia="Arial" w:hAnsi="Arial"/>
          <w:sz w:val="16"/>
          <w:szCs w:val="16"/>
          <w:b w:val="1"/>
          <w:bCs w:val="1"/>
          <w:color w:val="auto"/>
        </w:rPr>
        <w:t>The Company is subject to claims and lawsuits that arise primarily in the ordinary course of business. It is the opinion of management that the disposition or ultimate resolution of such claims and lawsuits will not have a material adverse effect on these financial statements.</w:t>
      </w:r>
    </w:p>
    <w:p>
      <w:pPr>
        <w:spacing w:after="0" w:line="161"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Healthcare Industry</w:t>
      </w:r>
    </w:p>
    <w:p>
      <w:pPr>
        <w:spacing w:after="0" w:line="84" w:lineRule="exact"/>
        <w:rPr>
          <w:rFonts w:ascii="Arial" w:cs="Arial" w:eastAsia="Arial" w:hAnsi="Arial"/>
          <w:sz w:val="15"/>
          <w:szCs w:val="15"/>
          <w:b w:val="1"/>
          <w:bCs w:val="1"/>
          <w:color w:val="auto"/>
        </w:rPr>
      </w:pPr>
    </w:p>
    <w:p>
      <w:pPr>
        <w:ind w:left="452" w:right="40"/>
        <w:spacing w:after="0" w:line="291" w:lineRule="auto"/>
        <w:rPr>
          <w:rFonts w:ascii="Arial" w:cs="Arial" w:eastAsia="Arial" w:hAnsi="Arial"/>
          <w:sz w:val="15"/>
          <w:szCs w:val="15"/>
          <w:b w:val="1"/>
          <w:bCs w:val="1"/>
          <w:color w:val="auto"/>
        </w:rPr>
      </w:pPr>
      <w:r>
        <w:rPr>
          <w:rFonts w:ascii="Arial" w:cs="Arial" w:eastAsia="Arial" w:hAnsi="Arial"/>
          <w:sz w:val="16"/>
          <w:szCs w:val="16"/>
          <w:b w:val="1"/>
          <w:bCs w:val="1"/>
          <w:color w:val="auto"/>
        </w:rPr>
        <w:t>The delivery of personal and health care services entails an inherent risk of liability. Participants in the health care services industry have become subject to an increasing number of lawsuits alleging negligence or related legal theories, many of which involve large claims and result in the incurrence of significant exposure and defense costs. The Company and its subsidiaries are insured with respect to medical malpractice risk on a claims-made basis. The Company also maintains insurance for general liability, director and officer liability and property. Certain policies are subject to deductibles. In addition to the insurance coverage provided, the Company indemnifies certain officers and directors for actions taken on behalf of the Company and its subsidiaries. Management is not aware of any claims against it or its subsidiaries which would have a material financial impact.</w:t>
      </w:r>
    </w:p>
    <w:p>
      <w:pPr>
        <w:spacing w:after="0" w:line="32" w:lineRule="exact"/>
        <w:rPr>
          <w:rFonts w:ascii="Arial" w:cs="Arial" w:eastAsia="Arial" w:hAnsi="Arial"/>
          <w:sz w:val="15"/>
          <w:szCs w:val="15"/>
          <w:b w:val="1"/>
          <w:bCs w:val="1"/>
          <w:color w:val="auto"/>
        </w:rPr>
      </w:pPr>
    </w:p>
    <w:p>
      <w:pPr>
        <w:ind w:left="452" w:right="40"/>
        <w:spacing w:after="0" w:line="291" w:lineRule="auto"/>
        <w:rPr>
          <w:rFonts w:ascii="Arial" w:cs="Arial" w:eastAsia="Arial" w:hAnsi="Arial"/>
          <w:sz w:val="15"/>
          <w:szCs w:val="15"/>
          <w:b w:val="1"/>
          <w:bCs w:val="1"/>
          <w:color w:val="auto"/>
        </w:rPr>
      </w:pPr>
      <w:r>
        <w:rPr>
          <w:rFonts w:ascii="Arial" w:cs="Arial" w:eastAsia="Arial" w:hAnsi="Arial"/>
          <w:sz w:val="16"/>
          <w:szCs w:val="16"/>
          <w:b w:val="1"/>
          <w:bCs w:val="1"/>
          <w:color w:val="auto"/>
        </w:rPr>
        <w:t>The health care industry is subject to numerous laws and regulations of federal, state and local governments. These laws and regulations include, but are not necessarily limited to, matters such as licensure, accreditation, government health care program participation requirements, reimbursement for patient services, and Medicare fraud and abuse. Recently, government activity has increased with respect to investigations and/or allegations concerning possible violations of fraud and abuse statutes and/or regulations by health care providers. Violations of these laws and regulations could result in expulsion from government health care programs together with the imposition of significant fines and penalties, as well as repayments for patient services previously billed. Management believes that the Company is in compliance with fraud and abuse statutes, as well as other applicable government laws and regulations.</w:t>
      </w:r>
    </w:p>
    <w:p>
      <w:pPr>
        <w:spacing w:after="0" w:line="10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26</w:t>
      </w:r>
    </w:p>
    <w:p>
      <w:pPr>
        <w:sectPr>
          <w:pgSz w:w="11900" w:h="16838" w:orient="portrait"/>
          <w:cols w:equalWidth="0" w:num="1">
            <w:col w:w="11372"/>
          </w:cols>
          <w:pgMar w:left="248" w:top="274" w:right="27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84"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b w:val="1"/>
          <w:bCs w:val="1"/>
          <w:color w:val="auto"/>
        </w:rPr>
        <w:t>In March 2010, Congress adopted comprehensive health care insurance legislation, the Patient Care Protection and Affordable Care Act and the Health Care and Education Reconciliation Act (“collectively, the “Health Care Reform Legislation”). The Health Care Reform Legislation, among other matters, is designed to expand access to health care coverage to substantially all citizens through a combination of public program expansion and private industry health insurance. Provisions of the Health Care Reform Legislation become effective at various dates over the next several years and a number of additional steps are required to implement these requirements. Due to the complexity of the Health Care Reform Legislation, reconciliation and implementation of the legislation continues to be under consideration by lawmakers, and it is not certain as to what changes may be made in the future regarding health care policies. Changes to existing Medicaid coverage and payments are also expected to occur as a result of this legislation. While the full impact of Health Care Reform Legislation is not yet fully known, changes to policies regarding reimbursement, universal health insurance and managed competition may materially impact the Company’s operations.</w:t>
      </w:r>
    </w:p>
    <w:p>
      <w:pPr>
        <w:spacing w:after="0" w:line="234"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Unit option plan</w:t>
      </w:r>
    </w:p>
    <w:p>
      <w:pPr>
        <w:spacing w:after="0" w:line="90"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has reserved 486,000 common units to be issued under the 2007 Option Plan (“the Plan”). The Plan is designed to promote the interest and long-term success of the Company by granting unit options to selected employees. The Plan is administered by a committee appointed by the Board of Directors (the “Committee”). Under the plan, the Committee has the sole discretion to grant unit options with exercise prices determined by the Committee at the time of grant but not less than the fair market value of the units at the date of grant. The unit option term and vesting period will be determined by the Committee at the date of grant. The unit options cannot be sold or transferred to any other party without consent of the Committee.</w:t>
      </w:r>
    </w:p>
    <w:p>
      <w:pPr>
        <w:spacing w:after="0" w:line="58" w:lineRule="exact"/>
        <w:rPr>
          <w:rFonts w:ascii="Arial" w:cs="Arial" w:eastAsia="Arial" w:hAnsi="Arial"/>
          <w:sz w:val="18"/>
          <w:szCs w:val="18"/>
          <w:b w:val="1"/>
          <w:bCs w:val="1"/>
          <w:color w:val="auto"/>
        </w:rPr>
      </w:pPr>
    </w:p>
    <w:p>
      <w:pPr>
        <w:ind w:left="460" w:right="18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At December 31, 2011, the weighted-average exercise price of the outstanding units was approximately $1.59. The Company used the Black-Scholes-Merton formula to estimate the calculated value of the unit-based payments. Using this method, management has determined that the applicable compensation expense is immaterial and, accordingly, has not been recorded in the accompanying consolidated financial statements. Management does not expect future compensation expense related to existing and future unit options to be material to the consolidated financial statements. A schedule of the option activity is as follows:</w:t>
      </w:r>
    </w:p>
    <w:p>
      <w:pPr>
        <w:spacing w:after="0" w:line="13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2010</w:t>
            </w:r>
          </w:p>
        </w:tc>
        <w:tc>
          <w:tcPr>
            <w:tcW w:w="40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420"/>
              <w:spacing w:after="0"/>
              <w:rPr>
                <w:sz w:val="20"/>
                <w:szCs w:val="20"/>
                <w:color w:val="auto"/>
              </w:rPr>
            </w:pPr>
            <w:r>
              <w:rPr>
                <w:rFonts w:ascii="Arial" w:cs="Arial" w:eastAsia="Arial" w:hAnsi="Arial"/>
                <w:sz w:val="18"/>
                <w:szCs w:val="18"/>
                <w:b w:val="1"/>
                <w:bCs w:val="1"/>
                <w:color w:val="auto"/>
              </w:rPr>
              <w:t>Granted</w:t>
            </w:r>
          </w:p>
        </w:tc>
        <w:tc>
          <w:tcPr>
            <w:tcW w:w="4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Exercised</w:t>
            </w:r>
          </w:p>
        </w:tc>
        <w:tc>
          <w:tcPr>
            <w:tcW w:w="4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ind w:left="420"/>
              <w:spacing w:after="0"/>
              <w:rPr>
                <w:sz w:val="20"/>
                <w:szCs w:val="20"/>
                <w:color w:val="auto"/>
              </w:rPr>
            </w:pPr>
            <w:r>
              <w:rPr>
                <w:rFonts w:ascii="Arial" w:cs="Arial" w:eastAsia="Arial" w:hAnsi="Arial"/>
                <w:sz w:val="18"/>
                <w:szCs w:val="18"/>
                <w:b w:val="1"/>
                <w:bCs w:val="1"/>
                <w:color w:val="auto"/>
              </w:rPr>
              <w:t>Forfeited</w:t>
            </w:r>
          </w:p>
        </w:tc>
        <w:tc>
          <w:tcPr>
            <w:tcW w:w="40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2011</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80" w:type="dxa"/>
            <w:vAlign w:val="bottom"/>
            <w:vMerge w:val="restart"/>
          </w:tcPr>
          <w:p>
            <w:pPr>
              <w:jc w:val="right"/>
              <w:ind w:right="2977"/>
              <w:spacing w:after="0"/>
              <w:rPr>
                <w:sz w:val="20"/>
                <w:szCs w:val="20"/>
                <w:color w:val="auto"/>
              </w:rPr>
            </w:pPr>
            <w:r>
              <w:rPr>
                <w:rFonts w:ascii="Arial" w:cs="Arial" w:eastAsia="Arial" w:hAnsi="Arial"/>
                <w:sz w:val="18"/>
                <w:szCs w:val="18"/>
                <w:b w:val="1"/>
                <w:bCs w:val="1"/>
                <w:color w:val="auto"/>
              </w:rPr>
              <w:t>27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9" w:name="page90"/>
    <w:bookmarkEnd w:id="8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AMICARE BEHAVIORAL CENTERS, LLC AND SUBSIDIARIES</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2011</w:t>
      </w:r>
    </w:p>
    <w:p>
      <w:pPr>
        <w:spacing w:after="0" w:line="158" w:lineRule="exact"/>
        <w:rPr>
          <w:sz w:val="20"/>
          <w:szCs w:val="20"/>
          <w:color w:val="auto"/>
        </w:rPr>
      </w:pPr>
    </w:p>
    <w:p>
      <w:pPr>
        <w:ind w:left="452" w:hanging="452"/>
        <w:spacing w:after="0"/>
        <w:tabs>
          <w:tab w:leader="none" w:pos="45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disclosures of cash flow statement information</w:t>
      </w:r>
    </w:p>
    <w:p>
      <w:pPr>
        <w:spacing w:after="0" w:line="226"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paid</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1,834,064</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52"/>
        <w:spacing w:after="0" w:line="275" w:lineRule="auto"/>
        <w:rPr>
          <w:sz w:val="20"/>
          <w:szCs w:val="20"/>
          <w:color w:val="auto"/>
        </w:rPr>
      </w:pPr>
      <w:r>
        <w:rPr>
          <w:rFonts w:ascii="Arial" w:cs="Arial" w:eastAsia="Arial" w:hAnsi="Arial"/>
          <w:sz w:val="18"/>
          <w:szCs w:val="18"/>
          <w:b w:val="1"/>
          <w:bCs w:val="1"/>
          <w:color w:val="auto"/>
        </w:rPr>
        <w:t>During 2011, certain assets and liabilities of the Company were distributed to certain members in exchange for 100% of their membership interest in the Company (see Note 1(b)).</w:t>
      </w:r>
    </w:p>
    <w:p>
      <w:pPr>
        <w:spacing w:after="0" w:line="3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During 2011, certain members contributed $700,000 to the Company by paying down outstanding long-term debt.</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b w:val="1"/>
          <w:bCs w:val="1"/>
          <w:color w:val="auto"/>
        </w:rPr>
        <w:t>During 2011, the Company recorded distributions to members in the amount of $155,841 related to the release of certain receivables.</w:t>
      </w:r>
    </w:p>
    <w:p>
      <w:pPr>
        <w:spacing w:after="0" w:line="316" w:lineRule="exact"/>
        <w:rPr>
          <w:sz w:val="20"/>
          <w:szCs w:val="20"/>
          <w:color w:val="auto"/>
        </w:rPr>
      </w:pPr>
    </w:p>
    <w:p>
      <w:pPr>
        <w:ind w:left="452" w:hanging="452"/>
        <w:spacing w:after="0"/>
        <w:tabs>
          <w:tab w:leader="none" w:pos="4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0" w:lineRule="exact"/>
        <w:rPr>
          <w:rFonts w:ascii="Arial" w:cs="Arial" w:eastAsia="Arial" w:hAnsi="Arial"/>
          <w:sz w:val="18"/>
          <w:szCs w:val="18"/>
          <w:b w:val="1"/>
          <w:bCs w:val="1"/>
          <w:color w:val="auto"/>
        </w:rPr>
      </w:pPr>
    </w:p>
    <w:p>
      <w:pPr>
        <w:ind w:left="452" w:right="20"/>
        <w:spacing w:after="0" w:line="320" w:lineRule="auto"/>
        <w:rPr>
          <w:rFonts w:ascii="Arial" w:cs="Arial" w:eastAsia="Arial" w:hAnsi="Arial"/>
          <w:sz w:val="18"/>
          <w:szCs w:val="18"/>
          <w:b w:val="1"/>
          <w:bCs w:val="1"/>
          <w:color w:val="auto"/>
        </w:rPr>
      </w:pPr>
      <w:r>
        <w:rPr>
          <w:rFonts w:ascii="Arial" w:cs="Arial" w:eastAsia="Arial" w:hAnsi="Arial"/>
          <w:sz w:val="15"/>
          <w:szCs w:val="15"/>
          <w:b w:val="1"/>
          <w:bCs w:val="1"/>
          <w:color w:val="auto"/>
        </w:rPr>
        <w:t>Generally accepted accounting principles require that all components of an entity that have been disposed of (by sale, by abandonment or in a distribution to owners) or are held for sale and whose cash flows can be clearly distinguished from the rest of the entity be presented as discontinued operations. The results of operations of certain facilities divested on August 1, 2011 as discussed in Note 1(b) were not segregated and reported as discontinued operations in the Company’s previously audited statement of operations, dated April 26, 2012. The operations of the divested facilities have been reported as discontinued operations in the accompanying consolidated financial statements as restated.</w:t>
      </w:r>
    </w:p>
    <w:p>
      <w:pPr>
        <w:spacing w:after="0" w:line="1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summary of results from discontinued operations is as follows:</w:t>
      </w:r>
    </w:p>
    <w:p>
      <w:pPr>
        <w:spacing w:after="0" w:line="226"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patient 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Net earnings from discontinued operations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90" w:lineRule="exact"/>
        <w:rPr>
          <w:rFonts w:ascii="Arial" w:cs="Arial" w:eastAsia="Arial" w:hAnsi="Arial"/>
          <w:sz w:val="18"/>
          <w:szCs w:val="18"/>
          <w:b w:val="1"/>
          <w:bCs w:val="1"/>
          <w:color w:val="auto"/>
        </w:rPr>
      </w:pPr>
    </w:p>
    <w:p>
      <w:pPr>
        <w:jc w:val="both"/>
        <w:ind w:left="452" w:right="38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On November 23, 2012, the members of the Company entered into an agreement with Acadia Healthcare Company, Inc. (“Acadia”) whereby Acadia will acquire all of the membership interests of the Company for approximately $113.0 million of cash consideration. The acquisition is expected to close by December 31, 2012.</w:t>
      </w:r>
    </w:p>
    <w:p>
      <w:pPr>
        <w:spacing w:after="0" w:line="51" w:lineRule="exact"/>
        <w:rPr>
          <w:rFonts w:ascii="Arial" w:cs="Arial" w:eastAsia="Arial" w:hAnsi="Arial"/>
          <w:sz w:val="18"/>
          <w:szCs w:val="18"/>
          <w:b w:val="1"/>
          <w:bCs w:val="1"/>
          <w:color w:val="auto"/>
        </w:rPr>
      </w:pPr>
    </w:p>
    <w:p>
      <w:pPr>
        <w:ind w:left="452" w:right="12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Certain reclassifications have been made to the accompanying consolidated financial statements in order for them to conform to the presentation of other financial statements of the Company included in a registration filing. These reclassifications had no effect on net earnings or members’ equity as previously reported.</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28</w:t>
      </w:r>
    </w:p>
    <w:p>
      <w:pPr>
        <w:sectPr>
          <w:pgSz w:w="11900" w:h="16838" w:orient="portrait"/>
          <w:cols w:equalWidth="0" w:num="1">
            <w:col w:w="11392"/>
          </w:cols>
          <w:pgMar w:left="248" w:top="274" w:right="2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99.4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Auditors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Acadia Healthcare Company, Inc.</w:t>
      </w:r>
    </w:p>
    <w:p>
      <w:pPr>
        <w:spacing w:after="0" w:line="16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have audited the accompanying combined balance sheets of Haven Hospital Holdings, LLC and Haven Hospital Holdings of Texas, LLC (the Entities) as of December 31, 2011 and 2010, and the related combined statements of income, members’ equity, and cash flows for the years then ended. These financial statements are the responsibility of the Entities’ management. Our responsibility is to express an opinion on these financial statements based on our audits.</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We were not engaged to perform an audit of the Entities’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Entities’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combined financial position of the Entities at December 31, 2011 and 2010, and the combined results of their operations and their cash flows for the years then ended in conformity with U.S. generally accepted accounting principles.</w:t>
      </w:r>
    </w:p>
    <w:p>
      <w:pPr>
        <w:spacing w:after="0" w:line="181"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April 26,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ind w:left="240"/>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Accounts receivable, less allowance for doubtful accounts of $906 in 2011 and $816 in 2010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323"/>
        </w:trPr>
        <w:tc>
          <w:tcPr>
            <w:tcW w:w="98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16,319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22,464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(4,882)</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17,582</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45,363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Accrued salaries and benefits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derivative financial instrument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Due to parent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19,791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22,271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30,131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financial instruments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Deferred income taxes liability</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25,008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32,795</w:t>
            </w:r>
          </w:p>
        </w:tc>
        <w:tc>
          <w:tcPr>
            <w:tcW w:w="0" w:type="dxa"/>
            <w:vAlign w:val="bottom"/>
          </w:tcPr>
          <w:p>
            <w:pPr>
              <w:spacing w:after="0"/>
              <w:rPr>
                <w:sz w:val="1"/>
                <w:szCs w:val="1"/>
                <w:color w:val="auto"/>
              </w:rPr>
            </w:pPr>
          </w:p>
        </w:tc>
      </w:tr>
      <w:tr>
        <w:trPr>
          <w:trHeight w:val="323"/>
        </w:trPr>
        <w:tc>
          <w:tcPr>
            <w:tcW w:w="98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units, $1 par value; authorized: 200 units; issued and outstanding 200 units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20,355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20,355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45,363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Income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33"/>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Patient service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41,983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Net patient service revenue</w:t>
            </w: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40,525</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39,929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revenue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41,990</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Salaries and wages</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18,913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1,374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Supplies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Rentals and leases</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Change in fair value of derivative financial instrument</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debt extinguishment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31,299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8"/>
              </w:rPr>
              <w:t>Common Units</w:t>
            </w:r>
          </w:p>
        </w:tc>
        <w:tc>
          <w:tcPr>
            <w:tcW w:w="32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Retained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Units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393"/>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6,932</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Change in fair value of derivative financial instrument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Due to/from parent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(11,426)</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20,849</w:t>
            </w: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(20,144)</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343</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252" w:lineRule="exact"/>
        <w:rPr>
          <w:sz w:val="20"/>
          <w:szCs w:val="20"/>
          <w:color w:val="auto"/>
        </w:rPr>
      </w:pPr>
    </w:p>
    <w:p>
      <w:pPr>
        <w:ind w:right="5520" w:firstLine="8"/>
        <w:spacing w:after="0" w:line="347" w:lineRule="auto"/>
        <w:tabs>
          <w:tab w:leader="none" w:pos="176"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Summary of Significant Accounting Policies Organization and Basis of Presentation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Haven Behavioral Healthcare Holdings, LLC was formed in June 2006 as a Delaware limited liability entity to acquire and hold 100% of the capital stock of Haven Behavioral Healthcare, Inc. and its affiliates (collectively “Haven” or “Parent”) and to acquire, develop and manage behavioral healthcare facilities. Haven Behavioral Healthcare, Inc. through its affiliates is the parent of, among other affiliates, Haven Hospital Holdings, LLC and Haven Hospital Holdings of Texas, LLC. Effective March 1, 2012, Haven sold all of the equity interests of the following (collectively referred to herein as the “Entities”) to Hermitage Behavioral, LLC, a subsidiary of Acadia Healthcare Company,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Haven Hospital Holdings,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Haven Hospital Holdings, LLC (Haven Holdings) owns the following companies:</w:t>
      </w:r>
    </w:p>
    <w:p>
      <w:pPr>
        <w:spacing w:after="0" w:line="90"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Haven Behavioral Services of Tucson, LLC (Sonora) operates a 56-bed acute behavioral facility in Tucson, Arizona providing inpatient behavioral health treatment services for children, adolescents and adults and intensive outpatient chemical dependency treatment services for adults.</w:t>
      </w:r>
    </w:p>
    <w:p>
      <w:pPr>
        <w:spacing w:after="0" w:line="4"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Haven Rolling Hills Hospital, Inc. (Rolling Hills) operates a 44-bed acute behavioral facility in Ada, Oklahoma providing inpatient behavioral health treatment services for adults.</w:t>
      </w:r>
    </w:p>
    <w:p>
      <w:pPr>
        <w:spacing w:after="0" w:line="51" w:lineRule="exact"/>
        <w:rPr>
          <w:sz w:val="20"/>
          <w:szCs w:val="20"/>
          <w:color w:val="auto"/>
        </w:rPr>
      </w:pPr>
    </w:p>
    <w:p>
      <w:pPr>
        <w:ind w:left="460" w:right="440"/>
        <w:spacing w:after="0" w:line="332" w:lineRule="auto"/>
        <w:rPr>
          <w:sz w:val="20"/>
          <w:szCs w:val="20"/>
          <w:color w:val="auto"/>
        </w:rPr>
      </w:pPr>
      <w:r>
        <w:rPr>
          <w:rFonts w:ascii="Arial" w:cs="Arial" w:eastAsia="Arial" w:hAnsi="Arial"/>
          <w:sz w:val="16"/>
          <w:szCs w:val="16"/>
          <w:color w:val="auto"/>
        </w:rPr>
        <w:t>Haven Rolling Hills Properties, Inc. (Rolling Hills Properties) is an entity established solely for the purpose of holding the property and equipment of Rolling Hills and the related debt issued under a U.S. Department of Housing and Urban Development financing program. Refer to Note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Haven Hospital Holdings of Texas, LLC</w:t>
      </w:r>
    </w:p>
    <w:p>
      <w:pPr>
        <w:spacing w:after="0" w:line="90"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Haven Hospital Holdings of Texas, LLC owns Haven Red River Hospital, LLC (Red River), which operates a 66-bed acute behavioral facility in Wichita Falls, Texas, providing inpatient and outpatient behavioral health treatment services for children, adolescents and adults.</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accompanying financial statements include the combined financial position and combined results of operations of the Entities. All significant intercompany balances and transactions have been eliminated in the preparation of the accompanying combined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all liquid investments with a maturity of three months or less when purchased.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judgments that affect the amounts reported in the financial statements and accompanying notes. On an ongoing basis, the Entities evaluate their estimates. The Entities base their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Related Allowance for Doubtful Accounts)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Entities report accounts receivable for services rendered at net realizable amounts from third-party payers, patients and others. Contractual adjustments are recorded at the time of billing and accrued on all unbilled accounts.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Entities provide an allowance for doubtful accounts based upon a review of outstanding receivables, historical collection information and existing economic conditions. As a service to the patient, the Entities bill third-party payers directly and bill the patient when the patient’s liability is determined. Patient accounts receivable are due in full when billed. Accounts are considered delinquent and subsequently written off to the allowance based on individual credit evaluation and specific circumstances of the account. Collection agencies are used to exhaust all collection efforts.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Entities’ allowance for doubtful accounts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Additions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Charged to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Accounts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Balances at</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Patient</w:t>
            </w:r>
          </w:p>
        </w:tc>
        <w:tc>
          <w:tcPr>
            <w:tcW w:w="32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Written Off,</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Service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Net of</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Balances at</w:t>
            </w:r>
          </w:p>
        </w:tc>
      </w:tr>
      <w:tr>
        <w:trPr>
          <w:trHeight w:val="161"/>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Period</w:t>
            </w: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320" w:type="dxa"/>
            <w:vAlign w:val="bottom"/>
          </w:tcPr>
          <w:p>
            <w:pPr>
              <w:spacing w:after="0"/>
              <w:rPr>
                <w:sz w:val="14"/>
                <w:szCs w:val="1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End of Period</w:t>
            </w: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1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Year ended December 31, 2011</w:t>
            </w:r>
          </w:p>
        </w:tc>
        <w:tc>
          <w:tcPr>
            <w:tcW w:w="15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1,368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ended December 31, 2010</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Inventories consist primarily of pharmaceuticals and supplies and are stated at the lower of cost or market. Inventory costs are determined using the first-in, first-out (FIFO) method. Inventories were $141 and $140 as of December 31, 2011 and 2010, respectively. These balances are included in other current assets in the accompanying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Property and equipment are stated at cost. Depreciation and amortization is computed by applying the straight-line method over the lesser of the estimated useful lives of the assets or lease terms. Routine maintenance and repairs are charged to expense as incurred. Expenditures that increase values, change capacities or extend useful lives are capitalized.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Goodwill represents the excess of costs over fair value of assets of businesses acquired. In accordance with Accounting Standard Codification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goodwill and intangible assets acquired in a purchase business combination and determined to have an indefinite useful life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amortized, but are subject to annual impairment tests. The Entities are one reporting unit for purposes of the impairment test. The fair value of the reporting unit is compared to its carrying amount on at least an annual basis to determine if there is potential impairment. If the fair value is less than carrying value, the fair value of the reporting unit is assigned to its respective assets and liabilities, including goodwill.</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 impairment charge is recorded if the implied fair value of goodwill is determined to be less than its carrying value. No goodwill impairments were recognized during the years ended December 31, 2011 and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Deferred financing costs relate solely to the term loan held by Red River. Financing costs related to the Red River term loan are deferred and amortized over the life of the related debt using the effective interest method.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Haven files a consolidated tax return as a “C” Corporation for all of its affiliates, including the Entities. Rolling Hills and Rolling Hills Properties are also “C” Corporations, while the remaining Entities are Limited Liability Companies (LLC), which are disregarded for tax purposes under the provisions of IRS Code and similar sections of applicable states’ income tax law.</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Deferred tax assets and liabilities are recognized for the tax effects of differences between the financial statement and tax bases of assets and liabilities. A valuation allowance is established to reduce deferred tax assets if it is more-likely-than-not that a deferred tax asset will not be realized. Haven follows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Only tax positions that meet the more-likely-than-not recognition threshold may be recognized. The final outcome of audits by federal and state taxing authorities may have a significant effect on the financial position and results of operations of the Entities. As a result, the Entities did not derecognize any previously recognized tax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Patient Service Revenue (and Related Allowance for Contractual Discounts)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Net patient service revenue is recorded on the accrual basis in the period in which services are provided. Net patient service revenue includes amounts estimated by management to be reimbursable by Medicare, Medicaid and other payers under provisions of cost or prospective reimbursement formulas in effect. Amounts received are generally less than the established billing rates and the differences (contractual discounts) are reported as deductions from gross charges to arrive at patient service revenue at the time the service is rendered. The effects of other arrangements for providing services at less than established rates, including certain self-pay discounts provided to uninsured patients, are reported as deductions from patient service revenue.</w:t>
      </w:r>
    </w:p>
    <w:p>
      <w:pPr>
        <w:spacing w:after="0" w:line="1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Revenue is recorded based upon the estimated amounts due from Medicare, Medicaid and other payers. The Entities estimate contractual discounts on a payer-specific basis based on their interpretation of the applicable regulations or contract terms and the historical collections of each payer. Changes in estimates related to contractual discounts affect patient service revenue reported in the Entities’ results of operations and are recorded in the period the change in estimate occurs.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5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Settlements under cost-based reimbursement agreements with third-party payers are estimated and recorded in the period in which the related services are rendered and are adjusted in future periods as final settlements are determined. Final determination of amounts earned under the Medicare, Medicaid and other third-party payer programs often occurs in subsequent years because of audits performed by the programs, rights of appeal, and the application of numerous technical provisions. Estimated amounts due from third-party payers were $326 and $196 at December 31, 2011 and 2010, respectively, and are included in accounts receivable in the accompanying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Entities’ patient service revenue by payor type as a percentage of total patient service revenue for the years ended December 31 is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Medicare</w:t>
            </w: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Medicaid</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governmental programs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Self-pay</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Managed care and other insurers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Total patient service revenue</w:t>
            </w: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100%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r>
      <w:tr>
        <w:trPr>
          <w:trHeight w:val="20"/>
        </w:trPr>
        <w:tc>
          <w:tcPr>
            <w:tcW w:w="7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Final determination of amounts earned under prospective payment and cost-based reimbursement activities is subject to review by appropriate governmental authorities or their agents. Net patient service revenue derived under the Medicare and Medicaid programs for which reimbursement is generally less than the Entities’ established rates was approximately 47% of net patient revenue for the years ended December 31, 2011 and 2010. Laws and regulations governing the Medicare and Medicaid programs are complex and subject to interpretation.</w:t>
      </w:r>
    </w:p>
    <w:p>
      <w:pPr>
        <w:spacing w:after="0" w:line="1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Entities provide care without charge to patients who are financially unable to pay for the healthcare services they receive based on the Entities’ charity care program. The costs of providing charity care services were $34 and $33 for the years ended December 31, 2011 and 2010,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revenue is comprised primarily of revenue for management services provided by Sonora to a certain not-for-profit corporation which has a contract with the Community Partnership of Southern Arizona, the Regional Behavioral Health Authority, to operate an adolescent crisis stabilization and respite unit in Tucson, Arizona.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During 2010, the Financial Accounting Standards Board (FASB) issued Accounting Standards Update (ASU) 2010-24, </w:t>
      </w:r>
      <w:r>
        <w:rPr>
          <w:rFonts w:ascii="Arial" w:cs="Arial" w:eastAsia="Arial" w:hAnsi="Arial"/>
          <w:sz w:val="16"/>
          <w:szCs w:val="16"/>
          <w:i w:val="1"/>
          <w:iCs w:val="1"/>
          <w:color w:val="auto"/>
        </w:rPr>
        <w:t>Health Care Entities: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Insurance Claims and Recoveries, </w:t>
      </w:r>
      <w:r>
        <w:rPr>
          <w:rFonts w:ascii="Arial" w:cs="Arial" w:eastAsia="Arial" w:hAnsi="Arial"/>
          <w:sz w:val="16"/>
          <w:szCs w:val="16"/>
          <w:color w:val="auto"/>
        </w:rPr>
        <w:t>which provides clarification to companies in the healthcare industry on the accounting for professional liability insurance. ASU</w:t>
      </w:r>
      <w:r>
        <w:rPr>
          <w:rFonts w:ascii="Arial" w:cs="Arial" w:eastAsia="Arial" w:hAnsi="Arial"/>
          <w:sz w:val="16"/>
          <w:szCs w:val="16"/>
          <w:i w:val="1"/>
          <w:iCs w:val="1"/>
          <w:color w:val="auto"/>
        </w:rPr>
        <w:t xml:space="preserve"> </w:t>
      </w:r>
      <w:r>
        <w:rPr>
          <w:rFonts w:ascii="Arial" w:cs="Arial" w:eastAsia="Arial" w:hAnsi="Arial"/>
          <w:sz w:val="16"/>
          <w:szCs w:val="16"/>
          <w:color w:val="auto"/>
        </w:rPr>
        <w:t>2010-24 states that insurance liabilities should not be presented net of insurance recoveries and that an insurance receivable should be recognized on the same basis as the liabilities, subject to the need for a valuation allowance for uncollectible accounts. ASU 2010-24 is effective for fiscal years beginning after December 15, 2010 and was adopted by the Entities’ on January 1, 2011. The adoption of this standard had no impact on the Entities’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During 2010, the FASB issued ASU No. 2010-23, </w:t>
      </w:r>
      <w:r>
        <w:rPr>
          <w:rFonts w:ascii="Arial" w:cs="Arial" w:eastAsia="Arial" w:hAnsi="Arial"/>
          <w:sz w:val="18"/>
          <w:szCs w:val="18"/>
          <w:i w:val="1"/>
          <w:iCs w:val="1"/>
          <w:color w:val="auto"/>
        </w:rPr>
        <w:t>Health Care Entities: Measuring Charity Care for Disclosure</w:t>
      </w:r>
      <w:r>
        <w:rPr>
          <w:rFonts w:ascii="Arial" w:cs="Arial" w:eastAsia="Arial" w:hAnsi="Arial"/>
          <w:sz w:val="18"/>
          <w:szCs w:val="18"/>
          <w:color w:val="auto"/>
        </w:rPr>
        <w:t>, which standardizes cost as the basis for charity care disclosures. The Entities estimate their cost of care provided under its charity care program utilizing a ratio of cost to gross charges multiplied by the gross charity care charges. The ratio of cost to gross charges is based on total operating expenses for the Entities divided by gross patient revenue. Previously the Entities reported their estimates of services provided under their charity care programs based on gross charges. The adoption of ASU 2010-23 had no impact on the Entities’ financial statements.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During 2011, the FASB issued ASU No. 2011-08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(Topic 350):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(ASU 2011-08).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as described in Topic 350. If, after assessing the totality of events or circumstances, an entity determines it is more likely than not that the fair value of a reporting unit is less than its carrying amount, then performing the two-step goodwill impairment test is unnecessary. In accordance with ASU 2011-08, an entity has the option to bypass the qualitative assessment for any reporting unit in any period and proceed directly to performing the first step of the two-step goodwill impairment test. Additionally, ASU 2011-08 permits an entity to resume performing the qualitative assessment in any subsequent period. ASU 2011-08 is effective for annual goodwill impairment tests performed for fiscal years beginning after December 15, 2011, with early adoption permitted. The Entities have not adopted the provisions of ASU 2011-08 as of December 31, 2011. The adoption is not expected to have an impact to the Entities’ financial statements.</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During 2011, the Entities adopted the provisions of ASU No. 2011-07 </w:t>
      </w:r>
      <w:r>
        <w:rPr>
          <w:rFonts w:ascii="Arial" w:cs="Arial" w:eastAsia="Arial" w:hAnsi="Arial"/>
          <w:sz w:val="16"/>
          <w:szCs w:val="16"/>
          <w:i w:val="1"/>
          <w:iCs w:val="1"/>
          <w:color w:val="auto"/>
        </w:rPr>
        <w:t>Presentation and Disclosure of Patient Service Revenue, Provision for Bad Debts, and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Allowance for Doubtful Accounts for Certain Health Care Entities </w:t>
      </w:r>
      <w:r>
        <w:rPr>
          <w:rFonts w:ascii="Arial" w:cs="Arial" w:eastAsia="Arial" w:hAnsi="Arial"/>
          <w:sz w:val="16"/>
          <w:szCs w:val="16"/>
          <w:color w:val="auto"/>
        </w:rPr>
        <w:t>(ASU 2011-07). ASU 2011-07 requires health care entities to change the presentation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by reclassifying the provision for doubtful accounts related to patient service revenue from an operating expense to a deduction from patient service revenue. ASU 2011-07 is required to be applied retrospectively effective for non-public entities for fiscal years ending after December 15, 2012, with early adoption permitted. The Entities have adopted the provisions of 2011-07.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Long-Term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Haven 2010 Credit Agreements</w:t>
      </w:r>
    </w:p>
    <w:p>
      <w:pPr>
        <w:spacing w:after="0" w:line="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2010, Haven entered into a new senior secured credit agreement (“2010 Senior Credit Agreement”) and second lien credit agreement (“2010 Second Lien Credit Agreement”). The credit facilities are secured by substantially all assets of Haven. Haven used a majority of the proceeds to pay off its existing debt. In connection with the 2010 Senior Credit Agreement and 2010 Second Lien Credit Agreement, $272 of unamortized deferred financing costs from the Entities’ previous existing credit agreements were written off and recorded as loss on debt extinguishment in the accompanying combined income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Credit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previous credit agreements, which were paid in full on October 12, 2010, included the following:</w:t>
      </w:r>
    </w:p>
    <w:p>
      <w:pPr>
        <w:spacing w:after="0" w:line="90" w:lineRule="exact"/>
        <w:rPr>
          <w:sz w:val="20"/>
          <w:szCs w:val="20"/>
          <w:color w:val="auto"/>
        </w:rPr>
      </w:pPr>
    </w:p>
    <w:p>
      <w:pPr>
        <w:ind w:left="900" w:right="200" w:hanging="325"/>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First lien note payable on Haven Holdings; principal payable in monthly installments of $15; interest payable in monthly installments based on the Eurodollar Rate plus 3.75%.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51" w:lineRule="exact"/>
        <w:rPr>
          <w:sz w:val="20"/>
          <w:szCs w:val="20"/>
          <w:color w:val="auto"/>
        </w:rPr>
      </w:pPr>
    </w:p>
    <w:p>
      <w:pPr>
        <w:ind w:left="900" w:hanging="325"/>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First lien mortgage payable on Rolling Hills Properties; principal payable in monthly installments of $32, including interest at 6.85%.</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First lien note payable on Red River; principal payable in monthly installments ranging from $26 to $45 with a balloon payment of $10,500 due June 2012; interest payable in monthly installments based on Adjusted LIBOR plus a margin of indebtedness to EBITDA as defined in the respective agreement.</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Revolving line of credit in the amount of $4,000 collateralized by substantially all assets of Haven Holdings; interest payable in monthly installments based on the Eurodollar Rate plus 3.75%.</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Haven and its affiliates periodically enter into interest rate swap agreements to manage their exposure to the risk of changes in future cash flows due to interest rate fluctuations. During 2009, Red River entered into an interest rate swap agreement for a notional amount of $12,000. Under the terms of the agreement, Red River receives a floating interest rate equal to one month LIBOR and pays a fixed interest rate of 3.09%.</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interest rate swap agreement is recorded at fair value and was deemed ineffective. Accordingly, changes in fair value are included in net income in the financial statements. The fair value of the Red River swap agreement was a liability of $194 and $470 at December 31, 2011 and 2010, respectively. The changes in the fair value of the swap agreement were $276 of income and $41 of expense for the years ended December 31, 2011 and 2010,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swap agreement was terminated effective February 24, 2012. Refer to Note 10 for further discussion.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Members’ Equity</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Haven Hospital Holdings, LLC and Haven Hospital Holdings of Texas, LLC each had 100 common units outstanding at December 31, 2011 and 2010. The holders of the units are entitled to one vote per unit on all matters to be voted on by the members.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Entities’ effective income tax rate differs from the statutory federal income tax rate of 34% primarily as a result of state income taxes, nondeductible expenses and amortization of goodwill for income taxes.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related to deferred taxes shown on the balance sheet 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Charitable donations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Accrued compensated absences and bonuses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3"/>
              </w:rPr>
              <w:t>Change in fair value of interest rate swap agreements</w:t>
            </w:r>
          </w:p>
        </w:tc>
        <w:tc>
          <w:tcPr>
            <w:tcW w:w="34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r>
      <w:tr>
        <w:trPr>
          <w:trHeight w:val="221"/>
        </w:trPr>
        <w:tc>
          <w:tcPr>
            <w:tcW w:w="4000" w:type="dxa"/>
            <w:vAlign w:val="bottom"/>
          </w:tcPr>
          <w:p>
            <w:pPr>
              <w:spacing w:after="0"/>
              <w:rPr>
                <w:sz w:val="19"/>
                <w:szCs w:val="19"/>
                <w:color w:val="auto"/>
              </w:rPr>
            </w:pP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r>
      <w:tr>
        <w:trPr>
          <w:trHeight w:val="365"/>
        </w:trPr>
        <w:tc>
          <w:tcPr>
            <w:tcW w:w="4000" w:type="dxa"/>
            <w:vAlign w:val="bottom"/>
          </w:tcPr>
          <w:p>
            <w:pPr>
              <w:spacing w:after="0"/>
              <w:rPr>
                <w:sz w:val="24"/>
                <w:szCs w:val="24"/>
                <w:color w:val="auto"/>
              </w:rPr>
            </w:pPr>
          </w:p>
        </w:tc>
        <w:tc>
          <w:tcPr>
            <w:tcW w:w="3440" w:type="dxa"/>
            <w:vAlign w:val="bottom"/>
          </w:tcPr>
          <w:p>
            <w:pPr>
              <w:jc w:val="right"/>
              <w:ind w:right="2936"/>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Depreciation</w:t>
            </w:r>
          </w:p>
        </w:tc>
        <w:tc>
          <w:tcPr>
            <w:tcW w:w="500" w:type="dxa"/>
            <w:vAlign w:val="bottom"/>
          </w:tcPr>
          <w:p>
            <w:pPr>
              <w:jc w:val="right"/>
              <w:spacing w:after="0"/>
              <w:rPr>
                <w:sz w:val="20"/>
                <w:szCs w:val="20"/>
                <w:color w:val="auto"/>
              </w:rPr>
            </w:pPr>
            <w:r>
              <w:rPr>
                <w:rFonts w:ascii="Arial" w:cs="Arial" w:eastAsia="Arial" w:hAnsi="Arial"/>
                <w:sz w:val="18"/>
                <w:szCs w:val="18"/>
                <w:color w:val="auto"/>
              </w:rPr>
              <w:t>971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1,672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481(a) Adjustment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Non accrual experience method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18"/>
                <w:szCs w:val="18"/>
                <w:color w:val="auto"/>
              </w:rPr>
            </w:pPr>
          </w:p>
        </w:tc>
      </w:tr>
      <w:tr>
        <w:trPr>
          <w:trHeight w:val="323"/>
        </w:trPr>
        <w:tc>
          <w:tcPr>
            <w:tcW w:w="1002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1,954</w:t>
            </w:r>
          </w:p>
        </w:tc>
        <w:tc>
          <w:tcPr>
            <w:tcW w:w="30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1,376</w:t>
            </w:r>
          </w:p>
        </w:tc>
        <w:tc>
          <w:tcPr>
            <w:tcW w:w="100" w:type="dxa"/>
            <w:vAlign w:val="bottom"/>
          </w:tcPr>
          <w:p>
            <w:pPr>
              <w:spacing w:after="0"/>
              <w:rPr>
                <w:sz w:val="24"/>
                <w:szCs w:val="24"/>
                <w:color w:val="auto"/>
              </w:rPr>
            </w:pPr>
          </w:p>
        </w:tc>
      </w:tr>
      <w:tr>
        <w:trPr>
          <w:trHeight w:val="20"/>
        </w:trPr>
        <w:tc>
          <w:tcPr>
            <w:tcW w:w="10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In assessing the realizability of deferred tax assets, management considers whether it is more-likely-than-not that some portion or all of the deferred tax assets will be realized. The ultimate realization of deferred tax assets is dependent upon the generation of future taxable income during the periods in which those temporary differences become deductible. Management considers the positive and negative evidence from all sources including historical operating results, prudent and feasible tax planning strategies and projections of future taxable income.</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Haven and its affiliates are currently under federal tax examination for 2009. The Entities are no longer subject to federal, state or local income tax examinations by taxing authorities before 2006.</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Entities will recognize the impact of a tax position in the financial statements if that position is more likely than not of being sustained on audit based on the technical merits of the position. As of December 31, 2011, the Entities had no unrecognized tax benefits. Penalties and interest are recorded to income tax expense; however, the Entities have no amounts recorded.</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Entities are jointly and severally liable with Parent for U.S. income taxes. Taxes that are determined on a combined basis are presented as though the reporting group filed on a separate basis. Taxes have been allocated to both corporations and LLCs in the reporting group. Amounts due to Parent using this basis were $9.0 million and $5.6 million at December 31, 2011 and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Employee Retirement Plan/Profit-sharing Plan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Haven sponsors a defined contribution plan that provides for discretionary employer contributions and for optional employee contributions. All employees who meet minimum age and service requirements are eligible to participate in the plan. The plan contains provisions for employer matches of employee contributions up to certain rates of employee contributions. There were no employer contributions made during the years ended December 31, 2011 and 2010.</w:t>
      </w:r>
    </w:p>
    <w:p>
      <w:pPr>
        <w:spacing w:after="0" w:line="182" w:lineRule="exact"/>
        <w:rPr>
          <w:sz w:val="20"/>
          <w:szCs w:val="20"/>
          <w:color w:val="auto"/>
        </w:rPr>
      </w:pPr>
    </w:p>
    <w:p>
      <w:pPr>
        <w:ind w:right="8740" w:firstLine="8"/>
        <w:spacing w:after="0" w:line="347" w:lineRule="auto"/>
        <w:tabs>
          <w:tab w:leader="none" w:pos="176"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Contingencies</w:t>
      </w:r>
    </w:p>
    <w:p>
      <w:pPr>
        <w:spacing w:after="0" w:line="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Entities are presently, and from time to time, subject to various claims and lawsuits arising in the normal course of business. In the opinion of the Entities’ management, the ultimate resolution of known matters will not have a material adverse effect on the Entities’ financial position or results of operations.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Regulations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Laws and regulations governing the Medicare and Medicaid and other federal health care programs are complex and subject to interpretation. The Entities’ management believes that the Entities are in compliance with all applicable laws and regulations in all material respects and is not aware of any pending or threatened investigations involving allegations of potential wrongdoing. While no such regulatory inquiries have been made, compliance with such laws and regulations can be subject to future government review and interpretation as well as significant regulatory action including fines, penalties and exclusion from the Medicare, Medicaid and other federal health care programs.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 Coverage and Claims – Deferred Risk Liability</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Haven maintains claims-made commercial insurance related to professional liability risks for its affiliates. Under such policy, only claims made and reported to the insurer are covered during the policy term, regardless of when the incident giving rise to the claim occurred. The Entities are not aware of any unasserted claims or unreported incidents which are expected to exceed malpractice insurance coverage limits as of December 31,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Entities acquired businesses with prior operating histories. Acquired companies may have unknown or contingent liabilities, including liabilities for failure to comply with health care laws and regulations, such as billing and reimbursement, fraud and abuse and anti-kickback laws. Although the Entities institute policies designed to conform practices to its standards following completion of acquisitions, there can be no assurance that the Entities will not become liable for the past activities of these acquired facilities that may later be asserted to be improper by private plaintiffs or government agencies. Although the Entities generally seek to obtain indemnification from prospective sellers covering such matters, there can be no assurance that any such matter will be covered by indemnification, or if covered, that such indemnification will be adequate to cover potential losses and fines.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Conditions</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current protracted economic decline continues to present healthcare organizations with difficult circumstances and challenges, which in some cases have resulted in declines in volume of business and constraints on liquidity and difficulty obtaining financing. The financial statements have been prepared using values and information currently available to the Entities.</w:t>
      </w:r>
    </w:p>
    <w:p>
      <w:pPr>
        <w:spacing w:after="0" w:line="14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Some of the Entities’ patients are covered by government sponsored Medicare, Medicaid or other governmental programs. The effect of the current economic conditions on government budgets may have an adverse effect on the cash flow from these programs. Further, economic conditions have made it difficult for certain of the Entities’ patients to pay for services rendered. As employers make adjustments to health insurance plans, services provided to self-pay and other payers may significantly impact net patient service revenue, which could have an adverse impact on the Entities’ future operating results.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given the current protracted economic conditions, the value of assets and liabilities recorded in the financial statements could change rapidly, resulting in material future adjustments in allowances for accounts receivables, realization of deferred tax assets and valuation of goodwill that could negatively impact the Entities’ future financial position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Noncancellable operating leases for equipment expire in various years through 2014. Future minimum lease payments at December 31, 2011, were:</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300" w:type="dxa"/>
            <w:vAlign w:val="bottom"/>
            <w:shd w:val="clear" w:color="auto" w:fill="CCEEFF"/>
          </w:tcPr>
          <w:p>
            <w:pPr>
              <w:jc w:val="right"/>
              <w:ind w:right="6872"/>
              <w:spacing w:after="0"/>
              <w:rPr>
                <w:sz w:val="20"/>
                <w:szCs w:val="20"/>
                <w:color w:val="auto"/>
              </w:rPr>
            </w:pPr>
            <w:r>
              <w:rPr>
                <w:rFonts w:ascii="Arial" w:cs="Arial" w:eastAsia="Arial" w:hAnsi="Arial"/>
                <w:sz w:val="18"/>
                <w:szCs w:val="18"/>
                <w:color w:val="auto"/>
                <w:w w:val="79"/>
              </w:rPr>
              <w:t>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jc w:val="right"/>
              <w:ind w:right="6872"/>
              <w:spacing w:after="0"/>
              <w:rPr>
                <w:sz w:val="20"/>
                <w:szCs w:val="20"/>
                <w:color w:val="auto"/>
              </w:rPr>
            </w:pPr>
            <w:r>
              <w:rPr>
                <w:rFonts w:ascii="Arial" w:cs="Arial" w:eastAsia="Arial" w:hAnsi="Arial"/>
                <w:sz w:val="18"/>
                <w:szCs w:val="18"/>
                <w:color w:val="auto"/>
                <w:w w:val="79"/>
              </w:rPr>
              <w:t>2013</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jc w:val="right"/>
              <w:ind w:right="6872"/>
              <w:spacing w:after="0"/>
              <w:rPr>
                <w:sz w:val="20"/>
                <w:szCs w:val="20"/>
                <w:color w:val="auto"/>
              </w:rPr>
            </w:pPr>
            <w:r>
              <w:rPr>
                <w:rFonts w:ascii="Arial" w:cs="Arial" w:eastAsia="Arial" w:hAnsi="Arial"/>
                <w:sz w:val="18"/>
                <w:szCs w:val="18"/>
                <w:color w:val="auto"/>
                <w:w w:val="79"/>
              </w:rPr>
              <w:t>2014</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22"/>
        </w:trPr>
        <w:tc>
          <w:tcPr>
            <w:tcW w:w="7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the operating leases was $171 and $159 for the years ended December 31, 2011 and 2010,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defines fair value as the price that would be received to sell an asset or paid to transfer a liability in an orderly transaction between market participants at the measurement date. Topic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83" w:lineRule="exact"/>
        <w:rPr>
          <w:sz w:val="20"/>
          <w:szCs w:val="20"/>
          <w:color w:val="auto"/>
        </w:rPr>
      </w:pPr>
    </w:p>
    <w:p>
      <w:pPr>
        <w:ind w:left="240"/>
        <w:spacing w:after="0"/>
        <w:tabs>
          <w:tab w:leader="none" w:pos="120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17" w:lineRule="exact"/>
        <w:rPr>
          <w:sz w:val="20"/>
          <w:szCs w:val="20"/>
          <w:color w:val="auto"/>
        </w:rPr>
      </w:pPr>
    </w:p>
    <w:p>
      <w:pPr>
        <w:ind w:left="1220" w:right="240" w:hanging="985"/>
        <w:spacing w:after="0" w:line="370" w:lineRule="auto"/>
        <w:tabs>
          <w:tab w:leader="none" w:pos="120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5"/>
          <w:szCs w:val="15"/>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 w:lineRule="exact"/>
        <w:rPr>
          <w:sz w:val="20"/>
          <w:szCs w:val="20"/>
          <w:color w:val="auto"/>
        </w:rPr>
      </w:pPr>
    </w:p>
    <w:p>
      <w:pPr>
        <w:ind w:left="240"/>
        <w:spacing w:after="0"/>
        <w:tabs>
          <w:tab w:leader="none" w:pos="120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Following is a description of the inputs and valuation methodologies used for liabilities measured at fair value on a recurring basis and recognized in the accompanying balance sheets, as well as the general classification of such liabilities pursuant to the valuation hierarchy. As of December 31, 2011 and 2010, the only liability measured at fair value on a recurring basis in the accompanying balance sheets is the interest rate swap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the interest rate swap agreement is estimated using forward-looking interest rate curves and discounted cash flows that are observable or that can be corroborated by observable market data and, therefore, are classified within Level 2 of the valuation hierarchy.</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presents the fair value measurements of liabilities recognized in the accompanying balance sheets measured at fair value on a recurring basis and the level within the ASC Topic 820 fair value hierarchy in which the fair value measurements fall: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Fair Value Measurements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2"/>
              </w:rPr>
              <w:t>In Active</w:t>
            </w:r>
          </w:p>
        </w:tc>
        <w:tc>
          <w:tcPr>
            <w:tcW w:w="66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4"/>
              </w:rPr>
              <w:t>Markets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66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78"/>
              </w:rPr>
              <w:t>Assets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5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700" w:type="dxa"/>
            <w:vAlign w:val="bottom"/>
          </w:tcPr>
          <w:p>
            <w:pPr>
              <w:jc w:val="center"/>
              <w:ind w:right="46"/>
              <w:spacing w:after="0"/>
              <w:rPr>
                <w:sz w:val="20"/>
                <w:szCs w:val="20"/>
                <w:color w:val="auto"/>
              </w:rPr>
            </w:pPr>
            <w:r>
              <w:rPr>
                <w:rFonts w:ascii="Arial" w:cs="Arial" w:eastAsia="Arial" w:hAnsi="Arial"/>
                <w:sz w:val="14"/>
                <w:szCs w:val="14"/>
                <w:b w:val="1"/>
                <w:bCs w:val="1"/>
                <w:color w:val="auto"/>
                <w:w w:val="87"/>
              </w:rPr>
              <w:t>(Level 1)</w:t>
            </w:r>
          </w:p>
        </w:tc>
        <w:tc>
          <w:tcPr>
            <w:tcW w:w="66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2011:</w:t>
            </w: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rate swap agreement liability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6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rate swap agreement liability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470</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6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swap agreement was terminated on February 24, 2012. Refer to Note 10 for further discussion.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carrying amounts of cash and cash equivalents, accounts receivable, accounts payable and accrued liabilities approximate fair value because of the short-term nature of these items.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2011 and 2010, Haven provided patient financial services to Rolling Hills and Sonora. Costs of providing patient financial services allocated to Rolling Hills and Sonora were $202 and $199 for the years ending December 31, 2011 and 2010, respectively. In addition, Haven maintains a centralized cash processing system. Amounts reported as due to related parties represent the extent that acquisition costs, capital expenditures, debt extinguishment and operating expenses paid by Haven exceed the cash receipts received by Haven from the Entities. Any outstanding amounts due to Haven were forgiven in connection with the sale of the Entities effective March 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through April 26, 2012, which is the date the financial statements were available for issuance.</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January 17, 2012, the Centers for Medicare and Medicaid Services (CMS) approved the State of Oklahoma’s Supplemental Hospital Offset Payment Program (SHOPP) with an effective date of July 1, 2011. The legislation related to the SHOPP Program was signed into law by the Governor of Oklahoma on May 13, 2011, but subject to approval by CMS. The SHOPP program allows for the establishment of a hospital provider fee assessment on all non-exempt Oklahoma hospitals. Revenues from this assessment will be used to maintain hospital reimbursement from the Oklahoma SoonerCare Medicaid program and secure additional matching Medicaid funds from the federal government. Rolling Hills Hospital was assessed $247 for the program fiscal year ending June 30, 2012 and expects to receive $467 in supplemental revenues, resulting in $220 of additional net income from continuing operations before income taxes. Rolling Hills Hospital did not record any revenue or expense associated with the period of July 1, 2011 through December 31, 2011 in the accompanying financial statements for the year ended December 31, 2011 because CMS did not approve SHOPP until January 17, 2012. This approval was necessary to meet the revenue recognition criterion that persuasive evidence of an arrangement exists. SHOPP assessment expenses and supplemental revenue related to July 1, 2011 through December 31, 2011 totaled $123 and $233, respectively, resulting in $110 of additional net income from continuing operations before income taxes, and will be recorded in the first quarter of 2012.</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05" w:name="page106"/>
    <w:bookmarkEnd w:id="10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Haven Hospital Holdings, LLC and Haven Hospital Holdings of Texas, LLC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Effective February 24, 2012, Red River terminated its interest rate swap agreement. The termination of the agreement resulted in a payment of $144 to the counterparty.</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Effective March 1, 2012, Haven sold all equity interests of the Entities for approximately $91,000 subject to a working capital settlement. Any liabilities incurred prior to the sale related to professional and general liability claims and workers’ compensation claims were retained by Haven.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3"/>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Exhibit 99.5</w:t>
            </w:r>
          </w:p>
        </w:tc>
        <w:tc>
          <w:tcPr>
            <w:tcW w:w="0" w:type="dxa"/>
            <w:vAlign w:val="bottom"/>
          </w:tcPr>
          <w:p>
            <w:pPr>
              <w:spacing w:after="0"/>
              <w:rPr>
                <w:sz w:val="1"/>
                <w:szCs w:val="1"/>
                <w:color w:val="auto"/>
              </w:rPr>
            </w:pPr>
          </w:p>
        </w:tc>
      </w:tr>
      <w:tr>
        <w:trPr>
          <w:trHeight w:val="365"/>
        </w:trPr>
        <w:tc>
          <w:tcPr>
            <w:tcW w:w="10320" w:type="dxa"/>
            <w:vAlign w:val="bottom"/>
            <w:gridSpan w:val="4"/>
          </w:tcPr>
          <w:p>
            <w:pPr>
              <w:ind w:left="2800"/>
              <w:spacing w:after="0"/>
              <w:rPr>
                <w:sz w:val="20"/>
                <w:szCs w:val="20"/>
                <w:color w:val="auto"/>
              </w:rPr>
            </w:pPr>
            <w:r>
              <w:rPr>
                <w:rFonts w:ascii="Arial" w:cs="Arial" w:eastAsia="Arial" w:hAnsi="Arial"/>
                <w:sz w:val="18"/>
                <w:szCs w:val="18"/>
                <w:b w:val="1"/>
                <w:bCs w:val="1"/>
                <w:color w:val="auto"/>
              </w:rPr>
              <w:t>YOUTH AND FAMILY CENTERED SERVICES, INC. AND SUBSIDIARIES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80" w:type="dxa"/>
            <w:vAlign w:val="bottom"/>
          </w:tcPr>
          <w:p>
            <w:pPr>
              <w:ind w:left="4480"/>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280" w:type="dxa"/>
            <w:vAlign w:val="bottom"/>
          </w:tcPr>
          <w:p>
            <w:pPr>
              <w:spacing w:after="0"/>
              <w:rPr>
                <w:sz w:val="24"/>
                <w:szCs w:val="2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MARCH 31,</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2011</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75"/>
              <w:spacing w:after="0" w:line="125" w:lineRule="exact"/>
              <w:rPr>
                <w:sz w:val="20"/>
                <w:szCs w:val="20"/>
                <w:color w:val="auto"/>
              </w:rPr>
            </w:pPr>
            <w:r>
              <w:rPr>
                <w:rFonts w:ascii="Arial" w:cs="Arial" w:eastAsia="Arial" w:hAnsi="Arial"/>
                <w:sz w:val="14"/>
                <w:szCs w:val="14"/>
                <w:b w:val="1"/>
                <w:bCs w:val="1"/>
                <w:color w:val="auto"/>
                <w:w w:val="97"/>
              </w:rPr>
              <w:t>(Unaudited)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5"/>
          </w:tcPr>
          <w:p>
            <w:pPr>
              <w:ind w:left="660"/>
              <w:spacing w:after="0"/>
              <w:rPr>
                <w:sz w:val="20"/>
                <w:szCs w:val="20"/>
                <w:color w:val="auto"/>
              </w:rPr>
            </w:pPr>
            <w:r>
              <w:rPr>
                <w:rFonts w:ascii="Arial" w:cs="Arial" w:eastAsia="Arial" w:hAnsi="Arial"/>
                <w:sz w:val="14"/>
                <w:szCs w:val="14"/>
                <w:b w:val="1"/>
                <w:bCs w:val="1"/>
                <w:color w:val="auto"/>
              </w:rPr>
              <w:t>(Amount in thousand)</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530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4,009</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80" w:type="dxa"/>
            <w:vAlign w:val="bottom"/>
          </w:tcPr>
          <w:p>
            <w:pPr>
              <w:ind w:left="320"/>
              <w:spacing w:after="0" w:line="206" w:lineRule="exact"/>
              <w:rPr>
                <w:sz w:val="20"/>
                <w:szCs w:val="20"/>
                <w:color w:val="auto"/>
              </w:rPr>
            </w:pPr>
            <w:r>
              <w:rPr>
                <w:rFonts w:ascii="Arial" w:cs="Arial" w:eastAsia="Arial" w:hAnsi="Arial"/>
                <w:sz w:val="18"/>
                <w:szCs w:val="18"/>
                <w:color w:val="auto"/>
              </w:rPr>
              <w:t>Patient accounts receivable, net of allowances for doubtful accounts of $964 and $1,215,</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80" w:type="dxa"/>
            <w:vAlign w:val="bottom"/>
          </w:tcPr>
          <w:p>
            <w:pPr>
              <w:ind w:left="640"/>
              <w:spacing w:after="0" w:line="200" w:lineRule="exact"/>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17,736</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16,693</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1,514</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1,899</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25,158</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25,592</w:t>
            </w: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26,379</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26,457</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133,974</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133,974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Other intangibles, net of accumulated amortization of $6,538 and $6,909, respectively.</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28,752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29,081</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issuance costs, net of accumulated amortization of $3,593 and $3,423, respectively.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1,016</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216,609</w:t>
            </w: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217,530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3,028</w:t>
            </w:r>
          </w:p>
        </w:tc>
        <w:tc>
          <w:tcPr>
            <w:tcW w:w="8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Accrued salaries and wages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5,248</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320"/>
              <w:spacing w:after="0" w:line="202" w:lineRule="exact"/>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5,405</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1,248</w:t>
            </w: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14,929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15,769</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notes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52,281</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54,071</w:t>
            </w: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Senior subordinated notes</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30,775</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30,755</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12,546</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10"/>
        </w:trPr>
        <w:tc>
          <w:tcPr>
            <w:tcW w:w="828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1,896</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112,427</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Series A Convertible Preferred Stock, $.0001 par value, 90,000,000 shares authorized,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83,609,009, issued and outstanding at March 31, 2011 and December 31, 2010,</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840"/>
              <w:spacing w:after="0" w:line="200"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6"/>
        </w:trPr>
        <w:tc>
          <w:tcPr>
            <w:tcW w:w="8280" w:type="dxa"/>
            <w:vAlign w:val="bottom"/>
          </w:tcPr>
          <w:p>
            <w:pPr>
              <w:ind w:left="320"/>
              <w:spacing w:after="0" w:line="206" w:lineRule="exact"/>
              <w:rPr>
                <w:sz w:val="20"/>
                <w:szCs w:val="20"/>
                <w:color w:val="auto"/>
              </w:rPr>
            </w:pPr>
            <w:r>
              <w:rPr>
                <w:rFonts w:ascii="Arial" w:cs="Arial" w:eastAsia="Arial" w:hAnsi="Arial"/>
                <w:sz w:val="18"/>
                <w:szCs w:val="18"/>
                <w:color w:val="auto"/>
              </w:rPr>
              <w:t>Series B Convertible Preferred Stock, $.0001 par value, 90,000,000 shares authorized, none</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80" w:type="dxa"/>
            <w:vAlign w:val="bottom"/>
          </w:tcPr>
          <w:p>
            <w:pPr>
              <w:ind w:left="640"/>
              <w:spacing w:after="0" w:line="200" w:lineRule="exact"/>
              <w:rPr>
                <w:sz w:val="20"/>
                <w:szCs w:val="20"/>
                <w:color w:val="auto"/>
              </w:rPr>
            </w:pPr>
            <w:r>
              <w:rPr>
                <w:rFonts w:ascii="Arial" w:cs="Arial" w:eastAsia="Arial" w:hAnsi="Arial"/>
                <w:sz w:val="18"/>
                <w:szCs w:val="18"/>
                <w:color w:val="auto"/>
              </w:rPr>
              <w:t>issued and outstanding at March 31, 2011 and December 31, 2010, respectively.</w:t>
            </w:r>
          </w:p>
        </w:tc>
        <w:tc>
          <w:tcPr>
            <w:tcW w:w="160" w:type="dxa"/>
            <w:vAlign w:val="bottom"/>
          </w:tcPr>
          <w:p>
            <w:pPr>
              <w:spacing w:after="0"/>
              <w:rPr>
                <w:sz w:val="17"/>
                <w:szCs w:val="17"/>
                <w:color w:val="auto"/>
              </w:rPr>
            </w:pPr>
          </w:p>
        </w:tc>
        <w:tc>
          <w:tcPr>
            <w:tcW w:w="1880" w:type="dxa"/>
            <w:vAlign w:val="bottom"/>
            <w:gridSpan w:val="2"/>
          </w:tcPr>
          <w:p>
            <w:pPr>
              <w:jc w:val="right"/>
              <w:ind w:right="84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Redeemable Preferred Stock, $.0001 par value, 90,000,000 shares authorized, none issued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and outstanding at March 31, 2011 and December 31, 2010, respectively.</w:t>
            </w:r>
          </w:p>
        </w:tc>
        <w:tc>
          <w:tcPr>
            <w:tcW w:w="1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84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280" w:type="dxa"/>
            <w:vAlign w:val="bottom"/>
          </w:tcPr>
          <w:p>
            <w:pPr>
              <w:ind w:left="320"/>
              <w:spacing w:after="0" w:line="206" w:lineRule="exact"/>
              <w:rPr>
                <w:sz w:val="20"/>
                <w:szCs w:val="20"/>
                <w:color w:val="auto"/>
              </w:rPr>
            </w:pPr>
            <w:r>
              <w:rPr>
                <w:rFonts w:ascii="Arial" w:cs="Arial" w:eastAsia="Arial" w:hAnsi="Arial"/>
                <w:sz w:val="18"/>
                <w:szCs w:val="18"/>
                <w:color w:val="auto"/>
              </w:rPr>
              <w:t>Common stock, $.0001 par value, 105,000,000 shares authorized, 85,398 issued and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80" w:type="dxa"/>
            <w:vAlign w:val="bottom"/>
          </w:tcPr>
          <w:p>
            <w:pPr>
              <w:ind w:left="640"/>
              <w:spacing w:after="0" w:line="200" w:lineRule="exact"/>
              <w:rPr>
                <w:sz w:val="20"/>
                <w:szCs w:val="20"/>
                <w:color w:val="auto"/>
              </w:rPr>
            </w:pPr>
            <w:r>
              <w:rPr>
                <w:rFonts w:ascii="Arial" w:cs="Arial" w:eastAsia="Arial" w:hAnsi="Arial"/>
                <w:sz w:val="18"/>
                <w:szCs w:val="18"/>
                <w:color w:val="auto"/>
              </w:rPr>
              <w:t>outstanding at March 31, 2011 and December 31, 2010, respectively.</w:t>
            </w:r>
          </w:p>
        </w:tc>
        <w:tc>
          <w:tcPr>
            <w:tcW w:w="160" w:type="dxa"/>
            <w:vAlign w:val="bottom"/>
          </w:tcPr>
          <w:p>
            <w:pPr>
              <w:spacing w:after="0"/>
              <w:rPr>
                <w:sz w:val="17"/>
                <w:szCs w:val="17"/>
                <w:color w:val="auto"/>
              </w:rPr>
            </w:pPr>
          </w:p>
        </w:tc>
        <w:tc>
          <w:tcPr>
            <w:tcW w:w="1880" w:type="dxa"/>
            <w:vAlign w:val="bottom"/>
            <w:gridSpan w:val="2"/>
          </w:tcPr>
          <w:p>
            <w:pPr>
              <w:jc w:val="right"/>
              <w:ind w:right="84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100,183</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99,577</w:t>
            </w:r>
          </w:p>
        </w:tc>
        <w:tc>
          <w:tcPr>
            <w:tcW w:w="0" w:type="dxa"/>
            <w:vAlign w:val="bottom"/>
          </w:tcPr>
          <w:p>
            <w:pPr>
              <w:spacing w:after="0"/>
              <w:rPr>
                <w:sz w:val="1"/>
                <w:szCs w:val="1"/>
                <w:color w:val="auto"/>
              </w:rPr>
            </w:pPr>
          </w:p>
        </w:tc>
      </w:tr>
      <w:tr>
        <w:trPr>
          <w:trHeight w:val="210"/>
        </w:trPr>
        <w:tc>
          <w:tcPr>
            <w:tcW w:w="8280" w:type="dxa"/>
            <w:vAlign w:val="bottom"/>
          </w:tcPr>
          <w:p>
            <w:pPr>
              <w:ind w:left="32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3,991</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104,182</w:t>
            </w: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102,126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216,609</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6"/>
              </w:rPr>
              <w:t>QUARTER ENDED</w:t>
            </w:r>
          </w:p>
        </w:tc>
      </w:tr>
      <w:tr>
        <w:trPr>
          <w:trHeight w:val="125"/>
        </w:trPr>
        <w:tc>
          <w:tcPr>
            <w:tcW w:w="932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0"/>
                <w:szCs w:val="10"/>
                <w:color w:val="auto"/>
              </w:rPr>
            </w:pPr>
          </w:p>
        </w:tc>
      </w:tr>
      <w:tr>
        <w:trPr>
          <w:trHeight w:val="165"/>
        </w:trPr>
        <w:tc>
          <w:tcPr>
            <w:tcW w:w="9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25"/>
        </w:trPr>
        <w:tc>
          <w:tcPr>
            <w:tcW w:w="9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5"/>
          </w:tcPr>
          <w:p>
            <w:pPr>
              <w:jc w:val="center"/>
              <w:ind w:right="53"/>
              <w:spacing w:after="0" w:line="125" w:lineRule="exact"/>
              <w:rPr>
                <w:sz w:val="20"/>
                <w:szCs w:val="20"/>
                <w:color w:val="auto"/>
              </w:rPr>
            </w:pPr>
            <w:r>
              <w:rPr>
                <w:rFonts w:ascii="Arial" w:cs="Arial" w:eastAsia="Arial" w:hAnsi="Arial"/>
                <w:sz w:val="14"/>
                <w:szCs w:val="14"/>
                <w:b w:val="1"/>
                <w:bCs w:val="1"/>
                <w:color w:val="auto"/>
                <w:w w:val="96"/>
              </w:rPr>
              <w:t>(Amount in thousand)</w:t>
            </w:r>
          </w:p>
        </w:tc>
        <w:tc>
          <w:tcPr>
            <w:tcW w:w="100" w:type="dxa"/>
            <w:vAlign w:val="bottom"/>
          </w:tcPr>
          <w:p>
            <w:pPr>
              <w:spacing w:after="0"/>
              <w:rPr>
                <w:sz w:val="10"/>
                <w:szCs w:val="10"/>
                <w:color w:val="auto"/>
              </w:rPr>
            </w:pPr>
          </w:p>
        </w:tc>
      </w:tr>
      <w:tr>
        <w:trPr>
          <w:trHeight w:val="165"/>
        </w:trPr>
        <w:tc>
          <w:tcPr>
            <w:tcW w:w="9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center"/>
              <w:ind w:left="336"/>
              <w:spacing w:after="0"/>
              <w:rPr>
                <w:sz w:val="20"/>
                <w:szCs w:val="20"/>
                <w:color w:val="auto"/>
              </w:rPr>
            </w:pPr>
            <w:r>
              <w:rPr>
                <w:rFonts w:ascii="Arial" w:cs="Arial" w:eastAsia="Arial" w:hAnsi="Arial"/>
                <w:sz w:val="14"/>
                <w:szCs w:val="14"/>
                <w:b w:val="1"/>
                <w:bCs w:val="1"/>
                <w:color w:val="auto"/>
                <w:w w:val="95"/>
              </w:rPr>
              <w:t>(Unaudited)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45,686</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45,489</w:t>
            </w: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29,502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27,813</w:t>
            </w:r>
          </w:p>
        </w:tc>
      </w:tr>
      <w:tr>
        <w:trPr>
          <w:trHeight w:val="203"/>
        </w:trPr>
        <w:tc>
          <w:tcPr>
            <w:tcW w:w="9320" w:type="dxa"/>
            <w:vAlign w:val="bottom"/>
          </w:tcPr>
          <w:p>
            <w:pPr>
              <w:ind w:left="320"/>
              <w:spacing w:after="0" w:line="202" w:lineRule="exact"/>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9,914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8,945</w:t>
            </w:r>
          </w:p>
        </w:tc>
        <w:tc>
          <w:tcPr>
            <w:tcW w:w="100" w:type="dxa"/>
            <w:vAlign w:val="bottom"/>
          </w:tcPr>
          <w:p>
            <w:pPr>
              <w:spacing w:after="0"/>
              <w:rPr>
                <w:sz w:val="17"/>
                <w:szCs w:val="17"/>
                <w:color w:val="auto"/>
              </w:rPr>
            </w:pPr>
          </w:p>
        </w:tc>
      </w:tr>
      <w:tr>
        <w:trPr>
          <w:trHeight w:val="203"/>
        </w:trPr>
        <w:tc>
          <w:tcPr>
            <w:tcW w:w="9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bad debts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9320" w:type="dxa"/>
            <w:vAlign w:val="bottom"/>
          </w:tcPr>
          <w:p>
            <w:pPr>
              <w:ind w:left="320"/>
              <w:spacing w:after="0" w:line="202" w:lineRule="exact"/>
              <w:rPr>
                <w:sz w:val="20"/>
                <w:szCs w:val="20"/>
                <w:color w:val="auto"/>
              </w:rPr>
            </w:pPr>
            <w:r>
              <w:rPr>
                <w:rFonts w:ascii="Arial" w:cs="Arial" w:eastAsia="Arial" w:hAnsi="Arial"/>
                <w:sz w:val="18"/>
                <w:szCs w:val="18"/>
                <w:color w:val="auto"/>
              </w:rPr>
              <w:t>Interest and amortization of debt costs</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1,726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1,954</w:t>
            </w:r>
          </w:p>
        </w:tc>
        <w:tc>
          <w:tcPr>
            <w:tcW w:w="100" w:type="dxa"/>
            <w:vAlign w:val="bottom"/>
          </w:tcPr>
          <w:p>
            <w:pPr>
              <w:spacing w:after="0"/>
              <w:rPr>
                <w:sz w:val="17"/>
                <w:szCs w:val="17"/>
                <w:color w:val="auto"/>
              </w:rPr>
            </w:pPr>
          </w:p>
        </w:tc>
      </w:tr>
      <w:tr>
        <w:trPr>
          <w:trHeight w:val="203"/>
        </w:trPr>
        <w:tc>
          <w:tcPr>
            <w:tcW w:w="9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7"/>
                <w:szCs w:val="17"/>
                <w:color w:val="auto"/>
              </w:rPr>
            </w:pPr>
          </w:p>
        </w:tc>
      </w:tr>
      <w:tr>
        <w:trPr>
          <w:trHeight w:val="210"/>
        </w:trPr>
        <w:tc>
          <w:tcPr>
            <w:tcW w:w="9320" w:type="dxa"/>
            <w:vAlign w:val="bottom"/>
          </w:tcPr>
          <w:p>
            <w:pPr>
              <w:ind w:left="6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39,682</w:t>
            </w: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5,807</w:t>
            </w:r>
          </w:p>
        </w:tc>
        <w:tc>
          <w:tcPr>
            <w:tcW w:w="100" w:type="dxa"/>
            <w:vAlign w:val="bottom"/>
            <w:shd w:val="clear" w:color="auto" w:fill="CCEEFF"/>
          </w:tcPr>
          <w:p>
            <w:pPr>
              <w:spacing w:after="0"/>
              <w:rPr>
                <w:sz w:val="17"/>
                <w:szCs w:val="17"/>
                <w:color w:val="auto"/>
              </w:rPr>
            </w:pPr>
          </w:p>
        </w:tc>
      </w:tr>
      <w:tr>
        <w:trPr>
          <w:trHeight w:val="210"/>
        </w:trPr>
        <w:tc>
          <w:tcPr>
            <w:tcW w:w="9320" w:type="dxa"/>
            <w:vAlign w:val="bottom"/>
          </w:tcPr>
          <w:p>
            <w:pPr>
              <w:spacing w:after="0" w:line="202" w:lineRule="exact"/>
              <w:rPr>
                <w:sz w:val="20"/>
                <w:szCs w:val="20"/>
                <w:color w:val="auto"/>
              </w:rPr>
            </w:pPr>
            <w:r>
              <w:rPr>
                <w:rFonts w:ascii="Arial" w:cs="Arial" w:eastAsia="Arial" w:hAnsi="Arial"/>
                <w:sz w:val="18"/>
                <w:szCs w:val="18"/>
                <w:color w:val="auto"/>
              </w:rPr>
              <w:t>Gain on the sale of assets</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3,524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17"/>
                <w:szCs w:val="17"/>
                <w:color w:val="auto"/>
              </w:rPr>
            </w:pPr>
          </w:p>
        </w:tc>
      </w:tr>
      <w:tr>
        <w:trPr>
          <w:trHeight w:val="210"/>
        </w:trPr>
        <w:tc>
          <w:tcPr>
            <w:tcW w:w="93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2,267</w:t>
            </w:r>
          </w:p>
        </w:tc>
        <w:tc>
          <w:tcPr>
            <w:tcW w:w="100" w:type="dxa"/>
            <w:vAlign w:val="bottom"/>
          </w:tcPr>
          <w:p>
            <w:pPr>
              <w:spacing w:after="0"/>
              <w:rPr>
                <w:sz w:val="18"/>
                <w:szCs w:val="18"/>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17"/>
                <w:szCs w:val="17"/>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Loss from operations and abandonment of discontinued facility</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(247)</w:t>
            </w:r>
          </w:p>
        </w:tc>
      </w:tr>
      <w:tr>
        <w:trPr>
          <w:trHeight w:val="210"/>
        </w:trPr>
        <w:tc>
          <w:tcPr>
            <w:tcW w:w="9320" w:type="dxa"/>
            <w:vAlign w:val="bottom"/>
          </w:tcPr>
          <w:p>
            <w:pPr>
              <w:ind w:left="320"/>
              <w:spacing w:after="0" w:line="202" w:lineRule="exact"/>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03"/>
        </w:trPr>
        <w:tc>
          <w:tcPr>
            <w:tcW w:w="9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(151)</w:t>
            </w:r>
          </w:p>
        </w:tc>
      </w:tr>
      <w:tr>
        <w:trPr>
          <w:trHeight w:val="210"/>
        </w:trPr>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6"/>
              </w:rPr>
              <w:t>QUARTER ENDED</w:t>
            </w:r>
          </w:p>
        </w:tc>
      </w:tr>
      <w:tr>
        <w:trPr>
          <w:trHeight w:val="125"/>
        </w:trPr>
        <w:tc>
          <w:tcPr>
            <w:tcW w:w="7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MARCH 31,</w:t>
            </w: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0"/>
                <w:szCs w:val="10"/>
                <w:color w:val="auto"/>
              </w:rPr>
            </w:pPr>
          </w:p>
        </w:tc>
      </w:tr>
      <w:tr>
        <w:trPr>
          <w:trHeight w:val="165"/>
        </w:trPr>
        <w:tc>
          <w:tcPr>
            <w:tcW w:w="7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25"/>
        </w:trPr>
        <w:tc>
          <w:tcPr>
            <w:tcW w:w="7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40" w:type="dxa"/>
            <w:vAlign w:val="bottom"/>
            <w:gridSpan w:val="5"/>
          </w:tcPr>
          <w:p>
            <w:pPr>
              <w:jc w:val="center"/>
              <w:ind w:right="73"/>
              <w:spacing w:after="0" w:line="125" w:lineRule="exact"/>
              <w:rPr>
                <w:sz w:val="20"/>
                <w:szCs w:val="20"/>
                <w:color w:val="auto"/>
              </w:rPr>
            </w:pPr>
            <w:r>
              <w:rPr>
                <w:rFonts w:ascii="Arial" w:cs="Arial" w:eastAsia="Arial" w:hAnsi="Arial"/>
                <w:sz w:val="14"/>
                <w:szCs w:val="14"/>
                <w:b w:val="1"/>
                <w:bCs w:val="1"/>
                <w:color w:val="auto"/>
                <w:w w:val="96"/>
              </w:rPr>
              <w:t>(Amount in thousand)</w:t>
            </w:r>
          </w:p>
        </w:tc>
        <w:tc>
          <w:tcPr>
            <w:tcW w:w="100" w:type="dxa"/>
            <w:vAlign w:val="bottom"/>
          </w:tcPr>
          <w:p>
            <w:pPr>
              <w:spacing w:after="0"/>
              <w:rPr>
                <w:sz w:val="10"/>
                <w:szCs w:val="10"/>
                <w:color w:val="auto"/>
              </w:rPr>
            </w:pPr>
          </w:p>
        </w:tc>
      </w:tr>
      <w:tr>
        <w:trPr>
          <w:trHeight w:val="165"/>
        </w:trPr>
        <w:tc>
          <w:tcPr>
            <w:tcW w:w="7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center"/>
              <w:ind w:left="376"/>
              <w:spacing w:after="0"/>
              <w:rPr>
                <w:sz w:val="20"/>
                <w:szCs w:val="20"/>
                <w:color w:val="auto"/>
              </w:rPr>
            </w:pPr>
            <w:r>
              <w:rPr>
                <w:rFonts w:ascii="Arial" w:cs="Arial" w:eastAsia="Arial" w:hAnsi="Arial"/>
                <w:sz w:val="14"/>
                <w:szCs w:val="14"/>
                <w:b w:val="1"/>
                <w:bCs w:val="1"/>
                <w:color w:val="auto"/>
                <w:w w:val="97"/>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320"/>
              <w:spacing w:after="0" w:line="202" w:lineRule="exact"/>
              <w:rPr>
                <w:sz w:val="20"/>
                <w:szCs w:val="20"/>
                <w:color w:val="auto"/>
              </w:rPr>
            </w:pPr>
            <w:r>
              <w:rPr>
                <w:rFonts w:ascii="Arial" w:cs="Arial" w:eastAsia="Arial" w:hAnsi="Arial"/>
                <w:sz w:val="18"/>
                <w:szCs w:val="18"/>
                <w:color w:val="auto"/>
              </w:rPr>
              <w:t>Net income</w:t>
            </w:r>
          </w:p>
        </w:tc>
        <w:tc>
          <w:tcPr>
            <w:tcW w:w="1440" w:type="dxa"/>
            <w:vAlign w:val="bottom"/>
            <w:gridSpan w:val="2"/>
          </w:tcPr>
          <w:p>
            <w:pPr>
              <w:ind w:left="12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2,056</w:t>
            </w:r>
          </w:p>
        </w:tc>
        <w:tc>
          <w:tcPr>
            <w:tcW w:w="380" w:type="dxa"/>
            <w:vAlign w:val="bottom"/>
          </w:tcPr>
          <w:p>
            <w:pPr>
              <w:spacing w:after="0"/>
              <w:rPr>
                <w:sz w:val="17"/>
                <w:szCs w:val="17"/>
                <w:color w:val="auto"/>
              </w:rPr>
            </w:pPr>
          </w:p>
        </w:tc>
        <w:tc>
          <w:tcPr>
            <w:tcW w:w="4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640"/>
              <w:spacing w:after="0" w:line="202" w:lineRule="exact"/>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819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640"/>
              <w:spacing w:after="0" w:line="202" w:lineRule="exact"/>
              <w:rPr>
                <w:sz w:val="20"/>
                <w:szCs w:val="20"/>
                <w:color w:val="auto"/>
              </w:rPr>
            </w:pPr>
            <w:r>
              <w:rPr>
                <w:rFonts w:ascii="Arial" w:cs="Arial" w:eastAsia="Arial" w:hAnsi="Arial"/>
                <w:sz w:val="18"/>
                <w:szCs w:val="18"/>
                <w:color w:val="auto"/>
              </w:rPr>
              <w:t>Gain on the sale of fixed assets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3"/>
        </w:trPr>
        <w:tc>
          <w:tcPr>
            <w:tcW w:w="78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Amortization of discount on debt and other financing costs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rPr>
              <w:t>Patient accounts receivable</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(1,044)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(3,120)</w:t>
            </w:r>
          </w:p>
        </w:tc>
      </w:tr>
      <w:tr>
        <w:trPr>
          <w:trHeight w:val="203"/>
        </w:trPr>
        <w:tc>
          <w:tcPr>
            <w:tcW w:w="7840" w:type="dxa"/>
            <w:vAlign w:val="bottom"/>
          </w:tcPr>
          <w:p>
            <w:pPr>
              <w:ind w:left="960"/>
              <w:spacing w:after="0" w:line="202" w:lineRule="exact"/>
              <w:rPr>
                <w:sz w:val="20"/>
                <w:szCs w:val="20"/>
                <w:color w:val="auto"/>
              </w:rPr>
            </w:pPr>
            <w:r>
              <w:rPr>
                <w:rFonts w:ascii="Arial" w:cs="Arial" w:eastAsia="Arial" w:hAnsi="Arial"/>
                <w:sz w:val="18"/>
                <w:szCs w:val="18"/>
                <w:color w:val="auto"/>
              </w:rPr>
              <w:t>Prepaid expenses and other assets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rPr>
              <w:t>Accounts payable and accrued expenses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(1,494)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7"/>
                <w:szCs w:val="17"/>
                <w:color w:val="auto"/>
              </w:rPr>
            </w:pPr>
          </w:p>
        </w:tc>
      </w:tr>
      <w:tr>
        <w:trPr>
          <w:trHeight w:val="217"/>
        </w:trPr>
        <w:tc>
          <w:tcPr>
            <w:tcW w:w="78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320"/>
              <w:spacing w:after="0" w:line="202" w:lineRule="exact"/>
              <w:rPr>
                <w:sz w:val="20"/>
                <w:szCs w:val="20"/>
                <w:color w:val="auto"/>
              </w:rPr>
            </w:pPr>
            <w:r>
              <w:rPr>
                <w:rFonts w:ascii="Arial" w:cs="Arial" w:eastAsia="Arial" w:hAnsi="Arial"/>
                <w:sz w:val="18"/>
                <w:szCs w:val="18"/>
                <w:color w:val="auto"/>
              </w:rPr>
              <w:t>Purchases of property and equipment</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(403)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w:t>
            </w:r>
          </w:p>
        </w:tc>
      </w:tr>
      <w:tr>
        <w:trPr>
          <w:trHeight w:val="203"/>
        </w:trPr>
        <w:tc>
          <w:tcPr>
            <w:tcW w:w="7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Proceeds from the sale of fixed assets</w:t>
            </w:r>
          </w:p>
        </w:tc>
        <w:tc>
          <w:tcPr>
            <w:tcW w:w="1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r>
      <w:tr>
        <w:trPr>
          <w:trHeight w:val="217"/>
        </w:trPr>
        <w:tc>
          <w:tcPr>
            <w:tcW w:w="78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320"/>
              <w:spacing w:after="0" w:line="202" w:lineRule="exact"/>
              <w:rPr>
                <w:sz w:val="20"/>
                <w:szCs w:val="20"/>
                <w:color w:val="auto"/>
              </w:rPr>
            </w:pPr>
            <w:r>
              <w:rPr>
                <w:rFonts w:ascii="Arial" w:cs="Arial" w:eastAsia="Arial" w:hAnsi="Arial"/>
                <w:sz w:val="18"/>
                <w:szCs w:val="18"/>
                <w:color w:val="auto"/>
              </w:rPr>
              <w:t>Payments on senior term loan</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(1,800)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(13,300)</w:t>
            </w:r>
          </w:p>
        </w:tc>
      </w:tr>
      <w:tr>
        <w:trPr>
          <w:trHeight w:val="203"/>
        </w:trPr>
        <w:tc>
          <w:tcPr>
            <w:tcW w:w="7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long-term borrowings/(payments)—net</w:t>
            </w:r>
          </w:p>
        </w:tc>
        <w:tc>
          <w:tcPr>
            <w:tcW w:w="1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r>
      <w:tr>
        <w:trPr>
          <w:trHeight w:val="210"/>
        </w:trPr>
        <w:tc>
          <w:tcPr>
            <w:tcW w:w="7840" w:type="dxa"/>
            <w:vAlign w:val="bottom"/>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(1,789)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(13,285)</w:t>
            </w:r>
          </w:p>
        </w:tc>
      </w:tr>
      <w:tr>
        <w:trPr>
          <w:trHeight w:val="27"/>
        </w:trPr>
        <w:tc>
          <w:tcPr>
            <w:tcW w:w="7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Cash and Cash Equivalents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(1,298)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(6,725)</w:t>
            </w:r>
          </w:p>
        </w:tc>
      </w:tr>
      <w:tr>
        <w:trPr>
          <w:trHeight w:val="210"/>
        </w:trPr>
        <w:tc>
          <w:tcPr>
            <w:tcW w:w="784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15,294</w:t>
            </w:r>
          </w:p>
        </w:tc>
        <w:tc>
          <w:tcPr>
            <w:tcW w:w="10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4,009</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8,569</w:t>
            </w:r>
          </w:p>
        </w:tc>
        <w:tc>
          <w:tcPr>
            <w:tcW w:w="100" w:type="dxa"/>
            <w:vAlign w:val="bottom"/>
            <w:shd w:val="clear" w:color="auto" w:fill="CCEEFF"/>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40" w:type="dxa"/>
            <w:vAlign w:val="bottom"/>
          </w:tcPr>
          <w:p>
            <w:pPr>
              <w:spacing w:after="0" w:line="196" w:lineRule="exact"/>
              <w:rPr>
                <w:sz w:val="20"/>
                <w:szCs w:val="20"/>
                <w:color w:val="auto"/>
              </w:rPr>
            </w:pPr>
            <w:r>
              <w:rPr>
                <w:rFonts w:ascii="Arial" w:cs="Arial" w:eastAsia="Arial" w:hAnsi="Arial"/>
                <w:sz w:val="18"/>
                <w:szCs w:val="18"/>
                <w:color w:val="auto"/>
              </w:rPr>
              <w:t>Interest Paid</w:t>
            </w:r>
          </w:p>
        </w:tc>
        <w:tc>
          <w:tcPr>
            <w:tcW w:w="1440" w:type="dxa"/>
            <w:vAlign w:val="bottom"/>
            <w:gridSpan w:val="2"/>
          </w:tcPr>
          <w:p>
            <w:pPr>
              <w:ind w:left="128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585</w:t>
            </w:r>
          </w:p>
        </w:tc>
        <w:tc>
          <w:tcPr>
            <w:tcW w:w="460" w:type="dxa"/>
            <w:vAlign w:val="bottom"/>
            <w:gridSpan w:val="2"/>
          </w:tcPr>
          <w:p>
            <w:pPr>
              <w:ind w:left="34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580</w:t>
            </w: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Paid</w:t>
            </w:r>
          </w:p>
        </w:tc>
        <w:tc>
          <w:tcPr>
            <w:tcW w:w="1440" w:type="dxa"/>
            <w:vAlign w:val="bottom"/>
            <w:gridSpan w:val="2"/>
            <w:shd w:val="clear" w:color="auto" w:fill="CCEEFF"/>
          </w:tcPr>
          <w:p>
            <w:pPr>
              <w:ind w:left="1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65</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7"/>
                <w:szCs w:val="17"/>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109" w:name="page110"/>
    <w:bookmarkEnd w:id="109"/>
    <w:p>
      <w:pPr>
        <w:ind w:left="2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7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 has prepared the accompanying consolidated financial statements in conformity with accounting principles generally accepted in the United States of America (“GAAP”). The accompanying consolidated financial statements and notes thereto are unaudited. In the opinion of the Company’s management, these statements include all adjustments, which are of a normal recurring nature, necessary to fairly present our financial position at March 31, 2011 and December 31, 2010, and the results of our operations and cash flows for the three month periods ended March 31, 2011 and March 31, 2010. The Company’s fiscal year ends on December 31 and interim results are not necessarily indicative of results for a full year or any other interim period. The information contained in these consolidated financial statements should be read in conjunction with the consolidated financial statements and notes thereto included in the Company’s Annual Report for the fiscal year ended December 31, 2010.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sold on April 1, 2011(See Note 8).</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August 2010, the Financial Accounting Standards Board (“FASB”) issued Accounting Standards Update (“ASU”) 2010-24, which provides clarification to companies in the healthcare industry on the accounting for malpractice claims or similar contingent liabilities. This ASU states that an entity that is indemnified for these liabilities shall recognize an insurance receivable at the same time that it recognizes the liability, measured on the same basis as the liability, subject to the need for a valuation allowance for uncollectible amounts. This ASU also discusses the accounting for insurance claims costs, including estimates of costs relating to incurred-but-not-reported claims and the accounting for loss contingencies. Receivables related to insurance recoveries should not be netted against the related claim liability and such claim liabilities should be determined without considering insurance recoveries. This ASU is effective for fiscal years beginning after December 15, 2010 and was adopted by the Company in the first quarter of 2011. The adoption of this ASU did not have a significant impact on the Company’s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2—Acquisitions and Dispositions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Operations:</w:t>
      </w:r>
    </w:p>
    <w:p>
      <w:pPr>
        <w:spacing w:after="0" w:line="4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 previous year, the Company determined that a psychiatric hospital in New Mexico and a residential treatment center in Ohio no longer provided a benefit to the Company and terminated the operations. The continuing operating expenses for these facilities were not significant and did not have a material impact on the Company’s consolidated financial statements, for the periods ended March 31, 2010 and 2011.</w:t>
      </w:r>
    </w:p>
    <w:p>
      <w:pPr>
        <w:spacing w:after="0" w:line="11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June 2009, the Company temporarily suspended the operations at one of its Arizona facilities in response to the economic crisis and related funding issues within the state, as well as, certain environmental problems at the facility. The Company has eliminated the environmental problem and believes the state will take appropriate action to resolve its financial issues. With the new directions the Company has identified in areas of outpatient treatment care services and targeting programs that will meet community needs and the state’s push for new care alternatives, our intent is to re-open the facility, within the next six to twelve months, at a time when the state’s economic situation has improved and a strong referral base could once again be established. The continuing operating expenses for this facility are not significant and will not have a material impact on the Company’s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for the years ended December 31, 2008 and 2009.</w:t>
      </w:r>
    </w:p>
    <w:p>
      <w:pPr>
        <w:spacing w:after="0" w:line="11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October 2010, the Company was notified by the Agency for Health Care Administration that it was discontinuing the Statewide Inpatient Psychiatric Program (SIPP) contract at its Tampa Bay facility. Subsequent appeals with the Florida Medicaid Bureau were, eventually, denied. The notice of termination which was to be effective, on December 15, 2010, was subsequently withdrawn as the Company voluntarily terminated the contract. The loss of this contract generated a severe financial impact on the facility to the extent the Company decided to terminate operations effective December 31, 2010.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69" w:right="259" w:bottom="1440" w:gutter="0" w:footer="0" w:header="0"/>
        </w:sectPr>
      </w:pPr>
    </w:p>
    <w:bookmarkStart w:id="110" w:name="page111"/>
    <w:bookmarkEnd w:id="110"/>
    <w:p>
      <w:pPr>
        <w:ind w:right="1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closing the facility, we recorded a charge for impaired assets, which were, principally, two group homes, leasehold improvements and furniture and equipment, in the amount of, approximately, $1,100,000 and exit costs of, approximately, $2,500,000 for the year ended December 31,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3—Property and Equipment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property and equipment are as follows </w:t>
      </w:r>
      <w:r>
        <w:rPr>
          <w:rFonts w:ascii="Arial" w:cs="Arial" w:eastAsia="Arial" w:hAnsi="Arial"/>
          <w:sz w:val="18"/>
          <w:szCs w:val="18"/>
          <w:i w:val="1"/>
          <w:iCs w:val="1"/>
          <w:color w:val="auto"/>
        </w:rPr>
        <w:t>(amounts 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5,423</w:t>
            </w:r>
          </w:p>
        </w:tc>
        <w:tc>
          <w:tcPr>
            <w:tcW w:w="600" w:type="dxa"/>
            <w:vAlign w:val="bottom"/>
            <w:tcBorders>
              <w:lef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28,693</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28,521</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9,197</w:t>
            </w:r>
          </w:p>
        </w:tc>
        <w:tc>
          <w:tcPr>
            <w:tcW w:w="6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43,313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42,934</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(16,934)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26,379</w:t>
            </w:r>
          </w:p>
        </w:tc>
        <w:tc>
          <w:tcPr>
            <w:tcW w:w="60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26,457</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Note 4—Intangible Assets</w:t>
            </w: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w w:val="97"/>
              </w:rPr>
              <w:t xml:space="preserve">Other intangible assets are comprised of the following: </w:t>
            </w:r>
            <w:r>
              <w:rPr>
                <w:rFonts w:ascii="Arial" w:cs="Arial" w:eastAsia="Arial" w:hAnsi="Arial"/>
                <w:sz w:val="18"/>
                <w:szCs w:val="18"/>
                <w:i w:val="1"/>
                <w:iCs w:val="1"/>
                <w:color w:val="auto"/>
                <w:w w:val="97"/>
              </w:rPr>
              <w:t>(amounts in thousands)</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6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tcPr>
          <w:p>
            <w:pPr>
              <w:jc w:val="center"/>
              <w:ind w:left="464"/>
              <w:spacing w:after="0"/>
              <w:rPr>
                <w:sz w:val="20"/>
                <w:szCs w:val="20"/>
                <w:color w:val="auto"/>
              </w:rPr>
            </w:pPr>
            <w:r>
              <w:rPr>
                <w:rFonts w:ascii="Arial" w:cs="Arial" w:eastAsia="Arial" w:hAnsi="Arial"/>
                <w:sz w:val="14"/>
                <w:szCs w:val="14"/>
                <w:b w:val="1"/>
                <w:bCs w:val="1"/>
                <w:color w:val="auto"/>
                <w:w w:val="95"/>
              </w:rPr>
              <w:t>MARCH 31, 2011</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5"/>
        </w:trPr>
        <w:tc>
          <w:tcPr>
            <w:tcW w:w="6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8"/>
              </w:rPr>
              <w:t>GROSS</w:t>
            </w:r>
          </w:p>
        </w:tc>
        <w:tc>
          <w:tcPr>
            <w:tcW w:w="5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w w:val="93"/>
              </w:rPr>
              <w:t>ACCUMULATED</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660"/>
              <w:spacing w:after="0" w:line="125" w:lineRule="exact"/>
              <w:rPr>
                <w:sz w:val="20"/>
                <w:szCs w:val="20"/>
                <w:color w:val="auto"/>
              </w:rPr>
            </w:pPr>
            <w:r>
              <w:rPr>
                <w:rFonts w:ascii="Arial" w:cs="Arial" w:eastAsia="Arial" w:hAnsi="Arial"/>
                <w:sz w:val="14"/>
                <w:szCs w:val="14"/>
                <w:b w:val="1"/>
                <w:bCs w:val="1"/>
                <w:color w:val="auto"/>
              </w:rPr>
              <w:t>GROSS</w:t>
            </w:r>
          </w:p>
        </w:tc>
        <w:tc>
          <w:tcPr>
            <w:tcW w:w="106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5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320"/>
              <w:spacing w:after="0" w:line="202" w:lineRule="exact"/>
              <w:rPr>
                <w:sz w:val="20"/>
                <w:szCs w:val="20"/>
                <w:color w:val="auto"/>
              </w:rPr>
            </w:pPr>
            <w:r>
              <w:rPr>
                <w:rFonts w:ascii="Arial" w:cs="Arial" w:eastAsia="Arial" w:hAnsi="Arial"/>
                <w:sz w:val="18"/>
                <w:szCs w:val="18"/>
                <w:color w:val="auto"/>
              </w:rPr>
              <w:t>Customer Relationships</w:t>
            </w: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$11,900</w:t>
            </w:r>
          </w:p>
        </w:tc>
        <w:tc>
          <w:tcPr>
            <w:tcW w:w="10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6,470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8"/>
              </w:rPr>
              <w:t>$11,900</w:t>
            </w:r>
          </w:p>
        </w:tc>
        <w:tc>
          <w:tcPr>
            <w:tcW w:w="2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Covenants not to compete</w:t>
            </w: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770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Unamortizable intangible assets: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Trade names</w:t>
            </w: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13,620</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13,620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40" w:type="dxa"/>
            <w:vAlign w:val="bottom"/>
          </w:tcPr>
          <w:p>
            <w:pPr>
              <w:ind w:left="320"/>
              <w:spacing w:after="0" w:line="202" w:lineRule="exact"/>
              <w:rPr>
                <w:sz w:val="20"/>
                <w:szCs w:val="20"/>
                <w:color w:val="auto"/>
              </w:rPr>
            </w:pPr>
            <w:r>
              <w:rPr>
                <w:rFonts w:ascii="Arial" w:cs="Arial" w:eastAsia="Arial" w:hAnsi="Arial"/>
                <w:sz w:val="18"/>
                <w:szCs w:val="18"/>
                <w:color w:val="auto"/>
              </w:rPr>
              <w:t>Certificates of need</w:t>
            </w:r>
          </w:p>
        </w:tc>
        <w:tc>
          <w:tcPr>
            <w:tcW w:w="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9,700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35,290</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6,538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35,990</w:t>
            </w:r>
          </w:p>
        </w:tc>
        <w:tc>
          <w:tcPr>
            <w:tcW w:w="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5—Senior and Subordinated Debt</w:t>
      </w:r>
    </w:p>
    <w:p>
      <w:pPr>
        <w:spacing w:after="0" w:line="72" w:lineRule="exact"/>
        <w:rPr>
          <w:sz w:val="20"/>
          <w:szCs w:val="20"/>
          <w:color w:val="auto"/>
        </w:rPr>
      </w:pPr>
    </w:p>
    <w:p>
      <w:pPr>
        <w:jc w:val="both"/>
        <w:ind w:right="260"/>
        <w:spacing w:after="0" w:line="299" w:lineRule="auto"/>
        <w:rPr>
          <w:sz w:val="20"/>
          <w:szCs w:val="20"/>
          <w:color w:val="auto"/>
        </w:rPr>
      </w:pPr>
      <w:r>
        <w:rPr>
          <w:rFonts w:ascii="Arial" w:cs="Arial" w:eastAsia="Arial" w:hAnsi="Arial"/>
          <w:sz w:val="16"/>
          <w:szCs w:val="16"/>
          <w:color w:val="auto"/>
        </w:rPr>
        <w:t>The Company has a credit agreement with a syndication of lenders who provided the Company with up to $170.0 million. The Credit Agreement provided for a term loan for up to $120.0 million, expiring in July 2013 and a revolving credit facility for up to $25.0 million, expiring in July 2012.</w:t>
      </w:r>
    </w:p>
    <w:p>
      <w:pPr>
        <w:spacing w:after="0" w:line="68"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Term Loan and the Revolving Loan are guaranteed by the Company’s subsidiaries and the Company has granted a first priority security interest in the capital stock and related assets of those subsidiaries.</w:t>
      </w:r>
    </w:p>
    <w:p>
      <w:pPr>
        <w:spacing w:after="0" w:line="11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Our Senior Secured Credit Agreement requires the Company to make additional principal payments, subject to step-down based on total leverage levels, of the Company’s defined excess cash flow. The Company made excess cash flow payments in the amount of approximately $1.8 million in 2011, and $13 million in 2010, in order to remain in compliance with its debt covenants.</w:t>
      </w:r>
    </w:p>
    <w:p>
      <w:pPr>
        <w:spacing w:after="0" w:line="1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agreement provides that the Company, at its option, may elect that all or part of the term loan and the revolving loan bear interest at a rate per annum equal to the banks applicable Alternate Base Rate or LIBOR Rate, as these terms are defined in the credit agreement. The applicable Alternate Base Rate or LIBOR Rate will be increased by an applicable margin related to each type of loan.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91" w:right="239" w:bottom="1440" w:gutter="0" w:footer="0" w:header="0"/>
        </w:sectPr>
      </w:pPr>
    </w:p>
    <w:bookmarkStart w:id="111" w:name="page112"/>
    <w:bookmarkEnd w:id="111"/>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interest rates applicable to the Senior Term Loan ranged, primarily, from 4.01% to 4.02% and 3.99% to 5.75% for the periods ended March 31, 2011 and 2010, respectively.</w:t>
      </w:r>
    </w:p>
    <w:p>
      <w:pPr>
        <w:spacing w:after="0" w:line="11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Additionally, the Company pays a commitment fee, at the rate of 0.50% per year, on the unused portion of the revolving credit facility and, at March 31, 2011 and December 31, 2010, had no borrowings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Subordinated Notes:</w:t>
      </w:r>
    </w:p>
    <w:p>
      <w:pPr>
        <w:spacing w:after="0" w:line="43"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Company has outstanding Senior Subordinated Notes in the amount of $31.0 million bearing interest at the rate of 12.0% per year, payable quarterly, with the principal balance due and payable on January 19, 2014. Additionally, the Company issued warrants to purchase</w:t>
      </w:r>
    </w:p>
    <w:p>
      <w:pPr>
        <w:spacing w:after="0" w:line="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4,041,689 shares of the Company’s common stock at an exercise price of $0.01 per share having an estimated value of approximately $768,000 based upon the fair value of the underlying common shares. The amount allocated to the warrants has been recorded in the accompanying consolidated financial statements as a discount on the Senior Subordinated Notes and the amortization is included in interest expense. The warrants shall be exercisable at any time, in whole or part, into Common Stock of the Company prior to May 28, 2014 (the “Warrant Expiration Date”). The Senior Subordinated Notes are held by funds indirectly managed by principal shareholders of the Company.</w:t>
      </w:r>
    </w:p>
    <w:p>
      <w:pPr>
        <w:spacing w:after="0" w:line="11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Senior Secured Credit Agreement and Senior Unsecured Subordinated Notes contain certain restrictive covenants. These covenants include restrictions on additional borrowings, investments, sale of assets, capital expenditures, dividends, sale and leaseback transactions, contingent obligations, transactions with affiliates and fundamental changes in business activities. The covenants also require the maintenance of certain financial ratios regarding senior indebtedness, senior interest and capital expenditures. At March 31, 2011 and December 31, 2010, the Company was in compliance with all required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April 1, 2011, in connection with the sale of the Company, all outstanding loans were paid in full (See Note 8).</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Assets and Liabilities</w:t>
      </w:r>
    </w:p>
    <w:p>
      <w:pPr>
        <w:spacing w:after="0" w:line="4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Other financial assets and liabilities with carrying amounts approximating fair value include cash and cash equivalents, accounts receivable, other current assets, current debt, accounts payable and other current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business entails an inherent risk of claims relating to professional liability. The Company maintains professional liability insurance, on a “claims made basis”, with an option to extend the claims reporting period and general liability insurance, on an “occurrence basis”. The Company also maintains additional coverage for claims in excess of the coverage provided by the professional and general liability policies. The Company accrues for unknown incidents based upon the anticipated future costs related to those potential obligations. The Company believes that its insurance coverage is sufficient based upon claims experience and the nature and risks of its business. There can be no assurance that a pending or future claim or claims will not be successful against the Company, and, if successful, will not exceed the limits of available insurance coverage or that such coverage will continue to be available at acceptable costs and on favorable terms. In February 2011, the Company entered into an agreement with its professional liability carrier to convert the professional liability policies for the 2005, 2006, 2007 and 2008 policy years from Loss Sensitive/Retrospectively Rated premium policies to Guaranteed Cost policies. This conversion effectively “buys out” the retro programs and eliminates future premium adjustments, regardless of loss development or claims experience. The premium for this conversion was, approximately, $2,500,000.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4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the ordinary course of business the Company is exposed to various legal proceedings, claims and incidents that may lead to claims. In management’s current opinion, the outcome with respect to these actions will not have a material adverse effect on the Company’s consolidated financial position, results of operations and cash flows. However, there can be no assurances that, over time, certain of these proceedings will not develop into a material event and that charges related to these matters could be significant to our results or cash flows in any one accounting period.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and Regulatory Matters:</w:t>
      </w:r>
    </w:p>
    <w:p>
      <w:pPr>
        <w:spacing w:after="0" w:line="4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Laws and regulations governing the various Medicaid and state reimbursement programs are complex and subject to interpretation. The Company believes it is in substantial compliance with all applicable laws and regulations.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91" w:right="279" w:bottom="1440" w:gutter="0" w:footer="0" w:header="0"/>
        </w:sectPr>
      </w:pPr>
    </w:p>
    <w:bookmarkStart w:id="112" w:name="page113"/>
    <w:bookmarkEnd w:id="112"/>
    <w:p>
      <w:pPr>
        <w:ind w:right="6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the Company has ongoing regulatory matters, including those described below. Currently, management does not believe the outcome of the compliance matters or regulatory investigations will have a significant impact on the financial position or operating results of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 April 2006, the Company and one of its facilities were the recipients of a federal subpoena. The Company fully cooperated with the</w:t>
      </w:r>
    </w:p>
    <w:p>
      <w:pPr>
        <w:ind w:right="40"/>
        <w:spacing w:after="0" w:line="235" w:lineRule="auto"/>
        <w:rPr>
          <w:sz w:val="20"/>
          <w:szCs w:val="20"/>
          <w:color w:val="auto"/>
        </w:rPr>
      </w:pPr>
      <w:r>
        <w:rPr>
          <w:rFonts w:ascii="Arial" w:cs="Arial" w:eastAsia="Arial" w:hAnsi="Arial"/>
          <w:sz w:val="18"/>
          <w:szCs w:val="18"/>
          <w:color w:val="auto"/>
        </w:rPr>
        <w:t>U.S. Attorney’s Office’s investigation and the parties worked on components of a model residential treatment program as a resolution of the investigation. In December 2008, the Assistant U.S. Attorney contacted the Company’s outside counsel, and informed him that the investigation was the product of a qui tam action filed under the Federal False Claims Act. Such cases are filed “under seal” and the defendants are not notified until the government officially intervenes in the case. In this instance, the Court directed the government to either settle this matter promptly, or intervene or decline to intervene, in which case the plaintiff could still proceed on his/her own; and the Court partially unsealed the case, so as to let the Company know it was the subject of a lawsuit. A settlement agreement with the U.S. Attorney’s Office was reached on April 22, 2009, which includes facets of a model residential treatment program; a partial re-payment of funding in three installments of $50,000 each, with the final installment paid in April of 2011; and various corporate integrity provisions commonly required by the U.S. Department of Health and Human Services Office of the Inspector General. As part of the integrity provisions, an independent review organization shall monitor the Company for three years. The Company was notified by the U.S. Attorney’s Office on March 9, 2010 and by the independent review organization on March 10, 2010 that they had received complaints alleging compliance concerns which they intended to investigate. The matters were fully investigated internally and externally and resolved with no material financial effects. As of January 31, 2011, the independent review organization reported no issues of non-compliance. In late February of 2011, outside counsel for the Company contacted the U.S. Attorney’s Office to verbally inform the government of the impending sale of the Company. During the call, the Assistant U.S. Attorney mentioned that he would be sending a letter or other communication on various matters, but he declined to indicate the anticipated substance of the correspondence or if there were specific concerns. The correspondence has not been received at this time.</w:t>
      </w:r>
    </w:p>
    <w:p>
      <w:pPr>
        <w:spacing w:after="0" w:line="12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August 20, 2010, the Florida Agency for Health Care Administration (AHCA) issued an Emergency Immediate Moratorium on Admissions to halt all residential treatment admissions due to regulatory deficiencies. Subsequently over a period of four months, AHCA issued a moratorium on admissions for two of the group homes; filed five administrative complaints seeking fines totaling $134,500 and revocation of licenses; and sent a notice of termination of the Medicaid Statewide Inpatient Psychiatric Program (SIPP) contract with Tampa Bay Academy, effective December 15, 2010, which was subsequently withdrawn to allow the Company to voluntarily terminate that contract. This facility was closed on December 31, 2010, and the case was settled for approximately $30,000 in June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and Common Stock:</w:t>
      </w:r>
    </w:p>
    <w:p>
      <w:pPr>
        <w:spacing w:after="0" w:line="43"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color w:val="auto"/>
        </w:rPr>
        <w:t>The authorized capital stock of the Company consists of 375,000,000 shares of capital stock designated as follows: (i) 270,000,000 shares of preferred stock, par value $.0001, of which 90,000,000 shares have been designated as Series “A” Convertible Preferred Stock,</w:t>
      </w:r>
    </w:p>
    <w:p>
      <w:pPr>
        <w:spacing w:after="0" w:line="239" w:lineRule="auto"/>
        <w:rPr>
          <w:sz w:val="20"/>
          <w:szCs w:val="20"/>
          <w:color w:val="auto"/>
        </w:rPr>
      </w:pPr>
      <w:r>
        <w:rPr>
          <w:rFonts w:ascii="Arial" w:cs="Arial" w:eastAsia="Arial" w:hAnsi="Arial"/>
          <w:sz w:val="18"/>
          <w:szCs w:val="18"/>
          <w:color w:val="auto"/>
        </w:rPr>
        <w:t>90,000,000 shares have been designated as Series “B” Convertible Preferred Stock and 90,000,000 shares have been designated as Redeemable Preferred Stock, and (ii) 105,000,000 shares of common stock, par value $.0001.</w:t>
      </w:r>
    </w:p>
    <w:p>
      <w:pPr>
        <w:spacing w:after="0" w:line="11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83,609,009 shares of Series “A” Convertible Preferred Stock and 85,398 shares of Common Stock were issued and outstanding for the periods ended March 31, 2011 and December 31, 2010, respectively.</w:t>
      </w:r>
    </w:p>
    <w:p>
      <w:pPr>
        <w:spacing w:after="0" w:line="11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All of the Company’s outstanding shares of Preferred and Common stock are held by Company sponsors and certain of its current and former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Company’s anticipated annual effective income tax rate is, approximately, 39.0%. The provision for income taxes differs from the statutory rate primarily due to state taxes, permanent differences and the effect of the valuation allowance.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91"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9—Subsequent Events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Definitive Agreements:</w:t>
      </w:r>
    </w:p>
    <w:p>
      <w:pPr>
        <w:spacing w:after="0" w:line="4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April 1, 2011, prior to the consummation of sale referred to below, the Company declared a dividend of and distributed 100% of the outstanding shares of the capital stock of Oak Ridge to the holders of Series A Preferred Stock of the Company. Upon consummation of the dividend, the Company wrote off approximately $1.4 million relating to an Oak Ridge accrued regulatory matter.</w:t>
      </w:r>
    </w:p>
    <w:p>
      <w:pPr>
        <w:spacing w:after="0" w:line="11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On February 17, 2011, Youth and Family Centered Services, Inc., entered into an Agreement and Plan of Merger (the “Merger Agreement”), with Acadia Healthcare Company, LLC, a Delaware corporation (the “Parent”), and Acadia—YFCS Acquisition Company, Inc., a Georgia corporation (the “Merger Co”).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Companies closed the transaction on April 1, 2011.</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 2011, upon consummation of the sale, approximately, $84.3 million of our Senior and Subordinated Debt was paid off and the Company expensed all remaining deferred charges, including, deferred financing costs, subordinated debt warrants, rating agency and lender administrative fees in the amount of, approximately, $1,593,000.</w:t>
      </w:r>
    </w:p>
    <w:p>
      <w:pPr>
        <w:spacing w:after="0" w:line="11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Furthermore, on April 1, 2011, upon consummation of the sale, the Company wrote off dividends accrued on preferred shares in the amount of, approximately, $15,300,000 and returned invested capital to both preferred and common shareholders in the amount of, approximately, $4,000,000.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4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2004, the Company entered into employments agreement with our Chief Executive Officer (the “CEO”) and Chief Financial Officer (the “CFO”). Such employment agreements have been amended in connection with the Merger (the “Amendments”), with the Amendments becoming effective upon the consummation thereof.</w:t>
      </w:r>
    </w:p>
    <w:p>
      <w:pPr>
        <w:spacing w:after="0" w:line="1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accordance with the appropriate guidance which establishes general standard of accounting for and disclosure of events that occur after the balance sheet date but before the financial statements are issued or available to be issued, the Company evaluated subsequent events through July 7, 2011, the date the financial statements were available to be issued. There were no other material subsequent events that required recognition or additional disclosure in these financial statements.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AUDITORS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rPr>
          <w:sz w:val="20"/>
          <w:szCs w:val="20"/>
          <w:color w:val="auto"/>
        </w:rPr>
      </w:pPr>
      <w:r>
        <w:rPr>
          <w:rFonts w:ascii="Arial" w:cs="Arial" w:eastAsia="Arial" w:hAnsi="Arial"/>
          <w:sz w:val="18"/>
          <w:szCs w:val="18"/>
          <w:color w:val="auto"/>
        </w:rPr>
        <w:t>Youth and Family Centered Services, Inc. and Subsidiaries</w:t>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audited the accompanying consolidated balance sheets of Youth and Family Centered Services, Inc. and Subsidiaries as of December 31, 2010 and 2009, and the related consolidated statements of operations, stockholders’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4"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Youth and Family Centered Services, Inc. and Subsidiaries at December 31, 2010 and 2009, and the consolidated results of their operations and their cash flows for each of the three years in the period ended December 31, 2010, in conformity with U.S. generally accepted accounting principles.</w:t>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rPr>
          <w:sz w:val="20"/>
          <w:szCs w:val="20"/>
          <w:color w:val="auto"/>
        </w:rPr>
      </w:pPr>
      <w:r>
        <w:rPr>
          <w:rFonts w:ascii="Arial" w:cs="Arial" w:eastAsia="Arial" w:hAnsi="Arial"/>
          <w:sz w:val="18"/>
          <w:szCs w:val="18"/>
          <w:color w:val="auto"/>
        </w:rPr>
        <w:t>March 31, 2011</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69" w:right="27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jc w:val="right"/>
              <w:ind w:right="113"/>
              <w:spacing w:after="0" w:line="142"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5300"/>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15,294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ind w:left="320"/>
              <w:spacing w:after="0" w:line="202" w:lineRule="exact"/>
              <w:rPr>
                <w:sz w:val="20"/>
                <w:szCs w:val="20"/>
                <w:color w:val="auto"/>
              </w:rPr>
            </w:pPr>
            <w:r>
              <w:rPr>
                <w:rFonts w:ascii="Arial" w:cs="Arial" w:eastAsia="Arial" w:hAnsi="Arial"/>
                <w:sz w:val="18"/>
                <w:szCs w:val="18"/>
                <w:color w:val="auto"/>
              </w:rPr>
              <w:t>Patient accounts receivable, net of allowances for doubtful accounts of $735 and $1,215, respectively.</w:t>
            </w: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15,365</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16,693</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80" w:type="dxa"/>
            <w:vAlign w:val="bottom"/>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2,839</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33,959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25,592</w:t>
            </w:r>
          </w:p>
        </w:tc>
        <w:tc>
          <w:tcPr>
            <w:tcW w:w="0" w:type="dxa"/>
            <w:vAlign w:val="bottom"/>
          </w:tcPr>
          <w:p>
            <w:pPr>
              <w:spacing w:after="0"/>
              <w:rPr>
                <w:sz w:val="1"/>
                <w:szCs w:val="1"/>
                <w:color w:val="auto"/>
              </w:rPr>
            </w:pP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28,333</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26,457</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157,502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133,974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Other intangibles, net of accumulated amortization of $5,475 and $6,909, respectively.</w:t>
            </w: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30,515</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29,081</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issuance costs, net of accumulated amortization of $2,744 and $3,423, respectively.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2,132</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254,620</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217,530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LIABILITIES &amp; STOCKHOLDERS’ EQUITY</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1,548</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Accrued salaries and wages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ind w:left="320"/>
              <w:spacing w:after="0" w:line="202" w:lineRule="exact"/>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4,349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13,273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25,236</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15,769</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secured notes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68,178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54,071</w:t>
            </w:r>
          </w:p>
        </w:tc>
        <w:tc>
          <w:tcPr>
            <w:tcW w:w="0" w:type="dxa"/>
            <w:vAlign w:val="bottom"/>
          </w:tcPr>
          <w:p>
            <w:pPr>
              <w:spacing w:after="0"/>
              <w:rPr>
                <w:sz w:val="1"/>
                <w:szCs w:val="1"/>
                <w:color w:val="auto"/>
              </w:rPr>
            </w:pP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Senior subordinated notes</w:t>
            </w: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30,676</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30,755</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13,893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10"/>
        </w:trPr>
        <w:tc>
          <w:tcPr>
            <w:tcW w:w="938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2,716</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140,699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115,404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Series A Convertible Preferred Stock, $.0001 par value, 90,000,000 shares authorized, 83,609,009,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3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outstanding at December 31, 2009 and 2010.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6"/>
        </w:trPr>
        <w:tc>
          <w:tcPr>
            <w:tcW w:w="9380" w:type="dxa"/>
            <w:vAlign w:val="bottom"/>
          </w:tcPr>
          <w:p>
            <w:pPr>
              <w:ind w:left="320"/>
              <w:spacing w:after="0" w:line="206" w:lineRule="exact"/>
              <w:rPr>
                <w:sz w:val="20"/>
                <w:szCs w:val="20"/>
                <w:color w:val="auto"/>
              </w:rPr>
            </w:pPr>
            <w:r>
              <w:rPr>
                <w:rFonts w:ascii="Arial" w:cs="Arial" w:eastAsia="Arial" w:hAnsi="Arial"/>
                <w:sz w:val="18"/>
                <w:szCs w:val="18"/>
                <w:color w:val="auto"/>
              </w:rPr>
              <w:t>Series B Convertible Preferred Stock, $.0001 par value, 90,000,000 shares authorized, none issued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380" w:type="dxa"/>
            <w:vAlign w:val="bottom"/>
          </w:tcPr>
          <w:p>
            <w:pPr>
              <w:ind w:left="640"/>
              <w:spacing w:after="0" w:line="200" w:lineRule="exact"/>
              <w:rPr>
                <w:sz w:val="20"/>
                <w:szCs w:val="20"/>
                <w:color w:val="auto"/>
              </w:rPr>
            </w:pPr>
            <w:r>
              <w:rPr>
                <w:rFonts w:ascii="Arial" w:cs="Arial" w:eastAsia="Arial" w:hAnsi="Arial"/>
                <w:sz w:val="18"/>
                <w:szCs w:val="18"/>
                <w:color w:val="auto"/>
              </w:rPr>
              <w:t>outstanding at December 31, 2009 and 2010.</w:t>
            </w: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Redeemable Preferred Stock, $.0001 par value, 90,000,000 shares authorized, none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3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December 31, 2009 and 2010.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9380" w:type="dxa"/>
            <w:vAlign w:val="bottom"/>
          </w:tcPr>
          <w:p>
            <w:pPr>
              <w:ind w:left="320"/>
              <w:spacing w:after="0" w:line="206" w:lineRule="exact"/>
              <w:rPr>
                <w:sz w:val="20"/>
                <w:szCs w:val="20"/>
                <w:color w:val="auto"/>
              </w:rPr>
            </w:pPr>
            <w:r>
              <w:rPr>
                <w:rFonts w:ascii="Arial" w:cs="Arial" w:eastAsia="Arial" w:hAnsi="Arial"/>
                <w:sz w:val="18"/>
                <w:szCs w:val="18"/>
                <w:color w:val="auto"/>
              </w:rPr>
              <w:t>Common stock, $.0001 par value, 105,000,000 shares authorized, 85,398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380" w:type="dxa"/>
            <w:vAlign w:val="bottom"/>
          </w:tcPr>
          <w:p>
            <w:pPr>
              <w:ind w:left="640"/>
              <w:spacing w:after="0" w:line="200" w:lineRule="exact"/>
              <w:rPr>
                <w:sz w:val="20"/>
                <w:szCs w:val="20"/>
                <w:color w:val="auto"/>
              </w:rPr>
            </w:pPr>
            <w:r>
              <w:rPr>
                <w:rFonts w:ascii="Arial" w:cs="Arial" w:eastAsia="Arial" w:hAnsi="Arial"/>
                <w:sz w:val="18"/>
                <w:szCs w:val="18"/>
                <w:color w:val="auto"/>
              </w:rPr>
              <w:t>December 31, 2009 and 2010, respectively.</w:t>
            </w: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97,119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99,577</w:t>
            </w:r>
          </w:p>
        </w:tc>
        <w:tc>
          <w:tcPr>
            <w:tcW w:w="0" w:type="dxa"/>
            <w:vAlign w:val="bottom"/>
          </w:tcPr>
          <w:p>
            <w:pPr>
              <w:spacing w:after="0"/>
              <w:rPr>
                <w:sz w:val="1"/>
                <w:szCs w:val="1"/>
                <w:color w:val="auto"/>
              </w:rPr>
            </w:pPr>
          </w:p>
        </w:tc>
      </w:tr>
      <w:tr>
        <w:trPr>
          <w:trHeight w:val="210"/>
        </w:trPr>
        <w:tc>
          <w:tcPr>
            <w:tcW w:w="9380" w:type="dxa"/>
            <w:vAlign w:val="bottom"/>
          </w:tcPr>
          <w:p>
            <w:pPr>
              <w:ind w:left="32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16,794</w:t>
            </w:r>
          </w:p>
        </w:tc>
        <w:tc>
          <w:tcPr>
            <w:tcW w:w="12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113,921</w:t>
            </w: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102,126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254,620</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6"/>
              </w:rPr>
              <w:t>FOR THE YEARS ENDED DECEMBER 31,</w:t>
            </w:r>
          </w:p>
        </w:tc>
      </w:tr>
      <w:tr>
        <w:trPr>
          <w:trHeight w:val="142"/>
        </w:trPr>
        <w:tc>
          <w:tcPr>
            <w:tcW w:w="7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7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(Amounts 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Revenues</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180,646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186,586</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$184,386</w:t>
            </w:r>
          </w:p>
        </w:tc>
        <w:tc>
          <w:tcPr>
            <w:tcW w:w="100" w:type="dxa"/>
            <w:vAlign w:val="bottom"/>
            <w:shd w:val="clear" w:color="auto" w:fill="CCEEFF"/>
          </w:tcPr>
          <w:p>
            <w:pPr>
              <w:spacing w:after="0"/>
              <w:rPr>
                <w:sz w:val="17"/>
                <w:szCs w:val="17"/>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Salaries and benefits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110,966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113,870</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113,931</w:t>
            </w:r>
          </w:p>
        </w:tc>
        <w:tc>
          <w:tcPr>
            <w:tcW w:w="100" w:type="dxa"/>
            <w:vAlign w:val="bottom"/>
            <w:shd w:val="clear" w:color="auto" w:fill="CCEEFF"/>
          </w:tcPr>
          <w:p>
            <w:pPr>
              <w:spacing w:after="0"/>
              <w:rPr>
                <w:sz w:val="17"/>
                <w:szCs w:val="17"/>
                <w:color w:val="auto"/>
              </w:rPr>
            </w:pPr>
          </w:p>
        </w:tc>
      </w:tr>
      <w:tr>
        <w:trPr>
          <w:trHeight w:val="203"/>
        </w:trPr>
        <w:tc>
          <w:tcPr>
            <w:tcW w:w="7040" w:type="dxa"/>
            <w:vAlign w:val="bottom"/>
          </w:tcPr>
          <w:p>
            <w:pPr>
              <w:ind w:left="320"/>
              <w:spacing w:after="0" w:line="202" w:lineRule="exact"/>
              <w:rPr>
                <w:sz w:val="20"/>
                <w:szCs w:val="20"/>
                <w:color w:val="auto"/>
              </w:rPr>
            </w:pPr>
            <w:r>
              <w:rPr>
                <w:rFonts w:ascii="Arial" w:cs="Arial" w:eastAsia="Arial" w:hAnsi="Arial"/>
                <w:sz w:val="18"/>
                <w:szCs w:val="18"/>
                <w:color w:val="auto"/>
              </w:rPr>
              <w:t>Other operating 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37,648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37,592</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38,155</w:t>
            </w:r>
          </w:p>
        </w:tc>
      </w:tr>
      <w:tr>
        <w:trPr>
          <w:trHeight w:val="203"/>
        </w:trPr>
        <w:tc>
          <w:tcPr>
            <w:tcW w:w="70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(recoveries of) bad debts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1,902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(309)</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7"/>
                <w:szCs w:val="17"/>
                <w:color w:val="auto"/>
              </w:rPr>
            </w:pPr>
          </w:p>
        </w:tc>
      </w:tr>
      <w:tr>
        <w:trPr>
          <w:trHeight w:val="203"/>
        </w:trPr>
        <w:tc>
          <w:tcPr>
            <w:tcW w:w="7040" w:type="dxa"/>
            <w:vAlign w:val="bottom"/>
          </w:tcPr>
          <w:p>
            <w:pPr>
              <w:ind w:left="320"/>
              <w:spacing w:after="0" w:line="202" w:lineRule="exact"/>
              <w:rPr>
                <w:sz w:val="20"/>
                <w:szCs w:val="20"/>
                <w:color w:val="auto"/>
              </w:rPr>
            </w:pPr>
            <w:r>
              <w:rPr>
                <w:rFonts w:ascii="Arial" w:cs="Arial" w:eastAsia="Arial" w:hAnsi="Arial"/>
                <w:sz w:val="18"/>
                <w:szCs w:val="18"/>
                <w:color w:val="auto"/>
              </w:rPr>
              <w:t>Interest and amortization of debt costs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12,488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9,572</w:t>
            </w:r>
          </w:p>
        </w:tc>
        <w:tc>
          <w:tcPr>
            <w:tcW w:w="4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7,514</w:t>
            </w:r>
          </w:p>
        </w:tc>
        <w:tc>
          <w:tcPr>
            <w:tcW w:w="100" w:type="dxa"/>
            <w:vAlign w:val="bottom"/>
          </w:tcPr>
          <w:p>
            <w:pPr>
              <w:spacing w:after="0"/>
              <w:rPr>
                <w:sz w:val="17"/>
                <w:szCs w:val="17"/>
                <w:color w:val="auto"/>
              </w:rPr>
            </w:pPr>
          </w:p>
        </w:tc>
      </w:tr>
      <w:tr>
        <w:trPr>
          <w:trHeight w:val="203"/>
        </w:trPr>
        <w:tc>
          <w:tcPr>
            <w:tcW w:w="70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9,419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7,052</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3,456</w:t>
            </w:r>
          </w:p>
        </w:tc>
        <w:tc>
          <w:tcPr>
            <w:tcW w:w="100" w:type="dxa"/>
            <w:vAlign w:val="bottom"/>
            <w:shd w:val="clear" w:color="auto" w:fill="CCEEFF"/>
          </w:tcPr>
          <w:p>
            <w:pPr>
              <w:spacing w:after="0"/>
              <w:rPr>
                <w:sz w:val="17"/>
                <w:szCs w:val="17"/>
                <w:color w:val="auto"/>
              </w:rPr>
            </w:pPr>
          </w:p>
        </w:tc>
      </w:tr>
      <w:tr>
        <w:trPr>
          <w:trHeight w:val="210"/>
        </w:trPr>
        <w:tc>
          <w:tcPr>
            <w:tcW w:w="7040" w:type="dxa"/>
            <w:vAlign w:val="bottom"/>
          </w:tcPr>
          <w:p>
            <w:pPr>
              <w:ind w:left="320"/>
              <w:spacing w:after="0" w:line="202" w:lineRule="exact"/>
              <w:rPr>
                <w:sz w:val="20"/>
                <w:szCs w:val="20"/>
                <w:color w:val="auto"/>
              </w:rPr>
            </w:pPr>
            <w:r>
              <w:rPr>
                <w:rFonts w:ascii="Arial" w:cs="Arial" w:eastAsia="Arial" w:hAnsi="Arial"/>
                <w:sz w:val="18"/>
                <w:szCs w:val="18"/>
                <w:color w:val="auto"/>
              </w:rPr>
              <w:t>Impairment of goodwill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23,528</w:t>
            </w:r>
          </w:p>
        </w:tc>
      </w:tr>
      <w:tr>
        <w:trPr>
          <w:trHeight w:val="203"/>
        </w:trPr>
        <w:tc>
          <w:tcPr>
            <w:tcW w:w="70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Expenses</w:t>
            </w:r>
          </w:p>
        </w:tc>
        <w:tc>
          <w:tcPr>
            <w:tcW w:w="1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172,423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167,777</w:t>
            </w: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187,109</w:t>
            </w:r>
          </w:p>
        </w:tc>
        <w:tc>
          <w:tcPr>
            <w:tcW w:w="100" w:type="dxa"/>
            <w:vAlign w:val="bottom"/>
            <w:shd w:val="clear" w:color="auto" w:fill="CCEEFF"/>
          </w:tcPr>
          <w:p>
            <w:pPr>
              <w:spacing w:after="0"/>
              <w:rPr>
                <w:sz w:val="17"/>
                <w:szCs w:val="17"/>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Income/(Loss) from continuing operations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8,223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18,809</w:t>
            </w: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(2,723)</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Gain/(Loss) on the sale of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
        </w:trPr>
        <w:tc>
          <w:tcPr>
            <w:tcW w:w="7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Income/(Loss) from continuing operations before income taxes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18,794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(2,714)</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7,133</w:t>
            </w:r>
          </w:p>
        </w:tc>
        <w:tc>
          <w:tcPr>
            <w:tcW w:w="4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7"/>
                <w:szCs w:val="17"/>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Income/(Loss) from continuing operations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5,035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11,661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(7,746)</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Discontinued Operations: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040" w:type="dxa"/>
            <w:vAlign w:val="bottom"/>
          </w:tcPr>
          <w:p>
            <w:pPr>
              <w:ind w:left="320"/>
              <w:spacing w:after="0" w:line="202" w:lineRule="exact"/>
              <w:rPr>
                <w:sz w:val="20"/>
                <w:szCs w:val="20"/>
                <w:color w:val="auto"/>
              </w:rPr>
            </w:pPr>
            <w:r>
              <w:rPr>
                <w:rFonts w:ascii="Arial" w:cs="Arial" w:eastAsia="Arial" w:hAnsi="Arial"/>
                <w:sz w:val="18"/>
                <w:szCs w:val="18"/>
                <w:color w:val="auto"/>
              </w:rPr>
              <w:t>Income (loss) from operations and abandonment of discontinued facility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1,654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(2,356)</w:t>
            </w: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(6,068)</w:t>
            </w:r>
          </w:p>
        </w:tc>
      </w:tr>
      <w:tr>
        <w:trPr>
          <w:trHeight w:val="203"/>
        </w:trPr>
        <w:tc>
          <w:tcPr>
            <w:tcW w:w="70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Income tax benefit (expense)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913</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40" w:type="dxa"/>
            <w:vAlign w:val="bottom"/>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(1,443)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(4,060)</w:t>
            </w:r>
          </w:p>
        </w:tc>
      </w:tr>
      <w:tr>
        <w:trPr>
          <w:trHeight w:val="27"/>
        </w:trPr>
        <w:tc>
          <w:tcPr>
            <w:tcW w:w="7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Income/(Loss)</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5,999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10,218</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 (11,806)</w:t>
            </w:r>
          </w:p>
        </w:tc>
      </w:tr>
      <w:tr>
        <w:trPr>
          <w:trHeight w:val="20"/>
        </w:trPr>
        <w:tc>
          <w:tcPr>
            <w:tcW w:w="7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PREFERRED STOCK</w:t>
            </w:r>
          </w:p>
        </w:tc>
        <w:tc>
          <w:tcPr>
            <w:tcW w:w="140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96"/>
              </w:rPr>
              <w:t>COMMON STOCK</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1"/>
        </w:trPr>
        <w:tc>
          <w:tcPr>
            <w:tcW w:w="3660" w:type="dxa"/>
            <w:vAlign w:val="bottom"/>
          </w:tcPr>
          <w:p>
            <w:pPr>
              <w:spacing w:after="0"/>
              <w:rPr>
                <w:sz w:val="6"/>
                <w:szCs w:val="6"/>
                <w:color w:val="auto"/>
              </w:rPr>
            </w:pPr>
          </w:p>
        </w:tc>
        <w:tc>
          <w:tcPr>
            <w:tcW w:w="2040" w:type="dxa"/>
            <w:vAlign w:val="bottom"/>
            <w:gridSpan w:val="6"/>
            <w:vMerge w:val="continue"/>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PAID-IN</w:t>
            </w:r>
          </w:p>
        </w:tc>
        <w:tc>
          <w:tcPr>
            <w:tcW w:w="11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8"/>
        </w:trPr>
        <w:tc>
          <w:tcPr>
            <w:tcW w:w="36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SHARES</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CAPITAL</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ind w:left="20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2007</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81,802</w:t>
            </w:r>
          </w:p>
        </w:tc>
        <w:tc>
          <w:tcPr>
            <w:tcW w:w="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91,483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5,156</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96,647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Preferred Stock Undeclared Dividends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(2,264)</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 Exercised</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Stock Based Compensation</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0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Excess Tax Benefit Resulting from Stock</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Options Exercised</w:t>
            </w:r>
          </w:p>
        </w:tc>
        <w:tc>
          <w:tcPr>
            <w:tcW w:w="80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5,999</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2008</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81,802</w:t>
            </w:r>
          </w:p>
        </w:tc>
        <w:tc>
          <w:tcPr>
            <w:tcW w:w="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93,797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8,891</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Preferred Stock Undeclared Dividends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(2,315)</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 Exercised</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Stock Based Compensation</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0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Excess Tax Benefit Resulting from Stock</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Options Exercised</w:t>
            </w:r>
          </w:p>
        </w:tc>
        <w:tc>
          <w:tcPr>
            <w:tcW w:w="80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10,218</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2009</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83,609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97,119</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16,794</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113,921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Preferred Stock Undeclared Dividends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Based Compensation</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5"/>
              </w:rPr>
              <w:t>(11,806)</w:t>
            </w:r>
          </w:p>
        </w:tc>
        <w:tc>
          <w:tcPr>
            <w:tcW w:w="22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83,609</w:t>
            </w:r>
          </w:p>
        </w:tc>
        <w:tc>
          <w:tcPr>
            <w:tcW w:w="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99,577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2,541</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5"/>
              </w:rPr>
              <w:t>FOR THE YEARS ENDED DECEMBER 31,</w:t>
            </w:r>
          </w:p>
        </w:tc>
      </w:tr>
      <w:tr>
        <w:trPr>
          <w:trHeight w:val="142"/>
        </w:trPr>
        <w:tc>
          <w:tcPr>
            <w:tcW w:w="7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5"/>
              </w:rPr>
              <w:t>(Amounts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5,999</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10,218</w:t>
            </w:r>
          </w:p>
        </w:tc>
        <w:tc>
          <w:tcPr>
            <w:tcW w:w="5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(11,806)</w:t>
            </w:r>
          </w:p>
        </w:tc>
      </w:tr>
      <w:tr>
        <w:trPr>
          <w:trHeight w:val="203"/>
        </w:trPr>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640"/>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(2,670)</w:t>
            </w:r>
          </w:p>
        </w:tc>
      </w:tr>
      <w:tr>
        <w:trPr>
          <w:trHeight w:val="203"/>
        </w:trPr>
        <w:tc>
          <w:tcPr>
            <w:tcW w:w="79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90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9,627</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7,210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3,587</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Impairment of tangible assets and goodwill</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24,583</w:t>
            </w:r>
          </w:p>
        </w:tc>
      </w:tr>
      <w:tr>
        <w:trPr>
          <w:trHeight w:val="203"/>
        </w:trPr>
        <w:tc>
          <w:tcPr>
            <w:tcW w:w="7900" w:type="dxa"/>
            <w:vAlign w:val="bottom"/>
          </w:tcPr>
          <w:p>
            <w:pPr>
              <w:ind w:left="640"/>
              <w:spacing w:after="0" w:line="202" w:lineRule="exact"/>
              <w:rPr>
                <w:sz w:val="20"/>
                <w:szCs w:val="20"/>
                <w:color w:val="auto"/>
              </w:rPr>
            </w:pPr>
            <w:r>
              <w:rPr>
                <w:rFonts w:ascii="Arial" w:cs="Arial" w:eastAsia="Arial" w:hAnsi="Arial"/>
                <w:sz w:val="18"/>
                <w:szCs w:val="18"/>
                <w:color w:val="auto"/>
              </w:rPr>
              <w:t>Loss on the sale of fixed assets</w:t>
            </w:r>
          </w:p>
        </w:tc>
        <w:tc>
          <w:tcPr>
            <w:tcW w:w="18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r>
      <w:tr>
        <w:trPr>
          <w:trHeight w:val="203"/>
        </w:trPr>
        <w:tc>
          <w:tcPr>
            <w:tcW w:w="79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Amortization of discount on debt and deferred financing costs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rPr>
              <w:t>Patient accounts receivable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1,401</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2,926</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(1,327)</w:t>
            </w:r>
          </w:p>
        </w:tc>
      </w:tr>
      <w:tr>
        <w:trPr>
          <w:trHeight w:val="203"/>
        </w:trPr>
        <w:tc>
          <w:tcPr>
            <w:tcW w:w="7900" w:type="dxa"/>
            <w:vAlign w:val="bottom"/>
          </w:tcPr>
          <w:p>
            <w:pPr>
              <w:ind w:left="96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1,129</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1,826</w:t>
            </w: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(1,096)</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(2,379)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7"/>
                <w:szCs w:val="17"/>
                <w:color w:val="auto"/>
              </w:rPr>
            </w:pPr>
          </w:p>
        </w:tc>
      </w:tr>
      <w:tr>
        <w:trPr>
          <w:trHeight w:val="217"/>
        </w:trPr>
        <w:tc>
          <w:tcPr>
            <w:tcW w:w="79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20,977</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tcPr>
          <w:p>
            <w:pPr>
              <w:spacing w:after="0"/>
              <w:rPr>
                <w:sz w:val="18"/>
                <w:szCs w:val="18"/>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(2,367)</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(1,492)</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(1,316)</w:t>
            </w:r>
          </w:p>
        </w:tc>
      </w:tr>
      <w:tr>
        <w:trPr>
          <w:trHeight w:val="203"/>
        </w:trPr>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Proceeds from the sale of fixed assets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w:t>
            </w:r>
          </w:p>
        </w:tc>
      </w:tr>
      <w:tr>
        <w:trPr>
          <w:trHeight w:val="210"/>
        </w:trPr>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Acquisition costs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90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(1,354)</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(1,297)</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Proceeds from issuance of preferred stock</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Excess tax benefits related to stock option exercise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Payments on senior term loan</w:t>
            </w: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(25,700)</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(26,100)</w:t>
            </w:r>
          </w:p>
        </w:tc>
      </w:tr>
      <w:tr>
        <w:trPr>
          <w:trHeight w:val="203"/>
        </w:trPr>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Payments on capital leases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Other long-term borrowings/(payments)—net</w:t>
            </w: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7"/>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90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(1,512)</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(25,083)</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(26,102)</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(5,580)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(9,987)</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6,875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20,874</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15,294</w:t>
            </w:r>
          </w:p>
        </w:tc>
        <w:tc>
          <w:tcPr>
            <w:tcW w:w="100" w:type="dxa"/>
            <w:vAlign w:val="bottom"/>
            <w:shd w:val="clear" w:color="auto" w:fill="CCEEFF"/>
          </w:tcPr>
          <w:p>
            <w:pPr>
              <w:spacing w:after="0"/>
              <w:rPr>
                <w:sz w:val="17"/>
                <w:szCs w:val="17"/>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20,874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15,294</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11,931</w:t>
            </w:r>
          </w:p>
        </w:tc>
        <w:tc>
          <w:tcPr>
            <w:tcW w:w="5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9,505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spacing w:after="0"/>
              <w:rPr>
                <w:sz w:val="17"/>
                <w:szCs w:val="17"/>
                <w:color w:val="auto"/>
              </w:rPr>
            </w:pPr>
          </w:p>
        </w:tc>
      </w:tr>
      <w:tr>
        <w:trPr>
          <w:trHeight w:val="214"/>
        </w:trPr>
        <w:tc>
          <w:tcPr>
            <w:tcW w:w="7900" w:type="dxa"/>
            <w:vAlign w:val="bottom"/>
          </w:tcPr>
          <w:p>
            <w:pPr>
              <w:spacing w:after="0"/>
              <w:rPr>
                <w:sz w:val="20"/>
                <w:szCs w:val="20"/>
                <w:color w:val="auto"/>
              </w:rPr>
            </w:pPr>
            <w:r>
              <w:rPr>
                <w:rFonts w:ascii="Arial" w:cs="Arial" w:eastAsia="Arial" w:hAnsi="Arial"/>
                <w:sz w:val="18"/>
                <w:szCs w:val="18"/>
                <w:color w:val="auto"/>
              </w:rPr>
              <w:t>Income Taxes Paid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4,969</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8"/>
                <w:szCs w:val="18"/>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YOUTH AND FAMILY CENTERED SERVICES,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6740" w:firstLine="8"/>
        <w:spacing w:after="0" w:line="294" w:lineRule="auto"/>
        <w:tabs>
          <w:tab w:leader="none" w:pos="195"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Organization and Business:</w:t>
      </w:r>
    </w:p>
    <w:p>
      <w:pPr>
        <w:spacing w:after="0" w:line="1" w:lineRule="exact"/>
        <w:rPr>
          <w:rFonts w:ascii="Arial" w:cs="Arial" w:eastAsia="Arial" w:hAnsi="Arial"/>
          <w:sz w:val="18"/>
          <w:szCs w:val="18"/>
          <w:b w:val="1"/>
          <w:bCs w:val="1"/>
          <w:color w:val="auto"/>
        </w:rPr>
      </w:pPr>
    </w:p>
    <w:p>
      <w:pPr>
        <w:ind w:right="3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Youth and Family Centered Services, Inc. (the “Company”) was incorporated in 1997 and is headquartered in Austin, Texas. The Company is a leading provider of behavioral healthcare, education, and long-term support needs for abused and neglected children and adolescents. The Company operates thirteen facilities in eight states and its services include inpatient acute care programs, residential treatment programs, programs for the developmentally disabled, foster care, group homes, home and community based services, outpatient and accredited private schools.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4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consolidated financial statements include the accounts of Youth and Family Centered Services, Inc. and its subsidiaries in accordance with accounting principles generally accepted in the United States. All significant intercompany accounts and transactions have been eliminated.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4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Company classifies as cash and cash equivalents all highly liquid investments with a maturity date of three months or less from the date of purchase. The carrying values of cash and cash equivalents approximated fair value due to the short-term nature of these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Allowance for Contractual Discounts:</w:t>
      </w:r>
    </w:p>
    <w:p>
      <w:pPr>
        <w:spacing w:after="0" w:line="4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Revenues consist primarily of net patient service revenues that are recorded based upon established billing rates less allowances for contractual adjustments. Revenues are recorded during the period the health care services are provided, based upon the estimated amounts due from the patients and third-party payors. Third party payors include Medicaid, various state agencies, managed care health plans and commercial insurance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patient service revenue by payor type and as a percent of total patient service revenue for the years ended</w:t>
      </w:r>
    </w:p>
    <w:p>
      <w:pPr>
        <w:spacing w:after="0"/>
        <w:rPr>
          <w:sz w:val="20"/>
          <w:szCs w:val="20"/>
          <w:color w:val="auto"/>
        </w:rPr>
      </w:pPr>
      <w:r>
        <w:rPr>
          <w:rFonts w:ascii="Arial" w:cs="Arial" w:eastAsia="Arial" w:hAnsi="Arial"/>
          <w:sz w:val="18"/>
          <w:szCs w:val="18"/>
          <w:color w:val="auto"/>
        </w:rPr>
        <w:t xml:space="preserve">December 31, 2009 and 2010 </w:t>
      </w:r>
      <w:r>
        <w:rPr>
          <w:rFonts w:ascii="Arial" w:cs="Arial" w:eastAsia="Arial" w:hAnsi="Arial"/>
          <w:sz w:val="18"/>
          <w:szCs w:val="18"/>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96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79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196"/>
        </w:trPr>
        <w:tc>
          <w:tcPr>
            <w:tcW w:w="7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Private Pay</w:t>
            </w:r>
          </w:p>
        </w:tc>
        <w:tc>
          <w:tcPr>
            <w:tcW w:w="10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1,324</w:t>
            </w:r>
          </w:p>
        </w:tc>
        <w:tc>
          <w:tcPr>
            <w:tcW w:w="8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0.7%</w:t>
            </w:r>
          </w:p>
        </w:tc>
        <w:tc>
          <w:tcPr>
            <w:tcW w:w="10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1,001</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0.6%</w:t>
            </w: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Commercial</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4,937</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4,656</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Medicaid</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180,325</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96.6%</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178,729</w:t>
            </w: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96.9%</w:t>
            </w:r>
          </w:p>
        </w:tc>
      </w:tr>
      <w:tr>
        <w:trPr>
          <w:trHeight w:val="221"/>
        </w:trPr>
        <w:tc>
          <w:tcPr>
            <w:tcW w:w="7960" w:type="dxa"/>
            <w:vAlign w:val="bottom"/>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186,586</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184,386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4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The following tables present the aging of accounts receivable, net of allowance for doubtful accounts, by payor type as of December 31, 2009 and 2010 </w:t>
      </w:r>
      <w:r>
        <w:rPr>
          <w:rFonts w:ascii="Arial" w:cs="Arial" w:eastAsia="Arial" w:hAnsi="Arial"/>
          <w:sz w:val="18"/>
          <w:szCs w:val="18"/>
          <w:i w:val="1"/>
          <w:iCs w:val="1"/>
          <w:color w:val="auto"/>
        </w:rPr>
        <w:t>(amounts in thousands):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Aging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8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CURRENT</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30-60</w:t>
            </w:r>
          </w:p>
        </w:tc>
        <w:tc>
          <w:tcPr>
            <w:tcW w:w="3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60-90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90-120</w:t>
            </w: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120-150</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&gt;150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Borders>
              <w:bottom w:val="single" w:sz="8" w:color="CCEEFF"/>
            </w:tcBorders>
          </w:tcPr>
          <w:p>
            <w:pPr>
              <w:spacing w:after="0"/>
              <w:rPr>
                <w:sz w:val="14"/>
                <w:szCs w:val="14"/>
                <w:color w:val="auto"/>
              </w:rPr>
            </w:pPr>
          </w:p>
        </w:tc>
      </w:tr>
      <w:tr>
        <w:trPr>
          <w:trHeight w:val="196"/>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Private Pay</w:t>
            </w:r>
          </w:p>
        </w:tc>
        <w:tc>
          <w:tcPr>
            <w:tcW w:w="2560" w:type="dxa"/>
            <w:vAlign w:val="bottom"/>
            <w:gridSpan w:val="3"/>
            <w:shd w:val="clear" w:color="auto" w:fill="CCEEFF"/>
          </w:tcPr>
          <w:p>
            <w:pPr>
              <w:ind w:left="246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w:t>
            </w:r>
          </w:p>
        </w:tc>
        <w:tc>
          <w:tcPr>
            <w:tcW w:w="4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0"/>
              </w:rPr>
              <w:t>$ —</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Commercial</w:t>
            </w: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w:t>
            </w: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736</w:t>
            </w:r>
          </w:p>
        </w:tc>
        <w:tc>
          <w:tcPr>
            <w:tcW w:w="10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Medicaid</w:t>
            </w: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10,289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1,858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678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3"/>
              </w:rPr>
              <w:t>1,276</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310</w:t>
            </w: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14,446</w:t>
            </w:r>
          </w:p>
        </w:tc>
      </w:tr>
      <w:tr>
        <w:trPr>
          <w:trHeight w:val="20"/>
        </w:trPr>
        <w:tc>
          <w:tcPr>
            <w:tcW w:w="3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tcPr>
          <w:p>
            <w:pPr>
              <w:ind w:left="320"/>
              <w:spacing w:after="0"/>
              <w:rPr>
                <w:sz w:val="20"/>
                <w:szCs w:val="20"/>
                <w:color w:val="auto"/>
              </w:rPr>
            </w:pPr>
            <w:r>
              <w:rPr>
                <w:rFonts w:ascii="Arial" w:cs="Arial" w:eastAsia="Arial" w:hAnsi="Arial"/>
                <w:sz w:val="18"/>
                <w:szCs w:val="18"/>
                <w:color w:val="auto"/>
              </w:rPr>
              <w:t>Total</w:t>
            </w:r>
          </w:p>
        </w:tc>
        <w:tc>
          <w:tcPr>
            <w:tcW w:w="2560" w:type="dxa"/>
            <w:vAlign w:val="bottom"/>
            <w:gridSpan w:val="3"/>
          </w:tcPr>
          <w:p>
            <w:pPr>
              <w:ind w:left="24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10,846</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2,102</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719</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15,365</w:t>
            </w:r>
          </w:p>
        </w:tc>
      </w:tr>
      <w:tr>
        <w:trPr>
          <w:trHeight w:val="20"/>
        </w:trPr>
        <w:tc>
          <w:tcPr>
            <w:tcW w:w="3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3"/>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r>
        <w:trPr>
          <w:trHeight w:val="383"/>
        </w:trPr>
        <w:tc>
          <w:tcPr>
            <w:tcW w:w="3280" w:type="dxa"/>
            <w:vAlign w:val="bottom"/>
          </w:tcPr>
          <w:p>
            <w:pPr>
              <w:spacing w:after="0"/>
              <w:rPr>
                <w:sz w:val="24"/>
                <w:szCs w:val="24"/>
                <w:color w:val="auto"/>
              </w:rPr>
            </w:pP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Accounts Receivable Aging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CURRENT</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30-60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60-90</w:t>
            </w:r>
          </w:p>
        </w:tc>
        <w:tc>
          <w:tcPr>
            <w:tcW w:w="3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90-120</w:t>
            </w: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120-150</w:t>
            </w:r>
          </w:p>
        </w:tc>
        <w:tc>
          <w:tcPr>
            <w:tcW w:w="3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&gt;150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Borders>
              <w:bottom w:val="single" w:sz="8" w:color="CCEEFF"/>
            </w:tcBorders>
          </w:tcPr>
          <w:p>
            <w:pPr>
              <w:spacing w:after="0"/>
              <w:rPr>
                <w:sz w:val="14"/>
                <w:szCs w:val="14"/>
                <w:color w:val="auto"/>
              </w:rPr>
            </w:pPr>
          </w:p>
        </w:tc>
      </w:tr>
      <w:tr>
        <w:trPr>
          <w:trHeight w:val="196"/>
        </w:trPr>
        <w:tc>
          <w:tcPr>
            <w:tcW w:w="5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Private Pay</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591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941</w:t>
            </w:r>
          </w:p>
        </w:tc>
        <w:tc>
          <w:tcPr>
            <w:tcW w:w="100" w:type="dxa"/>
            <w:vAlign w:val="bottom"/>
          </w:tcPr>
          <w:p>
            <w:pPr>
              <w:spacing w:after="0"/>
              <w:rPr>
                <w:sz w:val="17"/>
                <w:szCs w:val="17"/>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Medicaid</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10,749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2,681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3"/>
              </w:rPr>
              <w:t>633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1,215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15,584</w:t>
            </w:r>
          </w:p>
        </w:tc>
      </w:tr>
      <w:tr>
        <w:trPr>
          <w:trHeight w:val="20"/>
        </w:trPr>
        <w:tc>
          <w:tcPr>
            <w:tcW w:w="5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11,479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727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1,247</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152</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16,693</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4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 records accounts receivable in the period in which the services were rendered and represent claims against third-party payors such as Medicaid, state agencies, managed care health plans, commercial insurance companies and/or patients, that will be settled in cash. The carrying value of the Company’s accounts receivable, net of allowance for doubtful accounts, represents their estimated net realizable value. If events or circumstances indicate specific receivable balances may be impaired, further consideration is given to the Company’s ability to collect those balances and the allowance is adjusted accordingly. The Company continually monitors its accounts receivable balances and utilizes cash collection data to support its estimates of allowance for doubtful accounts. Past-due receivable balances are cancelled when internal collection efforts have been exhausted.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4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Medicaid revenues, for healthcare services in two states, represented approximately 36.7%, 38.3% and 39.5%, of the Company’s net patient net revenues during each of 2008, 2009, and 2010. Accounts receivable are unsecured and due, primarily, from Medicaid, state agencies and educational programs. The Company maintains an allowance for estimated losses resulting from the non-collection of customer receivables. The Company’s management recognizes that revenues and receivables from government agencies are significant to its operations, but does not believe that there are significant credit risks associated with these government programs. Because of the large number of payors, types of payors and the diversity of the geographic locations, in which the Company operates, management does not believe there are any other significant concentrations of revenues from any particular payor that would subject the Company to any significant credit risks in the collection of its accounts receivable.</w:t>
      </w:r>
    </w:p>
    <w:p>
      <w:pPr>
        <w:spacing w:after="0" w:line="1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a result of the current economic environment, many states have significant budget deficits. State Medicaid programs are experiencing increased demand, and with lower revenues than projected, they have fewer resources to support their Medicaid programs. Federal health reform legislation was enacted to significantly expand state Medicaid programs. In certain states the Company has experienced rate and utilization decreases resulting from these budget constraints. The Company cannot predict the amount, if any, of future rate and utilization decreases or their effect on the Company.</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2009 Federal economic stimulus legislation enacted to counter the impact of the economic crisis on state budgets will expire on June 30, 2011. This legislation provided additional federal matching funds to help states maintain their Medicaid programs through June 30, 2011. There are currently no legislative initiatives proposing to extend this program. It is difficult to predict what impact this will have on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4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Property and equipment are stated at cost and depreciated using the straight-line method over the estimated useful lives of the depreciable assets, generally seven to twenty years for equipment and ten to forty years for buildings. Betterments, renewals and repairs that extend the useful life of the asset are capitalized; other repairs and maintenance charges are expensed as incurred.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and Definite-Lived Intangible Assets:</w:t>
      </w:r>
    </w:p>
    <w:p>
      <w:pPr>
        <w:spacing w:after="0" w:line="4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Company accounts for the impairment of long-lived tangible and definite-lived intangible assets in accordance with the relevant guidance and reviews the carrying value of long-lived assets, property and equipment, including amortizable intangible assets whenever events or changes in circumstances indicate that the related carrying values may not be recoverable. Impairment is generally determined by comparing projected undiscounted cash flows to be generated by the asset, or appropriate group of assets, to its carrying value. If impairment is identified, a loss is recorded equal to the excess of the asset’s net book value over its fair value, and the cost basis is adjusted.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91" w:right="239" w:bottom="1440" w:gutter="0" w:footer="0" w:header="0"/>
        </w:sectPr>
      </w:pPr>
    </w:p>
    <w:bookmarkStart w:id="121" w:name="page122"/>
    <w:bookmarkEnd w:id="121"/>
    <w:p>
      <w:pPr>
        <w:ind w:right="16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Determining the extent of impairment, if any, typically requires various estimates and assumptions including using management’s judgment, cash flows directly attributable to the asset, the useful life of the asset and residual value, if any. When necessary, the Company uses appraisals, as appropriate, to determine fair value. Any required impairment is recorded as a reduction in the carrying value of the related asset and a charge to operating results. In connection with the closing of its Tampa, Florida facility, in December 2010, the Company recorded an impairment charge of, approximately, $1,100,000 (See Note 2).</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4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 accounts for goodwill and other intangible assets in accordance with the relevant guidance. Goodwill represents the excess cost over the fair value of net assets acquired. Goodwill is not amortized. The Company’s business comprises a single operating reporting unit for impairment test purposes. For the purpose of these analyses, the Company’s estimates of fair value are based on its future discounted cash flows. Key assumptions used in the discounted cash flow analysis include estimated future revenue growth, gross margins and a risk free interest rate. If the carrying value of the Company’s goodwill and/or indefinite-lived intangible assets exceeds their fair value, we compare the implied fair value of these assets with their carrying amount to measure the potential impairment loss. Goodwill is required to be evaluated for impairment at the same time each year and when an event occurs or circumstances change, such that, it is reasonably possible that an impairment may exist. The Company has selected September 30th as its annual testing date. There was no resulting impairment in 2009. In connection with the execution of a Sale Agreement and Plan of Merger, the Company recorded an impairment charge in the amount of, approximately, $24,000,000 for the year ended December 31, 2010 (See Note 11).</w:t>
      </w:r>
    </w:p>
    <w:p>
      <w:pPr>
        <w:spacing w:after="0" w:line="10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 xml:space="preserve">The following table presents the changes in the carrying amount of Goodwill for the year ended December 31, 2009 and 2010 </w:t>
      </w:r>
      <w:r>
        <w:rPr>
          <w:rFonts w:ascii="Arial" w:cs="Arial" w:eastAsia="Arial" w:hAnsi="Arial"/>
          <w:sz w:val="18"/>
          <w:szCs w:val="18"/>
          <w:i w:val="1"/>
          <w:iCs w:val="1"/>
          <w:color w:val="auto"/>
        </w:rPr>
        <w:t>(amounts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$157,502</w:t>
            </w:r>
          </w:p>
        </w:tc>
        <w:tc>
          <w:tcPr>
            <w:tcW w:w="100" w:type="dxa"/>
            <w:vAlign w:val="bottom"/>
            <w:shd w:val="clear" w:color="auto" w:fill="CCEEFF"/>
          </w:tcPr>
          <w:p>
            <w:pPr>
              <w:spacing w:after="0"/>
              <w:rPr>
                <w:sz w:val="17"/>
                <w:szCs w:val="17"/>
                <w:color w:val="auto"/>
              </w:rPr>
            </w:pPr>
          </w:p>
        </w:tc>
      </w:tr>
      <w:tr>
        <w:trPr>
          <w:trHeight w:val="210"/>
        </w:trPr>
        <w:tc>
          <w:tcPr>
            <w:tcW w:w="10560" w:type="dxa"/>
            <w:vAlign w:val="bottom"/>
          </w:tcPr>
          <w:p>
            <w:pPr>
              <w:spacing w:after="0" w:line="202" w:lineRule="exact"/>
              <w:rPr>
                <w:sz w:val="20"/>
                <w:szCs w:val="20"/>
                <w:color w:val="auto"/>
              </w:rPr>
            </w:pPr>
            <w:r>
              <w:rPr>
                <w:rFonts w:ascii="Arial" w:cs="Arial" w:eastAsia="Arial" w:hAnsi="Arial"/>
                <w:sz w:val="18"/>
                <w:szCs w:val="18"/>
                <w:color w:val="auto"/>
              </w:rPr>
              <w:t>Impairment losses</w:t>
            </w: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(23,528)</w:t>
            </w:r>
          </w:p>
        </w:tc>
      </w:tr>
      <w:tr>
        <w:trPr>
          <w:trHeight w:val="203"/>
        </w:trPr>
        <w:tc>
          <w:tcPr>
            <w:tcW w:w="10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133,974</w:t>
            </w:r>
          </w:p>
        </w:tc>
        <w:tc>
          <w:tcPr>
            <w:tcW w:w="100" w:type="dxa"/>
            <w:vAlign w:val="bottom"/>
            <w:shd w:val="clear" w:color="auto" w:fill="CCEEFF"/>
          </w:tcPr>
          <w:p>
            <w:pPr>
              <w:spacing w:after="0"/>
              <w:rPr>
                <w:sz w:val="17"/>
                <w:szCs w:val="17"/>
                <w:color w:val="auto"/>
              </w:rPr>
            </w:pPr>
          </w:p>
        </w:tc>
      </w:tr>
      <w:tr>
        <w:trPr>
          <w:trHeight w:val="20"/>
        </w:trPr>
        <w:tc>
          <w:tcPr>
            <w:tcW w:w="10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Intangible assets consist of customer relationships, covenants not to compete, trade names and certificates of need. Customer relationships are amortized on an expected cash flow method from five to ten years and covenants not to compete are amortized on a straight-line basis from three to five years. Trademarks, trade names and certificates of need are not amortized because they have indefinite useful lives.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w:t>
      </w:r>
    </w:p>
    <w:p>
      <w:pPr>
        <w:spacing w:after="0" w:line="4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Deferred costs consist principally of deferred financing costs and are being amortized on a straight-line basis to interest expense over the term of the related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accounts for income taxes in accordance with the asset and liability method set forth in the relevant guidance, whereby deferred tax asset and liability account balances are determined based on differences between financial reporting and the tax bases of assets and liabilities and are measured using the enacted tax laws and related rates that will be in effect when the differences are expected to reverse. These differences result in deferred tax assets and liabilities, which are included in the Company’s Consolidated Balance Sheet. The Company then assesses the likelihood that the deferred tax assets will be recovered from future taxable income. A valuation allowance is established against deferred tax assets to the extent the Company believes that recovery is not likely based on the level of historical taxable income and projections for future taxable income over the periods in which the temporary differences are deductible. Uncertain tax positions must meet a more-likely-than-not threshold to be recognized in the financial statements and the tax benefits recognized are measured based on the largest benefit that has a greater than 50% likelihood of being realized upon final settlement (See Note 9).</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43"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Stock-based compensation awards are granted under the Youth and Family Centered Services, Inc. 2004 Stock Option and Grant Plan. The Company accounts for stock-based employee compensation under the fair value recognition and measurement provisions, as required by the applicable guidance, that requires companies 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91" w:right="239" w:bottom="1440" w:gutter="0" w:footer="0" w:header="0"/>
        </w:sectPr>
      </w:pPr>
    </w:p>
    <w:bookmarkStart w:id="122" w:name="page123"/>
    <w:bookmarkEnd w:id="122"/>
    <w:p>
      <w:pPr>
        <w:ind w:right="1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measure and recognize the cost of employee services received in exchange for an award of equity instruments based on the fair value at the date of the grant.</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fair value of the stock options issued in 2008, 2009 and 2010 was estimated using the Black Scholes Merton option pricing model. Use of this model requires management to make estimates and assumptions regarding expected option life (estimated at five years), volatility (estimated upon the volatility of comparable public entities within the Company’s industry), risk free interest rate (estimated upon United States Treasury rates at the date of the grant), and dividend yields (estimated at zero). Option forfeitures are based upon actual forfeitures for the period. We recognized expense on all share-based awards on a straight-line basis over the vesting period of the award.</w:t>
      </w:r>
    </w:p>
    <w:p>
      <w:pPr>
        <w:spacing w:after="0" w:line="11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following table summarizes the weighted average grant-date value of options and the assumptions used to develop their fair value for the years ended December 31, 2008, 2009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r>
      <w:tr>
        <w:trPr>
          <w:trHeight w:val="196"/>
        </w:trPr>
        <w:tc>
          <w:tcPr>
            <w:tcW w:w="6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grant-date fair value of options</w:t>
            </w:r>
          </w:p>
        </w:tc>
        <w:tc>
          <w:tcPr>
            <w:tcW w:w="2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$ 0.08</w:t>
            </w:r>
          </w:p>
        </w:tc>
        <w:tc>
          <w:tcPr>
            <w:tcW w:w="2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$ 0.08</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$ 0.09</w:t>
            </w:r>
          </w:p>
        </w:tc>
        <w:tc>
          <w:tcPr>
            <w:tcW w:w="220" w:type="dxa"/>
            <w:vAlign w:val="bottom"/>
            <w:shd w:val="clear" w:color="auto" w:fill="CCEEFF"/>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12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2.7%</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42.2%</w:t>
            </w:r>
          </w:p>
        </w:tc>
        <w:tc>
          <w:tcPr>
            <w:tcW w:w="12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41.0%</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Expected life in years</w:t>
            </w:r>
          </w:p>
        </w:tc>
        <w:tc>
          <w:tcPr>
            <w:tcW w:w="30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5.0</w:t>
            </w: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5.0</w:t>
            </w: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5.0</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2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bl>
    <w:p>
      <w:pPr>
        <w:spacing w:after="0" w:line="260"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Our estimate of expected annual implied volatility for stock options granted in 2008, 2009 and 2010 is based upon an analysis of the historical stock price volatility of publicly-traded comparable companies.</w:t>
      </w:r>
    </w:p>
    <w:p>
      <w:pPr>
        <w:spacing w:after="0" w:line="11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fair value of the underlying common stock was determined by management based, in part, on a third party valuation report obtained in 2004. The value of the common stock subsequent to 2004 was materially consistent with such fair value determined in 2004 and the indications of enterprise value from its efforts to sell the Company, including the ultimate sale of the Company described Note 11.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43"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Company previously entered into an interest rate cap, which expired in August 2009, to convert a portion of its floating debt to a fixed rate, thus reducing the impact of rising interest rates on interest payments. The Company had not designated its derivative instrument as a hedge and therefore the cost of this agreement was being amortized to interest expense in current earnings. The agreement capped the base interest rate in relation to $48.0 million of variable long-term debt at 6.40%. At December 31, 2008, 2009 and 2010, the Company’s base rate was approximately 3.12%, 0.29% and 0.27%, respectively. At December 31, 2009 and 2010 the Company was not a party to any interest rate protection agreements.</w:t>
      </w:r>
    </w:p>
    <w:p>
      <w:pPr>
        <w:spacing w:after="0"/>
        <w:rPr>
          <w:sz w:val="20"/>
          <w:szCs w:val="20"/>
          <w:color w:val="auto"/>
        </w:rPr>
      </w:pPr>
      <w:r>
        <w:rPr>
          <w:rFonts w:ascii="Arial" w:cs="Arial" w:eastAsia="Arial" w:hAnsi="Arial"/>
          <w:sz w:val="18"/>
          <w:szCs w:val="18"/>
          <w:b w:val="1"/>
          <w:bCs w:val="1"/>
          <w:i w:val="1"/>
          <w:iCs w:val="1"/>
          <w:color w:val="auto"/>
        </w:rPr>
        <w:t>Fair Value of the Financial Instruments:</w:t>
      </w:r>
    </w:p>
    <w:p>
      <w:pPr>
        <w:spacing w:after="0" w:line="4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fair value of the Company’s financial instruments has been estimated using available market information and commonly accepted valuation methodologies, in accordance with the appropriate guidance.</w:t>
      </w:r>
    </w:p>
    <w:p>
      <w:pPr>
        <w:spacing w:after="0" w:line="11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Fair value financial instruments are recorded at fair value in accordance with the fair value hierarchy that prioritized observable and unobservable inputs used to measure fair value in their broad levels. These levels from highest to lowest priority are as follows:</w:t>
      </w:r>
    </w:p>
    <w:p>
      <w:pPr>
        <w:spacing w:after="0" w:line="28" w:lineRule="exact"/>
        <w:rPr>
          <w:sz w:val="20"/>
          <w:szCs w:val="20"/>
          <w:color w:val="auto"/>
        </w:rPr>
      </w:pPr>
    </w:p>
    <w:p>
      <w:pPr>
        <w:ind w:left="800" w:hanging="454"/>
        <w:spacing w:after="0"/>
        <w:tabs>
          <w:tab w:leader="none" w:pos="800" w:val="left"/>
        </w:tabs>
        <w:numPr>
          <w:ilvl w:val="0"/>
          <w:numId w:val="136"/>
        </w:numPr>
        <w:rPr>
          <w:rFonts w:ascii="Arial" w:cs="Arial" w:eastAsia="Arial" w:hAnsi="Arial"/>
          <w:sz w:val="27"/>
          <w:szCs w:val="27"/>
          <w:color w:val="auto"/>
          <w:vertAlign w:val="superscript"/>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w:t>
      </w:r>
    </w:p>
    <w:p>
      <w:pPr>
        <w:spacing w:after="0" w:line="18" w:lineRule="exact"/>
        <w:rPr>
          <w:rFonts w:ascii="Arial" w:cs="Arial" w:eastAsia="Arial" w:hAnsi="Arial"/>
          <w:sz w:val="27"/>
          <w:szCs w:val="27"/>
          <w:color w:val="auto"/>
          <w:vertAlign w:val="superscript"/>
        </w:rPr>
      </w:pPr>
    </w:p>
    <w:p>
      <w:pPr>
        <w:ind w:left="800" w:right="40" w:hanging="454"/>
        <w:spacing w:after="0" w:line="191" w:lineRule="auto"/>
        <w:tabs>
          <w:tab w:leader="none" w:pos="800" w:val="left"/>
        </w:tabs>
        <w:numPr>
          <w:ilvl w:val="0"/>
          <w:numId w:val="136"/>
        </w:numPr>
        <w:rPr>
          <w:rFonts w:ascii="Arial" w:cs="Arial" w:eastAsia="Arial" w:hAnsi="Arial"/>
          <w:sz w:val="27"/>
          <w:szCs w:val="27"/>
          <w:color w:val="auto"/>
          <w:vertAlign w:val="superscript"/>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active markets for similar assets or liabilities or observable prices that are based on inputs not quoted on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but corroborated by market data; and</w:t>
      </w:r>
    </w:p>
    <w:p>
      <w:pPr>
        <w:spacing w:after="0" w:line="1" w:lineRule="exact"/>
        <w:rPr>
          <w:rFonts w:ascii="Arial" w:cs="Arial" w:eastAsia="Arial" w:hAnsi="Arial"/>
          <w:sz w:val="27"/>
          <w:szCs w:val="27"/>
          <w:color w:val="auto"/>
          <w:vertAlign w:val="superscript"/>
        </w:rPr>
      </w:pPr>
    </w:p>
    <w:p>
      <w:pPr>
        <w:ind w:left="800" w:hanging="454"/>
        <w:spacing w:after="0" w:line="184" w:lineRule="auto"/>
        <w:tabs>
          <w:tab w:leader="none" w:pos="800" w:val="left"/>
        </w:tabs>
        <w:numPr>
          <w:ilvl w:val="0"/>
          <w:numId w:val="136"/>
        </w:numPr>
        <w:rPr>
          <w:rFonts w:ascii="Arial" w:cs="Arial" w:eastAsia="Arial" w:hAnsi="Arial"/>
          <w:sz w:val="26"/>
          <w:szCs w:val="26"/>
          <w:color w:val="auto"/>
          <w:vertAlign w:val="superscript"/>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Unobservable inputs or valuation techniques that are used when little or no market data is available.</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Company’s financial instruments include cash, accounts receivable, accounts payable and debt obligations, and the Company typically values these financial assets and liabilities at their carrying values, which approximates fair value due to their generally short-term duration.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91" w:right="239" w:bottom="1440" w:gutter="0" w:footer="0" w:header="0"/>
        </w:sectPr>
      </w:pPr>
    </w:p>
    <w:bookmarkStart w:id="123" w:name="page124"/>
    <w:bookmarkEnd w:id="123"/>
    <w:p>
      <w:pPr>
        <w:jc w:val="both"/>
        <w:ind w:right="3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carrying value of the Company’s senior long-term debt is considered to be representative of the fair value principally due to the variable interest rate attached to the debt instrument and based on the current market rates for debt with similar risks, terms and maturities, we estimate the value of the Company’s senior subordinated debt approximates fair value at December 31, 2010.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fair value and the assessment of a measurement’s placement within the hierarchy require judgment.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43"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assumptions that affect the reported amounts of assets and liabilities, the disclosure of contingent assets and liabilities and the reported amounts of revenues and expenses during the reporting period. Actual results could differ from those estimates.</w:t>
      </w:r>
    </w:p>
    <w:p>
      <w:pPr>
        <w:spacing w:after="0"/>
        <w:rPr>
          <w:sz w:val="20"/>
          <w:szCs w:val="20"/>
          <w:color w:val="auto"/>
        </w:rPr>
      </w:pPr>
      <w:r>
        <w:rPr>
          <w:rFonts w:ascii="Arial" w:cs="Arial" w:eastAsia="Arial" w:hAnsi="Arial"/>
          <w:sz w:val="18"/>
          <w:szCs w:val="18"/>
          <w:b w:val="1"/>
          <w:bCs w:val="1"/>
          <w:i w:val="1"/>
          <w:iCs w:val="1"/>
          <w:color w:val="auto"/>
        </w:rPr>
        <w:t>In New Accounting Pronouncements:</w:t>
      </w:r>
    </w:p>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August 2010, the Financial Accounting Standards Board (“FASB”) issued Accounting Standards Update (“ASU”) 2010-24, which provides clarification to companies in the healthcare industry on the accounting for malpractice claims or similar contingent liabilities. This ASU states that an entity that is indemnified for these liabilities shall recognize an insurance receivable at the same time that it recognizes the liability, measured on the same basis as the liability, subject to the need for a valuation allowance for uncollectible amounts. This ASU also discusses the accounting for insurance claims costs, including estimates of costs relating to incurred-but-not-reported claims and the accounting for loss contingencies. Receivables related to insurance recoveries should not be netted against the related claim liability and such claim liabilities should be determined without considering insurance recoveries. This ASU is effective for fiscal years beginning after December 15, 2010 and will be adopted by the Company in the first quarter of 2011. The adoption of this ASU will not have an impact on the Company’s consolidated financial statements.</w:t>
      </w:r>
    </w:p>
    <w:p>
      <w:pPr>
        <w:spacing w:after="0" w:line="111" w:lineRule="exact"/>
        <w:rPr>
          <w:sz w:val="20"/>
          <w:szCs w:val="20"/>
          <w:color w:val="auto"/>
        </w:rPr>
      </w:pPr>
    </w:p>
    <w:p>
      <w:pPr>
        <w:ind w:right="8640" w:firstLine="8"/>
        <w:spacing w:after="0" w:line="331" w:lineRule="auto"/>
        <w:tabs>
          <w:tab w:leader="none" w:pos="195"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ACQUISITIONS/DISPOSITIONS </w:t>
      </w:r>
      <w:r>
        <w:rPr>
          <w:rFonts w:ascii="Arial" w:cs="Arial" w:eastAsia="Arial" w:hAnsi="Arial"/>
          <w:sz w:val="16"/>
          <w:szCs w:val="16"/>
          <w:b w:val="1"/>
          <w:bCs w:val="1"/>
          <w:i w:val="1"/>
          <w:iCs w:val="1"/>
          <w:color w:val="auto"/>
        </w:rPr>
        <w:t>Closed Operations:</w:t>
      </w:r>
    </w:p>
    <w:p>
      <w:pPr>
        <w:ind w:right="20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In a previous year, the Company determined that a psychiatric hospital in New Mexico and a residential treatment center in Ohio no longer provided a benefit to the Company and terminated the operations. The continuing operating expenses for these facilities were not significant and did not have a material impact on the Company’s consolidated financial statements, for the years ended December 31, 2008, 2009 and 2010.</w:t>
      </w:r>
    </w:p>
    <w:p>
      <w:pPr>
        <w:spacing w:after="0" w:line="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June 2009, the Company temporarily suspended the operations at one of its Arizona facilities in response to the economic crisis and related funding issues within the state, as well as, certain environmental problems at the facility. The Company has eliminated the environmental problem and believes the state will take appropriate action to resolve its financial issues. With the new directions the Company has identified in areas of outpatient treatment care services and targeting programs that will meet community needs and the state’s push for new care alternatives, our intent is to re-open the facility, within the next six to twelve months, at a time when the state’s economic situation has improved and a strong referral base could once again be established. The continuing operating expenses for this facility are not significant and will not have a material impact on the Company’s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for the years ended December 31, 2008 and 2009.</w:t>
      </w:r>
    </w:p>
    <w:p>
      <w:pPr>
        <w:spacing w:after="0" w:line="11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October 2010, the Company was notified by the Agency for Health Care Administration that it was discontinuing the Statewide Inpatient Psychiatric Program (SIPP) contract at its Tampa Bay facility. Subsequent appeals with the Florida Medicaid Bureau were, eventually, denied. The notice of termination which was to be effective, on December 15, 2010, was subsequently withdrawn as the Company voluntarily terminated the contract. The loss of this contract generated a severe financial impact on the facility to the extent the Company decided to terminate operations effective December 31, 2010.</w:t>
      </w:r>
    </w:p>
    <w:p>
      <w:pPr>
        <w:spacing w:after="0" w:line="11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connection with closing the facility, we recorded a charge for impaired assets, which were, principally, two group homes, leasehold improvements and furniture and equipment, in the amount of, approximately, $1,100,000 and exit costs of, approximately, $2,500,000 for the year ended December 31, 2010.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91"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PROPERTY AND EQUIPMENT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property and equipment are as follows </w:t>
      </w:r>
      <w:r>
        <w:rPr>
          <w:rFonts w:ascii="Arial" w:cs="Arial" w:eastAsia="Arial" w:hAnsi="Arial"/>
          <w:sz w:val="18"/>
          <w:szCs w:val="18"/>
          <w:i w:val="1"/>
          <w:iCs w:val="1"/>
          <w:color w:val="auto"/>
        </w:rPr>
        <w:t>(amounts 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9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Land and improvements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5,392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7"/>
                <w:szCs w:val="17"/>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30,247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28,521</w:t>
            </w: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8,290</w:t>
            </w: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8,990</w:t>
            </w:r>
          </w:p>
        </w:tc>
        <w:tc>
          <w:tcPr>
            <w:tcW w:w="100" w:type="dxa"/>
            <w:vAlign w:val="bottom"/>
            <w:shd w:val="clear" w:color="auto" w:fill="CCEEFF"/>
          </w:tcPr>
          <w:p>
            <w:pPr>
              <w:spacing w:after="0"/>
              <w:rPr>
                <w:sz w:val="17"/>
                <w:szCs w:val="17"/>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43,929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42,934</w:t>
            </w: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5"/>
              </w:rPr>
              <w:t>(15,596)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(16,477)</w:t>
            </w:r>
          </w:p>
        </w:tc>
      </w:tr>
      <w:tr>
        <w:trPr>
          <w:trHeight w:val="210"/>
        </w:trPr>
        <w:tc>
          <w:tcPr>
            <w:tcW w:w="9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28,333</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26,457</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Depreciation expense was approximately $3,301,000, $3,236,000 and $2,105,000 for the years ended December 31, 2008, 2009 and 2010, respectively. Depreciation expense also includes the amortization of assets recorded under a capital lease.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w:t>
      </w:r>
      <w:r>
        <w:rPr>
          <w:rFonts w:ascii="Arial" w:cs="Arial" w:eastAsia="Arial" w:hAnsi="Arial"/>
          <w:sz w:val="18"/>
          <w:szCs w:val="18"/>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26"/>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6120" w:type="dxa"/>
            <w:vAlign w:val="bottom"/>
          </w:tcPr>
          <w:p>
            <w:pPr>
              <w:spacing w:after="0"/>
              <w:rPr>
                <w:sz w:val="10"/>
                <w:szCs w:val="10"/>
                <w:color w:val="auto"/>
              </w:rPr>
            </w:pPr>
          </w:p>
        </w:tc>
        <w:tc>
          <w:tcPr>
            <w:tcW w:w="82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8"/>
              </w:rPr>
              <w:t>GROSS</w:t>
            </w:r>
          </w:p>
        </w:tc>
        <w:tc>
          <w:tcPr>
            <w:tcW w:w="420" w:type="dxa"/>
            <w:vAlign w:val="bottom"/>
          </w:tcPr>
          <w:p>
            <w:pPr>
              <w:spacing w:after="0"/>
              <w:rPr>
                <w:sz w:val="10"/>
                <w:szCs w:val="10"/>
                <w:color w:val="auto"/>
              </w:rPr>
            </w:pPr>
          </w:p>
        </w:tc>
        <w:tc>
          <w:tcPr>
            <w:tcW w:w="10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right"/>
              <w:ind w:right="260"/>
              <w:spacing w:after="0" w:line="125"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0"/>
                <w:szCs w:val="10"/>
                <w:color w:val="auto"/>
              </w:rPr>
            </w:pPr>
          </w:p>
        </w:tc>
        <w:tc>
          <w:tcPr>
            <w:tcW w:w="106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0"/>
                <w:szCs w:val="10"/>
                <w:color w:val="auto"/>
              </w:rPr>
            </w:pPr>
          </w:p>
        </w:tc>
      </w:tr>
      <w:tr>
        <w:trPr>
          <w:trHeight w:val="165"/>
        </w:trPr>
        <w:tc>
          <w:tcPr>
            <w:tcW w:w="6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AMOUNT</w:t>
            </w:r>
          </w:p>
        </w:tc>
        <w:tc>
          <w:tcPr>
            <w:tcW w:w="4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83"/>
        </w:trPr>
        <w:tc>
          <w:tcPr>
            <w:tcW w:w="6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Amortizable intangible assets:</w:t>
            </w: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Customer Relationships</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$11,900</w:t>
            </w:r>
          </w:p>
        </w:tc>
        <w:tc>
          <w:tcPr>
            <w:tcW w:w="7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4,720</w:t>
            </w:r>
          </w:p>
        </w:tc>
        <w:tc>
          <w:tcPr>
            <w:tcW w:w="11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$11,900</w:t>
            </w:r>
          </w:p>
        </w:tc>
        <w:tc>
          <w:tcPr>
            <w:tcW w:w="7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6,142</w:t>
            </w:r>
          </w:p>
        </w:tc>
        <w:tc>
          <w:tcPr>
            <w:tcW w:w="100" w:type="dxa"/>
            <w:vAlign w:val="bottom"/>
          </w:tcPr>
          <w:p>
            <w:pPr>
              <w:spacing w:after="0"/>
              <w:rPr>
                <w:sz w:val="17"/>
                <w:szCs w:val="17"/>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Covenants not to compete</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755</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Unamortizable intangible assets: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 names</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13,620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13,620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Certificates of need</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9,700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9,700</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35,990</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5,475</w:t>
            </w:r>
          </w:p>
        </w:tc>
        <w:tc>
          <w:tcPr>
            <w:tcW w:w="11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35,990</w:t>
            </w:r>
          </w:p>
        </w:tc>
        <w:tc>
          <w:tcPr>
            <w:tcW w:w="7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6,909</w:t>
            </w:r>
          </w:p>
        </w:tc>
        <w:tc>
          <w:tcPr>
            <w:tcW w:w="100" w:type="dxa"/>
            <w:vAlign w:val="bottom"/>
            <w:shd w:val="clear" w:color="auto" w:fill="CCEEFF"/>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Amortization expense related to identifiable intangible assets was approximately $6,287,000, $3,907,000 and $1,434,000 for the years ended December 31, 2008, 2009 and 2010,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estimated future amortization expenses for other intangible assets are: </w:t>
      </w:r>
      <w:r>
        <w:rPr>
          <w:rFonts w:ascii="Arial" w:cs="Arial" w:eastAsia="Arial" w:hAnsi="Arial"/>
          <w:sz w:val="18"/>
          <w:szCs w:val="18"/>
          <w:i w:val="1"/>
          <w:iCs w:val="1"/>
          <w:color w:val="auto"/>
        </w:rPr>
        <w:t>(amounts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52"/>
        </w:trPr>
        <w:tc>
          <w:tcPr>
            <w:tcW w:w="3220" w:type="dxa"/>
            <w:vAlign w:val="bottom"/>
            <w:gridSpan w:val="2"/>
            <w:vMerge w:val="continue"/>
          </w:tcPr>
          <w:p>
            <w:pPr>
              <w:spacing w:after="0"/>
              <w:rPr>
                <w:sz w:val="13"/>
                <w:szCs w:val="13"/>
                <w:color w:val="auto"/>
              </w:rPr>
            </w:pPr>
          </w:p>
        </w:tc>
        <w:tc>
          <w:tcPr>
            <w:tcW w:w="7060" w:type="dxa"/>
            <w:vAlign w:val="bottom"/>
          </w:tcPr>
          <w:p>
            <w:pPr>
              <w:spacing w:after="0"/>
              <w:rPr>
                <w:sz w:val="13"/>
                <w:szCs w:val="13"/>
                <w:color w:val="auto"/>
              </w:rPr>
            </w:pPr>
          </w:p>
        </w:tc>
        <w:tc>
          <w:tcPr>
            <w:tcW w:w="114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20" w:type="dxa"/>
            <w:vAlign w:val="bottom"/>
            <w:gridSpan w:val="2"/>
            <w:shd w:val="clear" w:color="auto" w:fill="CCEEFF"/>
          </w:tcPr>
          <w:p>
            <w:pPr>
              <w:jc w:val="right"/>
              <w:ind w:right="2500"/>
              <w:spacing w:after="0" w:line="189" w:lineRule="exact"/>
              <w:rPr>
                <w:sz w:val="20"/>
                <w:szCs w:val="20"/>
                <w:color w:val="auto"/>
              </w:rPr>
            </w:pPr>
            <w:r>
              <w:rPr>
                <w:rFonts w:ascii="Arial" w:cs="Arial" w:eastAsia="Arial" w:hAnsi="Arial"/>
                <w:sz w:val="18"/>
                <w:szCs w:val="18"/>
                <w:color w:val="auto"/>
              </w:rPr>
              <w:t>2011</w:t>
            </w:r>
          </w:p>
        </w:tc>
        <w:tc>
          <w:tcPr>
            <w:tcW w:w="7240" w:type="dxa"/>
            <w:vAlign w:val="bottom"/>
            <w:gridSpan w:val="2"/>
            <w:shd w:val="clear" w:color="auto" w:fill="CCEEFF"/>
          </w:tcPr>
          <w:p>
            <w:pPr>
              <w:ind w:left="706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ind w:right="2500"/>
              <w:spacing w:after="0" w:line="202" w:lineRule="exact"/>
              <w:rPr>
                <w:sz w:val="20"/>
                <w:szCs w:val="20"/>
                <w:color w:val="auto"/>
              </w:rPr>
            </w:pPr>
            <w:r>
              <w:rPr>
                <w:rFonts w:ascii="Arial" w:cs="Arial" w:eastAsia="Arial" w:hAnsi="Arial"/>
                <w:sz w:val="18"/>
                <w:szCs w:val="18"/>
                <w:color w:val="auto"/>
              </w:rPr>
              <w:t>2012</w:t>
            </w:r>
          </w:p>
        </w:tc>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jc w:val="right"/>
              <w:ind w:right="2500"/>
              <w:spacing w:after="0" w:line="202" w:lineRule="exact"/>
              <w:rPr>
                <w:sz w:val="20"/>
                <w:szCs w:val="20"/>
                <w:color w:val="auto"/>
              </w:rPr>
            </w:pPr>
            <w:r>
              <w:rPr>
                <w:rFonts w:ascii="Arial" w:cs="Arial" w:eastAsia="Arial" w:hAnsi="Arial"/>
                <w:sz w:val="18"/>
                <w:szCs w:val="18"/>
                <w:color w:val="auto"/>
              </w:rPr>
              <w:t>2013</w:t>
            </w:r>
          </w:p>
        </w:tc>
        <w:tc>
          <w:tcPr>
            <w:tcW w:w="7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ind w:right="2500"/>
              <w:spacing w:after="0" w:line="202" w:lineRule="exact"/>
              <w:rPr>
                <w:sz w:val="20"/>
                <w:szCs w:val="20"/>
                <w:color w:val="auto"/>
              </w:rPr>
            </w:pPr>
            <w:r>
              <w:rPr>
                <w:rFonts w:ascii="Arial" w:cs="Arial" w:eastAsia="Arial" w:hAnsi="Arial"/>
                <w:sz w:val="18"/>
                <w:szCs w:val="18"/>
                <w:color w:val="auto"/>
              </w:rPr>
              <w:t>2014</w:t>
            </w:r>
          </w:p>
        </w:tc>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jc w:val="right"/>
              <w:ind w:right="2500"/>
              <w:spacing w:after="0" w:line="202" w:lineRule="exact"/>
              <w:rPr>
                <w:sz w:val="20"/>
                <w:szCs w:val="20"/>
                <w:color w:val="auto"/>
              </w:rPr>
            </w:pPr>
            <w:r>
              <w:rPr>
                <w:rFonts w:ascii="Arial" w:cs="Arial" w:eastAsia="Arial" w:hAnsi="Arial"/>
                <w:sz w:val="18"/>
                <w:szCs w:val="18"/>
                <w:color w:val="auto"/>
              </w:rPr>
              <w:t>2015</w:t>
            </w:r>
          </w:p>
        </w:tc>
        <w:tc>
          <w:tcPr>
            <w:tcW w:w="7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240" w:type="dxa"/>
            <w:vAlign w:val="bottom"/>
            <w:gridSpan w:val="2"/>
            <w:shd w:val="clear" w:color="auto" w:fill="CCEEFF"/>
          </w:tcPr>
          <w:p>
            <w:pPr>
              <w:ind w:left="70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7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60" w:type="dxa"/>
            <w:vAlign w:val="bottom"/>
          </w:tcPr>
          <w:p>
            <w:pPr>
              <w:jc w:val="right"/>
              <w:ind w:right="437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LONG TERM DEBT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Long term debt as of years ended December 31, 2009 and 2010 consist of the following (</w:t>
      </w:r>
      <w:r>
        <w:rPr>
          <w:rFonts w:ascii="Arial" w:cs="Arial" w:eastAsia="Arial" w:hAnsi="Arial"/>
          <w:sz w:val="18"/>
          <w:szCs w:val="18"/>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Revolving Loan</w:t>
            </w:r>
          </w:p>
        </w:tc>
        <w:tc>
          <w:tcPr>
            <w:tcW w:w="3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Senior Secured Term Loan</w:t>
            </w: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81,300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55,200</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Unsecured Subordinated Loans</w:t>
            </w:r>
          </w:p>
        </w:tc>
        <w:tc>
          <w:tcPr>
            <w:tcW w:w="3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31,000</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Unamortized Discount on Warrants</w:t>
            </w: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Obligation (See Note 7)</w:t>
            </w:r>
          </w:p>
        </w:tc>
        <w:tc>
          <w:tcPr>
            <w:tcW w:w="3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6480" w:type="dxa"/>
            <w:vAlign w:val="bottom"/>
          </w:tcPr>
          <w:p>
            <w:pPr>
              <w:spacing w:after="0" w:line="202" w:lineRule="exact"/>
              <w:rPr>
                <w:sz w:val="20"/>
                <w:szCs w:val="20"/>
                <w:color w:val="auto"/>
              </w:rPr>
            </w:pPr>
            <w:r>
              <w:rPr>
                <w:rFonts w:ascii="Arial" w:cs="Arial" w:eastAsia="Arial" w:hAnsi="Arial"/>
                <w:sz w:val="18"/>
                <w:szCs w:val="18"/>
                <w:color w:val="auto"/>
              </w:rPr>
              <w:t>Other Notes</w:t>
            </w:r>
          </w:p>
        </w:tc>
        <w:tc>
          <w:tcPr>
            <w:tcW w:w="3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03"/>
        </w:trPr>
        <w:tc>
          <w:tcPr>
            <w:tcW w:w="6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Long-Term Debt</w:t>
            </w:r>
          </w:p>
        </w:tc>
        <w:tc>
          <w:tcPr>
            <w:tcW w:w="3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5"/>
              </w:rPr>
              <w:t>112,127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86,073</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(13,273)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(1,247)</w:t>
            </w:r>
          </w:p>
        </w:tc>
      </w:tr>
      <w:tr>
        <w:trPr>
          <w:trHeight w:val="27"/>
        </w:trPr>
        <w:tc>
          <w:tcPr>
            <w:tcW w:w="64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Non-Current Portion of Long-Term Debt</w:t>
            </w:r>
          </w:p>
        </w:tc>
        <w:tc>
          <w:tcPr>
            <w:tcW w:w="3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98,854</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84,826</w:t>
            </w:r>
          </w:p>
        </w:tc>
      </w:tr>
      <w:tr>
        <w:trPr>
          <w:trHeight w:val="20"/>
        </w:trPr>
        <w:tc>
          <w:tcPr>
            <w:tcW w:w="6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 has a credit agreement (the “Credit Agreement”) with a syndication of lenders who provided the Company with up to $170.0 million. The Credit Agreement provided for a term loan (the “Term Loan”) for up to $120.0 million, expiring in July 2013 and a revolving credit facility (the “Revolving Loan”) for up to $25.0 million, expiring in July 2012.</w:t>
      </w:r>
    </w:p>
    <w:p>
      <w:pPr>
        <w:spacing w:after="0" w:line="11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Term Loan and the Revolving Loan are guaranteed by the Company’s subsidiaries and the Company has granted a first priority security interest in the capital stock and related assets of those subsidiaries.</w:t>
      </w:r>
    </w:p>
    <w:p>
      <w:pPr>
        <w:spacing w:after="0" w:line="9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 xml:space="preserve">The Term Loan is to be repaid in scheduled consecutive quarterly installments with aggregate annual principal payments as follows </w:t>
      </w:r>
      <w:r>
        <w:rPr>
          <w:rFonts w:ascii="Arial" w:cs="Arial" w:eastAsia="Arial" w:hAnsi="Arial"/>
          <w:sz w:val="18"/>
          <w:szCs w:val="18"/>
          <w:i w:val="1"/>
          <w:iCs w:val="1"/>
          <w:color w:val="auto"/>
        </w:rPr>
        <w:t>(amounts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500" w:type="dxa"/>
            <w:vAlign w:val="bottom"/>
            <w:gridSpan w:val="2"/>
          </w:tcPr>
          <w:p>
            <w:pPr>
              <w:jc w:val="right"/>
              <w:ind w:right="10120"/>
              <w:spacing w:after="0"/>
              <w:rPr>
                <w:sz w:val="20"/>
                <w:szCs w:val="20"/>
                <w:color w:val="auto"/>
              </w:rPr>
            </w:pPr>
            <w:r>
              <w:rPr>
                <w:rFonts w:ascii="Arial" w:cs="Arial" w:eastAsia="Arial" w:hAnsi="Arial"/>
                <w:sz w:val="14"/>
                <w:szCs w:val="14"/>
                <w:b w:val="1"/>
                <w:bCs w:val="1"/>
                <w:color w:val="auto"/>
                <w:w w:val="92"/>
              </w:rPr>
              <w:t>YEAR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0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0"/>
        </w:trPr>
        <w:tc>
          <w:tcPr>
            <w:tcW w:w="10500" w:type="dxa"/>
            <w:vAlign w:val="bottom"/>
            <w:gridSpan w:val="2"/>
            <w:shd w:val="clear" w:color="auto" w:fill="CCEEFF"/>
          </w:tcPr>
          <w:p>
            <w:pPr>
              <w:jc w:val="right"/>
              <w:ind w:right="9780"/>
              <w:spacing w:after="0" w:line="189" w:lineRule="exact"/>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6"/>
                <w:szCs w:val="16"/>
                <w:color w:val="auto"/>
              </w:rPr>
            </w:pPr>
          </w:p>
        </w:tc>
      </w:tr>
      <w:tr>
        <w:trPr>
          <w:trHeight w:val="203"/>
        </w:trPr>
        <w:tc>
          <w:tcPr>
            <w:tcW w:w="10500" w:type="dxa"/>
            <w:vAlign w:val="bottom"/>
            <w:gridSpan w:val="2"/>
          </w:tcPr>
          <w:p>
            <w:pPr>
              <w:jc w:val="right"/>
              <w:ind w:right="9780"/>
              <w:spacing w:after="0" w:line="202" w:lineRule="exact"/>
              <w:rPr>
                <w:sz w:val="20"/>
                <w:szCs w:val="20"/>
                <w:color w:val="auto"/>
              </w:rPr>
            </w:pPr>
            <w:r>
              <w:rPr>
                <w:rFonts w:ascii="Arial" w:cs="Arial" w:eastAsia="Arial" w:hAnsi="Arial"/>
                <w:sz w:val="18"/>
                <w:szCs w:val="18"/>
                <w:color w:val="auto"/>
              </w:rPr>
              <w:t>2012</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100" w:type="dxa"/>
            <w:vAlign w:val="bottom"/>
          </w:tcPr>
          <w:p>
            <w:pPr>
              <w:spacing w:after="0"/>
              <w:rPr>
                <w:sz w:val="17"/>
                <w:szCs w:val="17"/>
                <w:color w:val="auto"/>
              </w:rPr>
            </w:pPr>
          </w:p>
        </w:tc>
      </w:tr>
      <w:tr>
        <w:trPr>
          <w:trHeight w:val="203"/>
        </w:trPr>
        <w:tc>
          <w:tcPr>
            <w:tcW w:w="10500" w:type="dxa"/>
            <w:vAlign w:val="bottom"/>
            <w:gridSpan w:val="2"/>
            <w:shd w:val="clear" w:color="auto" w:fill="CCEEFF"/>
          </w:tcPr>
          <w:p>
            <w:pPr>
              <w:jc w:val="right"/>
              <w:ind w:right="9780"/>
              <w:spacing w:after="0" w:line="202" w:lineRule="exact"/>
              <w:rPr>
                <w:sz w:val="20"/>
                <w:szCs w:val="20"/>
                <w:color w:val="auto"/>
              </w:rPr>
            </w:pPr>
            <w:r>
              <w:rPr>
                <w:rFonts w:ascii="Arial" w:cs="Arial" w:eastAsia="Arial" w:hAnsi="Arial"/>
                <w:sz w:val="18"/>
                <w:szCs w:val="18"/>
                <w:color w:val="auto"/>
              </w:rPr>
              <w:t>2013</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52,800</w:t>
            </w:r>
          </w:p>
        </w:tc>
        <w:tc>
          <w:tcPr>
            <w:tcW w:w="100" w:type="dxa"/>
            <w:vAlign w:val="bottom"/>
            <w:shd w:val="clear" w:color="auto" w:fill="CCEEFF"/>
          </w:tcPr>
          <w:p>
            <w:pPr>
              <w:spacing w:after="0"/>
              <w:rPr>
                <w:sz w:val="17"/>
                <w:szCs w:val="17"/>
                <w:color w:val="auto"/>
              </w:rPr>
            </w:pPr>
          </w:p>
        </w:tc>
      </w:tr>
      <w:tr>
        <w:trPr>
          <w:trHeight w:val="210"/>
        </w:trPr>
        <w:tc>
          <w:tcPr>
            <w:tcW w:w="10500" w:type="dxa"/>
            <w:vAlign w:val="bottom"/>
            <w:gridSpan w:val="2"/>
          </w:tcPr>
          <w:p>
            <w:pPr>
              <w:jc w:val="right"/>
              <w:ind w:right="10120"/>
              <w:spacing w:after="0"/>
              <w:rPr>
                <w:sz w:val="20"/>
                <w:szCs w:val="20"/>
                <w:color w:val="auto"/>
              </w:rPr>
            </w:pPr>
            <w:r>
              <w:rPr>
                <w:rFonts w:ascii="Arial" w:cs="Arial" w:eastAsia="Arial" w:hAnsi="Arial"/>
                <w:sz w:val="18"/>
                <w:szCs w:val="18"/>
                <w:color w:val="auto"/>
                <w:w w:val="89"/>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55,200</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40" w:type="dxa"/>
            <w:vAlign w:val="bottom"/>
            <w:tcBorders>
              <w:bottom w:val="single" w:sz="8" w:color="auto"/>
            </w:tcBorders>
          </w:tcPr>
          <w:p>
            <w:pPr>
              <w:spacing w:after="0"/>
              <w:rPr>
                <w:sz w:val="11"/>
                <w:szCs w:val="11"/>
                <w:color w:val="auto"/>
              </w:rPr>
            </w:pPr>
          </w:p>
        </w:tc>
        <w:tc>
          <w:tcPr>
            <w:tcW w:w="10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Senior Secured Credit Agreement requires the Company to make additional principal payments, subject to step-down based on total leverage levels, of the Company’s defined excess cash flow. The Company was required to make an excess cash flow payment in the amount of approximately $10,500,000 for the year ended December 31, 2008 and no payment was due for the years ended December 31, 2009 and 2010, respectively; however, the Company did make a $13 million payment in 2010 and expects to make a payment of $1.8 million in 2011 in order to remain in compliance with its debt covenants.</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agreement provides that the Company, at its option, may elect that all or part of the term loan and the revolving loan bear interest at a rate per annum equal to the banks applicable Alternate Base Rate or LIBOR Rate, as these terms are defined in the credit agreement. The applicable Alternate Base Rate or LIBOR Rate will be increased by an applicable margin related to each type of loan.</w:t>
      </w:r>
    </w:p>
    <w:p>
      <w:pPr>
        <w:spacing w:after="0" w:line="11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interest rates applicable to the Senior Term Loan ranged, primarily, from 6.45% to 8.08%, 6.87% to 4.01% and 3.99% to 6.00% for the years ended December 31, 2008, 2009 and 2010, respectively.</w:t>
      </w:r>
    </w:p>
    <w:p>
      <w:pPr>
        <w:spacing w:after="0" w:line="11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Additionally, the Company pays a commitment fee, at the rate of 0.50% per year, on the unused portion of the revolving credit facility and, at December 31, 2010, had no borrowings outstanding.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9"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Unsecured Subordinated Notes:</w:t>
      </w:r>
    </w:p>
    <w:p>
      <w:pPr>
        <w:spacing w:after="0" w:line="117"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The Company has outstanding Senior Subordinated Notes in the amount of $31.0 million bearing interest at the rate of 12.0% per year, payable quarterly, with the principal balance due and payable on January 19, 2014. Additionally, the Company issued warrants to purchase</w:t>
      </w:r>
    </w:p>
    <w:p>
      <w:pPr>
        <w:spacing w:after="0" w:line="2"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4,041,689 shares of the Company’s common stock at an exercise price of $0.01 per share having an estimated value of approximately $768,000 based upon the fair value of the underlying common shares. The amount allocated to the warrants has been recorded in the accompanying consolidated financial statements as a discount on the Senior Subordinated Notes and the amortization is included in interest expense. The warrants shall be exercisable at any time, in whole or part, into Common Stock of the Company prior to May 28, 2014 (the “Warrant Expiration Date”). The Senior Subordinated Notes are held by funds indirectly managed by principal shareholders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December 31, 2010, the maturity of long-term debt obligations were as follows </w:t>
      </w:r>
      <w:r>
        <w:rPr>
          <w:rFonts w:ascii="Arial" w:cs="Arial" w:eastAsia="Arial" w:hAnsi="Arial"/>
          <w:sz w:val="18"/>
          <w:szCs w:val="18"/>
          <w:i w:val="1"/>
          <w:iCs w:val="1"/>
          <w:color w:val="auto"/>
        </w:rPr>
        <w:t>(amounts 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660" w:type="dxa"/>
            <w:vAlign w:val="bottom"/>
            <w:gridSpan w:val="2"/>
          </w:tcPr>
          <w:p>
            <w:pPr>
              <w:jc w:val="right"/>
              <w:ind w:right="10280"/>
              <w:spacing w:after="0"/>
              <w:rPr>
                <w:sz w:val="20"/>
                <w:szCs w:val="20"/>
                <w:color w:val="auto"/>
              </w:rPr>
            </w:pPr>
            <w:r>
              <w:rPr>
                <w:rFonts w:ascii="Arial" w:cs="Arial" w:eastAsia="Arial" w:hAnsi="Arial"/>
                <w:sz w:val="14"/>
                <w:szCs w:val="14"/>
                <w:b w:val="1"/>
                <w:bCs w:val="1"/>
                <w:color w:val="auto"/>
                <w:w w:val="92"/>
              </w:rPr>
              <w:t>YEAR</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0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0"/>
        </w:trPr>
        <w:tc>
          <w:tcPr>
            <w:tcW w:w="10660" w:type="dxa"/>
            <w:vAlign w:val="bottom"/>
            <w:gridSpan w:val="2"/>
            <w:shd w:val="clear" w:color="auto" w:fill="CCEEFF"/>
          </w:tcPr>
          <w:p>
            <w:pPr>
              <w:jc w:val="right"/>
              <w:ind w:right="9940"/>
              <w:spacing w:after="0" w:line="189" w:lineRule="exact"/>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6"/>
                <w:szCs w:val="16"/>
                <w:color w:val="auto"/>
              </w:rPr>
            </w:pPr>
          </w:p>
        </w:tc>
      </w:tr>
      <w:tr>
        <w:trPr>
          <w:trHeight w:val="203"/>
        </w:trPr>
        <w:tc>
          <w:tcPr>
            <w:tcW w:w="10660" w:type="dxa"/>
            <w:vAlign w:val="bottom"/>
            <w:gridSpan w:val="2"/>
          </w:tcPr>
          <w:p>
            <w:pPr>
              <w:jc w:val="right"/>
              <w:ind w:right="9940"/>
              <w:spacing w:after="0" w:line="202" w:lineRule="exact"/>
              <w:rPr>
                <w:sz w:val="20"/>
                <w:szCs w:val="20"/>
                <w:color w:val="auto"/>
              </w:rPr>
            </w:pPr>
            <w:r>
              <w:rPr>
                <w:rFonts w:ascii="Arial" w:cs="Arial" w:eastAsia="Arial" w:hAnsi="Arial"/>
                <w:sz w:val="18"/>
                <w:szCs w:val="18"/>
                <w:color w:val="auto"/>
              </w:rPr>
              <w:t>2012</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1,230</w:t>
            </w:r>
          </w:p>
        </w:tc>
        <w:tc>
          <w:tcPr>
            <w:tcW w:w="100" w:type="dxa"/>
            <w:vAlign w:val="bottom"/>
          </w:tcPr>
          <w:p>
            <w:pPr>
              <w:spacing w:after="0"/>
              <w:rPr>
                <w:sz w:val="17"/>
                <w:szCs w:val="17"/>
                <w:color w:val="auto"/>
              </w:rPr>
            </w:pPr>
          </w:p>
        </w:tc>
      </w:tr>
      <w:tr>
        <w:trPr>
          <w:trHeight w:val="203"/>
        </w:trPr>
        <w:tc>
          <w:tcPr>
            <w:tcW w:w="10660" w:type="dxa"/>
            <w:vAlign w:val="bottom"/>
            <w:gridSpan w:val="2"/>
            <w:shd w:val="clear" w:color="auto" w:fill="CCEEFF"/>
          </w:tcPr>
          <w:p>
            <w:pPr>
              <w:jc w:val="right"/>
              <w:ind w:right="9940"/>
              <w:spacing w:after="0" w:line="202" w:lineRule="exact"/>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52,825</w:t>
            </w:r>
          </w:p>
        </w:tc>
        <w:tc>
          <w:tcPr>
            <w:tcW w:w="100" w:type="dxa"/>
            <w:vAlign w:val="bottom"/>
            <w:shd w:val="clear" w:color="auto" w:fill="CCEEFF"/>
          </w:tcPr>
          <w:p>
            <w:pPr>
              <w:spacing w:after="0"/>
              <w:rPr>
                <w:sz w:val="17"/>
                <w:szCs w:val="17"/>
                <w:color w:val="auto"/>
              </w:rPr>
            </w:pPr>
          </w:p>
        </w:tc>
      </w:tr>
      <w:tr>
        <w:trPr>
          <w:trHeight w:val="203"/>
        </w:trPr>
        <w:tc>
          <w:tcPr>
            <w:tcW w:w="10660" w:type="dxa"/>
            <w:vAlign w:val="bottom"/>
            <w:gridSpan w:val="2"/>
          </w:tcPr>
          <w:p>
            <w:pPr>
              <w:jc w:val="right"/>
              <w:ind w:right="9940"/>
              <w:spacing w:after="0" w:line="202"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30,765</w:t>
            </w:r>
          </w:p>
        </w:tc>
        <w:tc>
          <w:tcPr>
            <w:tcW w:w="100" w:type="dxa"/>
            <w:vAlign w:val="bottom"/>
          </w:tcPr>
          <w:p>
            <w:pPr>
              <w:spacing w:after="0"/>
              <w:rPr>
                <w:sz w:val="17"/>
                <w:szCs w:val="17"/>
                <w:color w:val="auto"/>
              </w:rPr>
            </w:pPr>
          </w:p>
        </w:tc>
      </w:tr>
      <w:tr>
        <w:trPr>
          <w:trHeight w:val="203"/>
        </w:trPr>
        <w:tc>
          <w:tcPr>
            <w:tcW w:w="10660" w:type="dxa"/>
            <w:vAlign w:val="bottom"/>
            <w:gridSpan w:val="2"/>
            <w:shd w:val="clear" w:color="auto" w:fill="CCEEFF"/>
          </w:tcPr>
          <w:p>
            <w:pPr>
              <w:jc w:val="right"/>
              <w:ind w:right="9940"/>
              <w:spacing w:after="0" w:line="202" w:lineRule="exact"/>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r>
      <w:tr>
        <w:trPr>
          <w:trHeight w:val="210"/>
        </w:trPr>
        <w:tc>
          <w:tcPr>
            <w:tcW w:w="10660" w:type="dxa"/>
            <w:vAlign w:val="bottom"/>
            <w:gridSpan w:val="2"/>
          </w:tcPr>
          <w:p>
            <w:pPr>
              <w:jc w:val="right"/>
              <w:ind w:right="10280"/>
              <w:spacing w:after="0"/>
              <w:rPr>
                <w:sz w:val="20"/>
                <w:szCs w:val="20"/>
                <w:color w:val="auto"/>
              </w:rPr>
            </w:pPr>
            <w:r>
              <w:rPr>
                <w:rFonts w:ascii="Arial" w:cs="Arial" w:eastAsia="Arial" w:hAnsi="Arial"/>
                <w:sz w:val="18"/>
                <w:szCs w:val="18"/>
                <w:color w:val="auto"/>
                <w:w w:val="89"/>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86,072</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Interest paid on outstanding debt was approximately $11,931,000, $9,505,000 and $7,274,000 for the years ended December 31, 2008, 2009 and 2010, respectively.</w:t>
      </w:r>
    </w:p>
    <w:p>
      <w:pPr>
        <w:spacing w:after="0" w:line="11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Senior Secured Credit Agreement and Senior Unsecured Subordinated Notes contain certain restrictive covenants. These covenants include restrictions on additional borrowings, investments, sale of assets, capital expenditures, dividends, sale and leaseback transactions, contingent obligations, transactions with affiliates and fundamental changes in business activities. The covenants also require the maintenance of certain financial ratios regarding senior indebtedness, senior interest and capital expenditures. At December 31, 2010, the Company was in compliance with all required covenants.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7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May 2004, the Company’s Board of Directors authorized the 2004 Stock Option and Grant Plan for Youth and Family Centered Services, Inc. (the “Plan”) which provides that options may be granted to certain key people to purchase up to approximately 9,739,000 shares of common stock of the Company at a price not less than the fair market value of the shares on the date of grant. The stock options generally become exercisable on a pro rata basis over a five year period from the date of the grant and must be exercised within ten years from the date of the grant.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91" w:right="239" w:bottom="1440" w:gutter="0" w:footer="0" w:header="0"/>
        </w:sectPr>
      </w:pPr>
    </w:p>
    <w:bookmarkStart w:id="127" w:name="page128"/>
    <w:bookmarkEnd w:id="127"/>
    <w:p>
      <w:pPr>
        <w:ind w:right="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year ended December 31, 2010, pertinent information regarding the stock option plan is as follows </w:t>
      </w:r>
      <w:r>
        <w:rPr>
          <w:rFonts w:ascii="Arial" w:cs="Arial" w:eastAsia="Arial" w:hAnsi="Arial"/>
          <w:sz w:val="18"/>
          <w:szCs w:val="18"/>
          <w:i w:val="1"/>
          <w:iCs w:val="1"/>
          <w:color w:val="auto"/>
        </w:rPr>
        <w:t>(amounts in thousands, except price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w:t>
            </w:r>
          </w:p>
        </w:tc>
      </w:tr>
      <w:tr>
        <w:trPr>
          <w:trHeight w:val="149"/>
        </w:trPr>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PRICE</w:t>
            </w:r>
          </w:p>
        </w:tc>
        <w:tc>
          <w:tcPr>
            <w:tcW w:w="32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r>
      <w:tr>
        <w:trPr>
          <w:trHeight w:val="149"/>
        </w:trPr>
        <w:tc>
          <w:tcPr>
            <w:tcW w:w="61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PER</w:t>
            </w:r>
          </w:p>
        </w:tc>
        <w:tc>
          <w:tcPr>
            <w:tcW w:w="32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w:t>
            </w:r>
          </w:p>
        </w:tc>
      </w:tr>
      <w:tr>
        <w:trPr>
          <w:trHeight w:val="165"/>
        </w:trPr>
        <w:tc>
          <w:tcPr>
            <w:tcW w:w="6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SHARE</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8"/>
              </w:rPr>
              <w:t>PRICE</w:t>
            </w:r>
          </w:p>
        </w:tc>
        <w:tc>
          <w:tcPr>
            <w:tcW w:w="6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TERM (IN YEARS)</w:t>
            </w:r>
          </w:p>
        </w:tc>
        <w:tc>
          <w:tcPr>
            <w:tcW w:w="100" w:type="dxa"/>
            <w:vAlign w:val="bottom"/>
            <w:tcBorders>
              <w:bottom w:val="single" w:sz="8" w:color="CCEEFF"/>
            </w:tcBorders>
          </w:tcPr>
          <w:p>
            <w:pPr>
              <w:spacing w:after="0"/>
              <w:rPr>
                <w:sz w:val="14"/>
                <w:szCs w:val="14"/>
                <w:color w:val="auto"/>
              </w:rPr>
            </w:pPr>
          </w:p>
        </w:tc>
      </w:tr>
      <w:tr>
        <w:trPr>
          <w:trHeight w:val="196"/>
        </w:trPr>
        <w:tc>
          <w:tcPr>
            <w:tcW w:w="6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 December 31, 2007</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9,044</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7.14</w:t>
            </w:r>
          </w:p>
        </w:tc>
      </w:tr>
      <w:tr>
        <w:trPr>
          <w:trHeight w:val="20"/>
        </w:trPr>
        <w:tc>
          <w:tcPr>
            <w:tcW w:w="6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60" w:type="dxa"/>
            <w:vAlign w:val="bottom"/>
          </w:tcPr>
          <w:p>
            <w:pPr>
              <w:ind w:left="320"/>
              <w:spacing w:after="0" w:line="196"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340" w:type="dxa"/>
            <w:vAlign w:val="bottom"/>
          </w:tcPr>
          <w:p>
            <w:pPr>
              <w:spacing w:after="0"/>
              <w:rPr>
                <w:sz w:val="17"/>
                <w:szCs w:val="17"/>
                <w:color w:val="auto"/>
              </w:rPr>
            </w:pPr>
          </w:p>
        </w:tc>
        <w:tc>
          <w:tcPr>
            <w:tcW w:w="400" w:type="dxa"/>
            <w:vAlign w:val="bottom"/>
            <w:gridSpan w:val="2"/>
          </w:tcPr>
          <w:p>
            <w:pPr>
              <w:ind w:left="30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0.20</w:t>
            </w:r>
          </w:p>
        </w:tc>
        <w:tc>
          <w:tcPr>
            <w:tcW w:w="46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0.20</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n/a</w:t>
            </w:r>
          </w:p>
        </w:tc>
      </w:tr>
      <w:tr>
        <w:trPr>
          <w:trHeight w:val="203"/>
        </w:trPr>
        <w:tc>
          <w:tcPr>
            <w:tcW w:w="61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(54)</w:t>
            </w:r>
          </w:p>
        </w:tc>
        <w:tc>
          <w:tcPr>
            <w:tcW w:w="4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6160" w:type="dxa"/>
            <w:vAlign w:val="bottom"/>
          </w:tcPr>
          <w:p>
            <w:pPr>
              <w:ind w:left="32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(139)</w:t>
            </w:r>
          </w:p>
        </w:tc>
        <w:tc>
          <w:tcPr>
            <w:tcW w:w="4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n/a</w:t>
            </w:r>
          </w:p>
        </w:tc>
      </w:tr>
      <w:tr>
        <w:trPr>
          <w:trHeight w:val="27"/>
        </w:trPr>
        <w:tc>
          <w:tcPr>
            <w:tcW w:w="6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2008</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6.16</w:t>
            </w:r>
          </w:p>
        </w:tc>
      </w:tr>
      <w:tr>
        <w:trPr>
          <w:trHeight w:val="20"/>
        </w:trPr>
        <w:tc>
          <w:tcPr>
            <w:tcW w:w="6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60" w:type="dxa"/>
            <w:vAlign w:val="bottom"/>
          </w:tcPr>
          <w:p>
            <w:pPr>
              <w:ind w:left="320"/>
              <w:spacing w:after="0" w:line="196"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242</w:t>
            </w:r>
          </w:p>
        </w:tc>
        <w:tc>
          <w:tcPr>
            <w:tcW w:w="340" w:type="dxa"/>
            <w:vAlign w:val="bottom"/>
          </w:tcPr>
          <w:p>
            <w:pPr>
              <w:spacing w:after="0"/>
              <w:rPr>
                <w:sz w:val="17"/>
                <w:szCs w:val="17"/>
                <w:color w:val="auto"/>
              </w:rPr>
            </w:pPr>
          </w:p>
        </w:tc>
        <w:tc>
          <w:tcPr>
            <w:tcW w:w="400" w:type="dxa"/>
            <w:vAlign w:val="bottom"/>
            <w:gridSpan w:val="2"/>
          </w:tcPr>
          <w:p>
            <w:pPr>
              <w:ind w:left="30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0.20</w:t>
            </w:r>
          </w:p>
        </w:tc>
        <w:tc>
          <w:tcPr>
            <w:tcW w:w="46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0.20</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n/a</w:t>
            </w:r>
          </w:p>
        </w:tc>
      </w:tr>
      <w:tr>
        <w:trPr>
          <w:trHeight w:val="203"/>
        </w:trPr>
        <w:tc>
          <w:tcPr>
            <w:tcW w:w="61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6160" w:type="dxa"/>
            <w:vAlign w:val="bottom"/>
          </w:tcPr>
          <w:p>
            <w:pPr>
              <w:ind w:left="32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(1,578)</w:t>
            </w:r>
          </w:p>
        </w:tc>
        <w:tc>
          <w:tcPr>
            <w:tcW w:w="4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n/a</w:t>
            </w:r>
          </w:p>
        </w:tc>
      </w:tr>
      <w:tr>
        <w:trPr>
          <w:trHeight w:val="27"/>
        </w:trPr>
        <w:tc>
          <w:tcPr>
            <w:tcW w:w="6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7,665</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5.27</w:t>
            </w:r>
          </w:p>
        </w:tc>
      </w:tr>
      <w:tr>
        <w:trPr>
          <w:trHeight w:val="20"/>
        </w:trPr>
        <w:tc>
          <w:tcPr>
            <w:tcW w:w="6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60" w:type="dxa"/>
            <w:vAlign w:val="bottom"/>
          </w:tcPr>
          <w:p>
            <w:pPr>
              <w:ind w:left="320"/>
              <w:spacing w:after="0" w:line="196"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287</w:t>
            </w:r>
          </w:p>
        </w:tc>
        <w:tc>
          <w:tcPr>
            <w:tcW w:w="340" w:type="dxa"/>
            <w:vAlign w:val="bottom"/>
          </w:tcPr>
          <w:p>
            <w:pPr>
              <w:spacing w:after="0"/>
              <w:rPr>
                <w:sz w:val="17"/>
                <w:szCs w:val="17"/>
                <w:color w:val="auto"/>
              </w:rPr>
            </w:pPr>
          </w:p>
        </w:tc>
        <w:tc>
          <w:tcPr>
            <w:tcW w:w="400" w:type="dxa"/>
            <w:vAlign w:val="bottom"/>
            <w:gridSpan w:val="2"/>
          </w:tcPr>
          <w:p>
            <w:pPr>
              <w:ind w:left="30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0.20</w:t>
            </w:r>
          </w:p>
        </w:tc>
        <w:tc>
          <w:tcPr>
            <w:tcW w:w="46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0.20</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n/a</w:t>
            </w:r>
          </w:p>
        </w:tc>
      </w:tr>
      <w:tr>
        <w:trPr>
          <w:trHeight w:val="203"/>
        </w:trPr>
        <w:tc>
          <w:tcPr>
            <w:tcW w:w="61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6160" w:type="dxa"/>
            <w:vAlign w:val="bottom"/>
          </w:tcPr>
          <w:p>
            <w:pPr>
              <w:ind w:left="32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(295)</w:t>
            </w:r>
          </w:p>
        </w:tc>
        <w:tc>
          <w:tcPr>
            <w:tcW w:w="4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n/a</w:t>
            </w:r>
          </w:p>
        </w:tc>
      </w:tr>
      <w:tr>
        <w:trPr>
          <w:trHeight w:val="27"/>
        </w:trPr>
        <w:tc>
          <w:tcPr>
            <w:tcW w:w="6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7,657</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0.20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w:t>
            </w:r>
          </w:p>
        </w:tc>
      </w:tr>
      <w:tr>
        <w:trPr>
          <w:trHeight w:val="20"/>
        </w:trPr>
        <w:tc>
          <w:tcPr>
            <w:tcW w:w="6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options outstanding at December 31, 2010 including related price and remaining contractual term information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OPTIONS EXERCISABLE</w:t>
            </w:r>
          </w:p>
        </w:tc>
      </w:tr>
      <w:tr>
        <w:trPr>
          <w:trHeight w:val="126"/>
        </w:trPr>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8"/>
              </w:rPr>
              <w:t>WEIGHTED</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WEIGHTED</w:t>
            </w:r>
          </w:p>
        </w:tc>
      </w:t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REMAINING</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w:t>
            </w:r>
          </w:p>
        </w:tc>
      </w:t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NUMBER OF</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EXERCISE</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CONTRACTUAL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EXERCISE</w:t>
            </w:r>
          </w:p>
        </w:tc>
      </w:tr>
      <w:tr>
        <w:trPr>
          <w:trHeight w:val="178"/>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EXERCISE PRICE</w:t>
            </w:r>
          </w:p>
        </w:tc>
        <w:tc>
          <w:tcPr>
            <w:tcW w:w="1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SHARES</w:t>
            </w: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PRICE</w:t>
            </w:r>
          </w:p>
        </w:tc>
        <w:tc>
          <w:tcPr>
            <w:tcW w:w="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EXERCISABLE</w:t>
            </w: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PRICE</w:t>
            </w:r>
          </w:p>
        </w:tc>
      </w:tr>
      <w:tr>
        <w:trPr>
          <w:trHeight w:val="196"/>
        </w:trPr>
        <w:tc>
          <w:tcPr>
            <w:tcW w:w="1940" w:type="dxa"/>
            <w:vAlign w:val="bottom"/>
            <w:shd w:val="clear" w:color="auto" w:fill="CCEEFF"/>
          </w:tcPr>
          <w:p>
            <w:pPr>
              <w:jc w:val="right"/>
              <w:ind w:right="622"/>
              <w:spacing w:after="0" w:line="196" w:lineRule="exact"/>
              <w:rPr>
                <w:sz w:val="20"/>
                <w:szCs w:val="20"/>
                <w:color w:val="auto"/>
              </w:rPr>
            </w:pPr>
            <w:r>
              <w:rPr>
                <w:rFonts w:ascii="Arial" w:cs="Arial" w:eastAsia="Arial" w:hAnsi="Arial"/>
                <w:sz w:val="18"/>
                <w:szCs w:val="18"/>
                <w:color w:val="auto"/>
              </w:rPr>
              <w:t>$ 0.20</w:t>
            </w:r>
          </w:p>
        </w:tc>
        <w:tc>
          <w:tcPr>
            <w:tcW w:w="188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7"/>
              </w:rPr>
              <w:t>7,657</w:t>
            </w:r>
          </w:p>
        </w:tc>
        <w:tc>
          <w:tcPr>
            <w:tcW w:w="1920" w:type="dxa"/>
            <w:vAlign w:val="bottom"/>
            <w:gridSpan w:val="2"/>
            <w:shd w:val="clear" w:color="auto" w:fill="CCEEFF"/>
          </w:tcPr>
          <w:p>
            <w:pPr>
              <w:jc w:val="center"/>
              <w:ind w:left="32"/>
              <w:spacing w:after="0" w:line="196" w:lineRule="exact"/>
              <w:rPr>
                <w:sz w:val="20"/>
                <w:szCs w:val="20"/>
                <w:color w:val="auto"/>
              </w:rPr>
            </w:pPr>
            <w:r>
              <w:rPr>
                <w:rFonts w:ascii="Arial" w:cs="Arial" w:eastAsia="Arial" w:hAnsi="Arial"/>
                <w:sz w:val="18"/>
                <w:szCs w:val="18"/>
                <w:color w:val="auto"/>
                <w:w w:val="97"/>
              </w:rPr>
              <w:t>$0.20</w:t>
            </w:r>
          </w:p>
        </w:tc>
        <w:tc>
          <w:tcPr>
            <w:tcW w:w="1940" w:type="dxa"/>
            <w:vAlign w:val="bottom"/>
            <w:gridSpan w:val="2"/>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95"/>
              </w:rPr>
              <w:t>4.5</w:t>
            </w:r>
          </w:p>
        </w:tc>
        <w:tc>
          <w:tcPr>
            <w:tcW w:w="1940" w:type="dxa"/>
            <w:vAlign w:val="bottom"/>
            <w:gridSpan w:val="2"/>
            <w:shd w:val="clear" w:color="auto" w:fill="CCEEFF"/>
          </w:tcPr>
          <w:p>
            <w:pPr>
              <w:jc w:val="right"/>
              <w:ind w:right="632"/>
              <w:spacing w:after="0" w:line="196" w:lineRule="exact"/>
              <w:rPr>
                <w:sz w:val="20"/>
                <w:szCs w:val="20"/>
                <w:color w:val="auto"/>
              </w:rPr>
            </w:pPr>
            <w:r>
              <w:rPr>
                <w:rFonts w:ascii="Arial" w:cs="Arial" w:eastAsia="Arial" w:hAnsi="Arial"/>
                <w:sz w:val="18"/>
                <w:szCs w:val="18"/>
                <w:color w:val="auto"/>
              </w:rPr>
              <w:t>7,133</w:t>
            </w:r>
          </w:p>
        </w:tc>
        <w:tc>
          <w:tcPr>
            <w:tcW w:w="180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$0.20</w:t>
            </w:r>
          </w:p>
        </w:tc>
      </w:tr>
      <w:tr>
        <w:trPr>
          <w:trHeight w:val="20"/>
        </w:trPr>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1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Certain senior management employees held options to purchase a total of 1,807,156 shares of Series “A” Convertible Preferred Stock at an exercise price of $0.17 per share. In May 2009, the employees exercised all the Series “A” Preferred Stock Options.</w:t>
      </w:r>
    </w:p>
    <w:p>
      <w:pPr>
        <w:spacing w:after="0" w:line="133" w:lineRule="exact"/>
        <w:rPr>
          <w:sz w:val="20"/>
          <w:szCs w:val="20"/>
          <w:color w:val="auto"/>
        </w:rPr>
      </w:pPr>
    </w:p>
    <w:p>
      <w:pPr>
        <w:ind w:right="7940" w:firstLine="8"/>
        <w:spacing w:after="0" w:line="294" w:lineRule="auto"/>
        <w:tabs>
          <w:tab w:leader="none" w:pos="195"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 Commitments:</w:t>
      </w:r>
    </w:p>
    <w:p>
      <w:pPr>
        <w:spacing w:after="0" w:line="1" w:lineRule="exact"/>
        <w:rPr>
          <w:rFonts w:ascii="Arial" w:cs="Arial" w:eastAsia="Arial" w:hAnsi="Arial"/>
          <w:sz w:val="18"/>
          <w:szCs w:val="18"/>
          <w:b w:val="1"/>
          <w:bCs w:val="1"/>
          <w:color w:val="auto"/>
        </w:rPr>
      </w:pPr>
    </w:p>
    <w:p>
      <w:pPr>
        <w:ind w:right="18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was obligated under a capital lease agreement for a building having an original term of 15 years that expired in January 2010. The new lease was renewed under terms and conditions that qualified it as an operating lease.</w:t>
      </w:r>
    </w:p>
    <w:p>
      <w:pPr>
        <w:spacing w:after="0" w:line="11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 xml:space="preserve">Included in buildings and improvements in the accompanying Consolidated Balance Sheets at December 31, 2009 and 2010 are the following assets held under capital lease </w:t>
      </w:r>
      <w:r>
        <w:rPr>
          <w:rFonts w:ascii="Arial" w:cs="Arial" w:eastAsia="Arial" w:hAnsi="Arial"/>
          <w:sz w:val="18"/>
          <w:szCs w:val="18"/>
          <w:i w:val="1"/>
          <w:i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6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r>
      <w:tr>
        <w:trPr>
          <w:trHeight w:val="210"/>
        </w:trPr>
        <w:tc>
          <w:tcPr>
            <w:tcW w:w="42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(1,885)</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 held under capital leases</w:t>
            </w:r>
          </w:p>
        </w:tc>
        <w:tc>
          <w:tcPr>
            <w:tcW w:w="6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280" w:type="dxa"/>
            <w:vAlign w:val="bottom"/>
            <w:tcBorders>
              <w:bottom w:val="single" w:sz="8" w:color="auto"/>
            </w:tcBorders>
          </w:tcPr>
          <w:p>
            <w:pPr>
              <w:spacing w:after="0"/>
              <w:rPr>
                <w:sz w:val="11"/>
                <w:szCs w:val="11"/>
                <w:color w:val="auto"/>
              </w:rPr>
            </w:pPr>
          </w:p>
        </w:tc>
        <w:tc>
          <w:tcPr>
            <w:tcW w:w="6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r>
        <w:trPr>
          <w:trHeight w:val="383"/>
        </w:trPr>
        <w:tc>
          <w:tcPr>
            <w:tcW w:w="4280" w:type="dxa"/>
            <w:vAlign w:val="bottom"/>
          </w:tcPr>
          <w:p>
            <w:pPr>
              <w:spacing w:after="0"/>
              <w:rPr>
                <w:sz w:val="24"/>
                <w:szCs w:val="24"/>
                <w:color w:val="auto"/>
              </w:rPr>
            </w:pPr>
          </w:p>
        </w:tc>
        <w:tc>
          <w:tcPr>
            <w:tcW w:w="6420" w:type="dxa"/>
            <w:vAlign w:val="bottom"/>
          </w:tcPr>
          <w:p>
            <w:pPr>
              <w:jc w:val="right"/>
              <w:ind w:right="479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128" w:name="page129"/>
    <w:bookmarkEnd w:id="128"/>
    <w:p>
      <w:pPr>
        <w:ind w:right="1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leases other certain property and equipment under non-cancelable long-term operating leases that expire at various dates. Certain of the leases require additional payments for taxes, insurance, common area maintenance, and in most cases provide for renewal options. Generally, the terms are from one to ten years.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Future minimum lease commitments for all non-cancelable leases as of December 31, 2010 are as follows </w:t>
      </w:r>
      <w:r>
        <w:rPr>
          <w:rFonts w:ascii="Arial" w:cs="Arial" w:eastAsia="Arial" w:hAnsi="Arial"/>
          <w:sz w:val="18"/>
          <w:szCs w:val="18"/>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52"/>
        </w:trPr>
        <w:tc>
          <w:tcPr>
            <w:tcW w:w="105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0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520" w:type="dxa"/>
            <w:vAlign w:val="bottom"/>
            <w:gridSpan w:val="2"/>
          </w:tcPr>
          <w:p>
            <w:pPr>
              <w:spacing w:after="0" w:line="202" w:lineRule="exact"/>
              <w:rPr>
                <w:sz w:val="20"/>
                <w:szCs w:val="20"/>
                <w:color w:val="auto"/>
              </w:rPr>
            </w:pPr>
            <w:r>
              <w:rPr>
                <w:rFonts w:ascii="Arial" w:cs="Arial" w:eastAsia="Arial" w:hAnsi="Arial"/>
                <w:sz w:val="18"/>
                <w:szCs w:val="18"/>
                <w:color w:val="auto"/>
              </w:rPr>
              <w:t>2012</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520" w:type="dxa"/>
            <w:vAlign w:val="bottom"/>
            <w:gridSpan w:val="2"/>
          </w:tcPr>
          <w:p>
            <w:pPr>
              <w:spacing w:after="0" w:line="202"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5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minimum lease payments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Rent expense under operating leases, including month-to-month contracts, was approximately $5,606,000, $5,728,000 and $7,362,000 for the years ended December 31, 2008, 2009 and 2010,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4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the ordinary course of business the Company is exposed to various legal proceedings, claims and incidents that may lead to claims. In management’s current opinion, the outcome with respect to these actions will not have a material adverse effect on the Company’s consolidated financial position, results of operations and cash flows. However, there can be no assurances that, over time, certain of these proceedings will not develop into a material event.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4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Company’s business entails an inherent risk of claims relating to professional liability. The Company maintains professional liability insurance, on a “claims made basis”, with an option to extend the claims reporting period and general liability insurance, on an “occurrence basis”. The Company also maintains additional coverage for claims in excess of the coverage provided by the professional and general liability policies. The Company accrues for unknown incidents based upon the anticipated future costs related to those potential obligations. The Company believes that its insurance coverage is sufficient based upon claims experience and the nature and risks of its business. There can be no assurance that a pending or future claim or claims will not be successful against the Company, and, if successful, will not exceed the limits of available insurance coverage or that such coverage will continue to be available at acceptable costs and on favorable terms.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and Regulatory Matters:</w:t>
      </w:r>
    </w:p>
    <w:p>
      <w:pPr>
        <w:spacing w:after="0" w:line="4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Laws and regulations governing the various Medicaid and state reimbursement programs are complex and subject to interpretation. The Company believes it is in substantial compliance with all applicable laws and regulations. However, the Company has ongoing regulatory matters, including those described below. Currently, management does not believe the outcome of the compliance matters or regulatory investigations will have a significant impact on the financial position or operating results of the Company.</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the year ended December 31, 2004, a local county referral agency conducted a routine audit which revealed possible billing problems. The Company conducted a detailed internal compliance review that confirmed certain billing problems existed. The Company immediately changed its procedures and increased the in-house training of its personnel. The Company offered to reimburse the Ohio Department of Job and Family Services (the “State Medicaid agency”), for all questionable billings and subsequent to the offer, the State Medicaid agency conducted its audit covering the period August 2003 through January 2005. The result of this audit was a request for the payback of approximately $1.4 million from the facility, which has been accrued by the Company. An administrative hearing was conducted in September 2007; and in January 2008, the State Medicaid agency submitted the hearing officer’s report and recommendations to the Company. Subsequent to this, an Adjudication Order was issued.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91" w:right="239" w:bottom="1440" w:gutter="0" w:footer="0" w:header="0"/>
        </w:sectPr>
      </w:pPr>
    </w:p>
    <w:bookmarkStart w:id="129" w:name="page130"/>
    <w:bookmarkEnd w:id="129"/>
    <w:p>
      <w:pPr>
        <w:ind w:right="8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appealed the administrative order to the Court of Common Pleas; the State Medicaid agency prevailed; and the Company filed a notice of appeal to the Court of Appeals. The Court’s mediator extended an invitation to the parties to mediate, which the Company accepted; however, the State Medicaid agency declined, and at that point, the Company withdrew the appeal. The State Medicaid agency then sent an invoice for the amount assessed in the audit, including interest. In December of 2009, the Company received a demand letter from Special Counsel retained by the Ohio Attorney General for principal plus penalties and interest. Outside counsel for the Company responded by contacting the Special Counsel’s office to convey that the facility had been closed for years and did not have any assets. The Special Counsel’s Office replied that they would have to review their file and get back to the Company’s outside counsel. In May of 2010, Oak Ridge’s counsel followed up with the Special Counsel’s Office, which informed Oak Ridge’s counsel that the claim had been returned to the Attorney General’s Office. The Attorney General’s Office has the option to pursue litigation to reduce the claim to a judgment; however, there are no assets of the subsidiary to satisfy any judgment that may be rendered.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April 2006, the Company and one of its facilities were the recipients of a federal subpoena. The Company fully cooperated with the</w:t>
      </w:r>
    </w:p>
    <w:p>
      <w:pPr>
        <w:spacing w:after="0" w:line="235" w:lineRule="auto"/>
        <w:rPr>
          <w:sz w:val="20"/>
          <w:szCs w:val="20"/>
          <w:color w:val="auto"/>
        </w:rPr>
      </w:pPr>
      <w:r>
        <w:rPr>
          <w:rFonts w:ascii="Arial" w:cs="Arial" w:eastAsia="Arial" w:hAnsi="Arial"/>
          <w:sz w:val="18"/>
          <w:szCs w:val="18"/>
          <w:color w:val="auto"/>
        </w:rPr>
        <w:t xml:space="preserve">U.S. Attorney’s Office’s investigation and the parties worked on components of a model residential treatment program as a resolution of the investigation. In December 2008, the Assistant U.S. Attorney contacted the Company’s outside counsel, and informed him that the investigation was the product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filed under the Federal False Claims Act. Such cases are filed “under seal” and the defendants are not notified until the government officially intervenes in the case. In this instance, the Court directed the government to either settle this matter promptly, or intervene or decline to intervene, in which case the plaintiff could still proceed on his/her own; and the Court partially unsealed the case, so as to let the Company know it was the subject of a lawsuit. A settlement agreement with the U.S. Attorney’s Office was reached on April 22, 2009, which includes facets of a model residential treatment program; a partial re-payment of funding in three installments of $50,000 each, with the final installment to be paid in April of 2011; and various corporate integrity provisions commonly required by the U.S. Department of Health and Human Services Office of the Inspector General. As part of the integrity provisions, an independent review organization shall monitor the Company for three years. The Company was notified by the U.S. Attorney’s Office on March 9, 2010 and by the independent review organization on March 10, 2010 that they had received complaints alleging compliance concerns which they intended to investigate. The matters were fully investigated internally and externally and resolved with no material financial effects. As of January 31, 2011, the independent review organization reported no issues of non-compliance. In late February of 2011, outside counsel for the Company contacted the U.S. Attorney’s Office to verbally inform the government of the impending sale of the Company. During the call, the Assistant U.S. Attorney mentioned that he would be sending a letter or other communication on various matters, but he declined to indicate the anticipated substance of the correspondence or if there were specific concerns. The correspondence has not been received at this time.</w:t>
      </w:r>
    </w:p>
    <w:p>
      <w:pPr>
        <w:spacing w:after="0" w:line="12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August 20, 2010, the Florida Agency for Health Care Administration (AHCA) issued an Emergency Immediate Moratorium on Admissions to halt all residential treatment admissions due to regulatory deficiencies. Subsequently over a period of four months, AHCA issued a moratorium on admissions for two of the group homes; filed five administrative complaints seeking fines totaling $134,500 and revocation of licenses; and sent a notice of termination of the Medicaid Statewide Inpatient Psychiatric Program (SIPP) contract with Tampa Bay Academy, effective December 15, 2010, which was subsequently withdrawn to allow the Company to voluntarily terminate that contract. Outside counsel for Tampa Bay is in discussions with AHCA counsel on a potential settlement pertaining to the pending fines and license revocation actions. This facility has been closed (See Note 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 has a qualified contributory savings plan (the “Plan”) as allowed under Section 401(k) of the Internal Revenue Code. The Plan is available to all full-time and part-time employees meeting certain eligibility requirements and participants may defer up to 20% of their annual compensation, subject to limits, by contributing amounts to the Plan. At its election, the Company may make additional discretionary contributions to the plan on the employee’s behalf. The Company elected to make an additional discretionary contribution into the Plan in the amount of approximately $100,000 for the year ended December 31, 2008. For the years ended December 31, 2009 and 2010 the Company elected to suspend its employer contribution.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91" w:right="2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INCOME TAXES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provision for federal and state income taxes from continuing operations consist of the following </w:t>
      </w:r>
      <w:r>
        <w:rPr>
          <w:rFonts w:ascii="Arial" w:cs="Arial" w:eastAsia="Arial" w:hAnsi="Arial"/>
          <w:sz w:val="18"/>
          <w:szCs w:val="18"/>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60" w:type="dxa"/>
            <w:vAlign w:val="bottom"/>
          </w:tcPr>
          <w:p>
            <w:pPr>
              <w:spacing w:after="0"/>
              <w:rPr>
                <w:sz w:val="14"/>
                <w:szCs w:val="14"/>
                <w:color w:val="auto"/>
              </w:rPr>
            </w:pPr>
          </w:p>
        </w:tc>
        <w:tc>
          <w:tcPr>
            <w:tcW w:w="2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83"/>
        </w:trPr>
        <w:tc>
          <w:tcPr>
            <w:tcW w:w="6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2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6460" w:type="dxa"/>
            <w:vAlign w:val="bottom"/>
          </w:tcPr>
          <w:p>
            <w:pPr>
              <w:ind w:left="320"/>
              <w:spacing w:after="0" w:line="202" w:lineRule="exact"/>
              <w:rPr>
                <w:sz w:val="20"/>
                <w:szCs w:val="20"/>
                <w:color w:val="auto"/>
              </w:rPr>
            </w:pPr>
            <w:r>
              <w:rPr>
                <w:rFonts w:ascii="Arial" w:cs="Arial" w:eastAsia="Arial" w:hAnsi="Arial"/>
                <w:sz w:val="18"/>
                <w:szCs w:val="18"/>
                <w:color w:val="auto"/>
              </w:rPr>
              <w:t>Federal</w:t>
            </w:r>
          </w:p>
        </w:tc>
        <w:tc>
          <w:tcPr>
            <w:tcW w:w="2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$3,487</w:t>
            </w:r>
          </w:p>
        </w:tc>
        <w:tc>
          <w:tcPr>
            <w:tcW w:w="2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$5,286</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$ 6,018</w:t>
            </w:r>
          </w:p>
        </w:tc>
        <w:tc>
          <w:tcPr>
            <w:tcW w:w="100" w:type="dxa"/>
            <w:vAlign w:val="bottom"/>
          </w:tcPr>
          <w:p>
            <w:pPr>
              <w:spacing w:after="0"/>
              <w:rPr>
                <w:sz w:val="17"/>
                <w:szCs w:val="17"/>
                <w:color w:val="auto"/>
              </w:rPr>
            </w:pPr>
          </w:p>
        </w:tc>
      </w:tr>
      <w:tr>
        <w:trPr>
          <w:trHeight w:val="203"/>
        </w:trPr>
        <w:tc>
          <w:tcPr>
            <w:tcW w:w="6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State</w:t>
            </w:r>
          </w:p>
        </w:tc>
        <w:tc>
          <w:tcPr>
            <w:tcW w:w="2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2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Federal</w:t>
            </w:r>
          </w:p>
        </w:tc>
        <w:tc>
          <w:tcPr>
            <w:tcW w:w="30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(700)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1,003</w:t>
            </w:r>
          </w:p>
        </w:tc>
        <w:tc>
          <w:tcPr>
            <w:tcW w:w="11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(1,518)</w:t>
            </w:r>
          </w:p>
        </w:tc>
      </w:tr>
      <w:tr>
        <w:trPr>
          <w:trHeight w:val="203"/>
        </w:trPr>
        <w:tc>
          <w:tcPr>
            <w:tcW w:w="6460" w:type="dxa"/>
            <w:vAlign w:val="bottom"/>
          </w:tcPr>
          <w:p>
            <w:pPr>
              <w:ind w:left="320"/>
              <w:spacing w:after="0" w:line="202" w:lineRule="exact"/>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(149)</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w:t>
            </w:r>
          </w:p>
        </w:tc>
        <w:tc>
          <w:tcPr>
            <w:tcW w:w="11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(181)</w:t>
            </w:r>
          </w:p>
        </w:tc>
      </w:tr>
      <w:tr>
        <w:trPr>
          <w:trHeight w:val="27"/>
        </w:trPr>
        <w:tc>
          <w:tcPr>
            <w:tcW w:w="6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 from continuing operations</w:t>
            </w:r>
          </w:p>
        </w:tc>
        <w:tc>
          <w:tcPr>
            <w:tcW w:w="2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3,132</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7,133</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$ 5,032</w:t>
            </w:r>
          </w:p>
        </w:tc>
        <w:tc>
          <w:tcPr>
            <w:tcW w:w="100" w:type="dxa"/>
            <w:vAlign w:val="bottom"/>
            <w:shd w:val="clear" w:color="auto" w:fill="CCEEFF"/>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2009 and 2010 are as follows </w:t>
      </w:r>
      <w:r>
        <w:rPr>
          <w:rFonts w:ascii="Arial" w:cs="Arial" w:eastAsia="Arial" w:hAnsi="Arial"/>
          <w:sz w:val="18"/>
          <w:szCs w:val="18"/>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6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83"/>
        </w:trPr>
        <w:tc>
          <w:tcPr>
            <w:tcW w:w="9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Accrued Vacation</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100" w:type="dxa"/>
            <w:vAlign w:val="bottom"/>
          </w:tcPr>
          <w:p>
            <w:pPr>
              <w:spacing w:after="0"/>
              <w:rPr>
                <w:sz w:val="17"/>
                <w:szCs w:val="17"/>
                <w:color w:val="auto"/>
              </w:rPr>
            </w:pP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Accrued Bonus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7"/>
                <w:szCs w:val="17"/>
                <w:color w:val="auto"/>
              </w:rPr>
            </w:pP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Health Claims Reserve</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100" w:type="dxa"/>
            <w:vAlign w:val="bottom"/>
          </w:tcPr>
          <w:p>
            <w:pPr>
              <w:spacing w:after="0"/>
              <w:rPr>
                <w:sz w:val="17"/>
                <w:szCs w:val="17"/>
                <w:color w:val="auto"/>
              </w:rPr>
            </w:pP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Bad Debt Allowance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7"/>
                <w:szCs w:val="17"/>
                <w:color w:val="auto"/>
              </w:rPr>
            </w:pP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Depreciation</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1,060</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100" w:type="dxa"/>
            <w:vAlign w:val="bottom"/>
          </w:tcPr>
          <w:p>
            <w:pPr>
              <w:spacing w:after="0"/>
              <w:rPr>
                <w:sz w:val="17"/>
                <w:szCs w:val="17"/>
                <w:color w:val="auto"/>
              </w:rPr>
            </w:pP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Noncompete Agreement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7"/>
                <w:szCs w:val="17"/>
                <w:color w:val="auto"/>
              </w:rPr>
            </w:pP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Professional Liability Reserve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100" w:type="dxa"/>
            <w:vAlign w:val="bottom"/>
          </w:tcPr>
          <w:p>
            <w:pPr>
              <w:spacing w:after="0"/>
              <w:rPr>
                <w:sz w:val="17"/>
                <w:szCs w:val="17"/>
                <w:color w:val="auto"/>
              </w:rPr>
            </w:pP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Capital Lease Adjustment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Post Acq State NOLs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w:t>
            </w:r>
          </w:p>
        </w:tc>
      </w:tr>
      <w:tr>
        <w:trPr>
          <w:trHeight w:val="210"/>
        </w:trPr>
        <w:tc>
          <w:tcPr>
            <w:tcW w:w="966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3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Prepaid Expense</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(299)</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(292)</w:t>
            </w: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Goodwill</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(7,791)</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(6,269)</w:t>
            </w: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Purchase Accounting: Capital Lease</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(557)</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Acquired Intangibles</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(7,692)</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(7,485)</w:t>
            </w:r>
          </w:p>
        </w:tc>
      </w:tr>
      <w:tr>
        <w:trPr>
          <w:trHeight w:val="203"/>
        </w:trPr>
        <w:tc>
          <w:tcPr>
            <w:tcW w:w="9660" w:type="dxa"/>
            <w:vAlign w:val="bottom"/>
          </w:tcPr>
          <w:p>
            <w:pPr>
              <w:ind w:left="320"/>
              <w:spacing w:after="0" w:line="202" w:lineRule="exact"/>
              <w:rPr>
                <w:sz w:val="20"/>
                <w:szCs w:val="20"/>
                <w:color w:val="auto"/>
              </w:rPr>
            </w:pPr>
            <w:r>
              <w:rPr>
                <w:rFonts w:ascii="Arial" w:cs="Arial" w:eastAsia="Arial" w:hAnsi="Arial"/>
                <w:sz w:val="18"/>
                <w:szCs w:val="18"/>
                <w:color w:val="auto"/>
              </w:rPr>
              <w:t>Transaction Costs</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(516)</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r>
      <w:tr>
        <w:trPr>
          <w:trHeight w:val="20"/>
        </w:trPr>
        <w:tc>
          <w:tcPr>
            <w:tcW w:w="9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60" w:type="dxa"/>
            <w:vAlign w:val="bottom"/>
          </w:tcPr>
          <w:p>
            <w:pPr>
              <w:spacing w:after="0"/>
              <w:rPr>
                <w:sz w:val="20"/>
                <w:szCs w:val="20"/>
                <w:color w:val="auto"/>
              </w:rPr>
            </w:pPr>
            <w:r>
              <w:rPr>
                <w:rFonts w:ascii="Arial" w:cs="Arial" w:eastAsia="Arial" w:hAnsi="Arial"/>
                <w:sz w:val="18"/>
                <w:szCs w:val="18"/>
                <w:color w:val="auto"/>
              </w:rPr>
              <w:t>Total Gross Deferred Tax Liabilities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(16,875)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(14,392)</w:t>
            </w:r>
          </w:p>
        </w:tc>
      </w:tr>
      <w:tr>
        <w:trPr>
          <w:trHeight w:val="203"/>
        </w:trPr>
        <w:tc>
          <w:tcPr>
            <w:tcW w:w="9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Valuation Allowance</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(248)</w:t>
            </w:r>
          </w:p>
        </w:tc>
      </w:tr>
      <w:tr>
        <w:trPr>
          <w:trHeight w:val="20"/>
        </w:trPr>
        <w:tc>
          <w:tcPr>
            <w:tcW w:w="9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6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(13,432)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(10,762)</w:t>
            </w:r>
          </w:p>
        </w:tc>
      </w:tr>
      <w:tr>
        <w:trPr>
          <w:trHeight w:val="20"/>
        </w:trPr>
        <w:tc>
          <w:tcPr>
            <w:tcW w:w="9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A valuation allowance has been provided against the deferred tax assets due to uncertainties regarding the future realization of state net operating loss carryforwards.</w:t>
      </w:r>
    </w:p>
    <w:p>
      <w:pPr>
        <w:spacing w:after="0" w:line="114" w:lineRule="exact"/>
        <w:rPr>
          <w:sz w:val="20"/>
          <w:szCs w:val="20"/>
          <w:color w:val="auto"/>
        </w:rPr>
      </w:pPr>
    </w:p>
    <w:p>
      <w:pPr>
        <w:ind w:right="1080"/>
        <w:spacing w:after="0" w:line="239" w:lineRule="auto"/>
        <w:rPr>
          <w:sz w:val="20"/>
          <w:szCs w:val="20"/>
          <w:color w:val="auto"/>
        </w:rPr>
      </w:pPr>
      <w:r>
        <w:rPr>
          <w:rFonts w:ascii="Arial" w:cs="Arial" w:eastAsia="Arial" w:hAnsi="Arial"/>
          <w:sz w:val="18"/>
          <w:szCs w:val="18"/>
          <w:color w:val="auto"/>
        </w:rPr>
        <w:t>Approximately $46,000 of the valuation allowance relates to tax benefits for stock option deductions included in the net operating loss carryforwards. The valuation allowance increased by approximately $7,000 for the year ended December 31, 2010.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9" w:right="239" w:bottom="1440" w:gutter="0" w:footer="0" w:header="0"/>
        </w:sectPr>
      </w:pPr>
    </w:p>
    <w:bookmarkStart w:id="131" w:name="page132"/>
    <w:bookmarkEnd w:id="131"/>
    <w:p>
      <w:pPr>
        <w:jc w:val="both"/>
        <w:ind w:right="2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provision (benefit) for income taxes attributable to continuing operations differs from the expected tax expense (benefit) amount computed by applying the statutory federal income tax rate of 34% to income from continuing operations before income taxes in 2008, 2009 and 2010, primarily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r>
      <w:tr>
        <w:trPr>
          <w:trHeight w:val="196"/>
        </w:trPr>
        <w:tc>
          <w:tcPr>
            <w:tcW w:w="8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Federal statutory rate</w:t>
            </w:r>
          </w:p>
        </w:tc>
        <w:tc>
          <w:tcPr>
            <w:tcW w:w="6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34.0%</w:t>
            </w:r>
          </w:p>
        </w:tc>
        <w:tc>
          <w:tcPr>
            <w:tcW w:w="1240" w:type="dxa"/>
            <w:vAlign w:val="bottom"/>
            <w:gridSpan w:val="3"/>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34.0%</w:t>
            </w:r>
          </w:p>
        </w:tc>
        <w:tc>
          <w:tcPr>
            <w:tcW w:w="8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34.0%</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12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4.6</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(21.2)</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impairment</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(196.0)</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 permanent items</w:t>
            </w: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(0.10)</w:t>
            </w:r>
          </w:p>
        </w:tc>
        <w:tc>
          <w:tcPr>
            <w:tcW w:w="12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(0.7)</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w:t>
            </w:r>
          </w:p>
        </w:tc>
      </w:tr>
      <w:tr>
        <w:trPr>
          <w:trHeight w:val="27"/>
        </w:trPr>
        <w:tc>
          <w:tcPr>
            <w:tcW w:w="8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86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38.3%</w:t>
            </w:r>
          </w:p>
        </w:tc>
        <w:tc>
          <w:tcPr>
            <w:tcW w:w="12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37.9%</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(185.4)%</w:t>
            </w:r>
          </w:p>
        </w:tc>
      </w:tr>
      <w:tr>
        <w:trPr>
          <w:trHeight w:val="20"/>
        </w:trPr>
        <w:tc>
          <w:tcPr>
            <w:tcW w:w="8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7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Company adopted current guidance which prescribes the accounting for uncertainty in income taxes recognized in the Company’s financial statements and proposes a recognition threshold and measurement attribute for the financial statement recognition and measurement of a tax position taken or expected to be taken in a tax return. The guidance also provides direction on derecognizing and measurement of a tax position taken or expected to be taken in a tax return.</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and its subsidiaries file income tax returns in the United States federal and various state jurisdictions. The Company is subject to U.S. federal income tax examinations for the tax years 2007 and later by the Internal Revenue Service, and is subject to various state income tax examinations, with the exception of one state, for the tax years 2006 and later. The state income tax returns for the tax years 2007 and later remain subject to examination in the one state where audits have occurred.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unrecognized tax benefits as of December 31, 2010 and does not expect this to change over the next twelve</w:t>
      </w:r>
    </w:p>
    <w:p>
      <w:pPr>
        <w:ind w:right="40" w:firstLine="8"/>
        <w:spacing w:after="0" w:line="238" w:lineRule="auto"/>
        <w:tabs>
          <w:tab w:leader="none" w:pos="36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months. In connection with the adoption of the guidance the Company will recognize interest and penalties accrued on any unrecognized tax benefits as a component of income tax expense. As of December 31, 2010, the Company has not accrued interest or penalties related to uncertain tax positions.</w:t>
      </w:r>
    </w:p>
    <w:p>
      <w:pPr>
        <w:spacing w:after="0" w:line="132" w:lineRule="exact"/>
        <w:rPr>
          <w:sz w:val="20"/>
          <w:szCs w:val="20"/>
          <w:color w:val="auto"/>
        </w:rPr>
      </w:pPr>
    </w:p>
    <w:p>
      <w:pPr>
        <w:ind w:right="8880" w:firstLine="8"/>
        <w:spacing w:after="0" w:line="331" w:lineRule="auto"/>
        <w:tabs>
          <w:tab w:leader="none" w:pos="293"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b w:val="1"/>
          <w:bCs w:val="1"/>
          <w:i w:val="1"/>
          <w:iCs w:val="1"/>
          <w:color w:val="auto"/>
        </w:rPr>
        <w:t>Preferred and Common Stock:</w:t>
      </w:r>
    </w:p>
    <w:p>
      <w:pPr>
        <w:ind w:right="48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authorized capital stock of the Company consists of 375,000,000 shares of capital stock designated as follows: (i) 270,000,000 shares of preferred stock, par value $.0001, of which 90,000,000 shares have been designated as Series “A” Convertible Preferred Stock,</w:t>
      </w:r>
    </w:p>
    <w:p>
      <w:pPr>
        <w:ind w:right="20"/>
        <w:spacing w:after="0" w:line="239" w:lineRule="auto"/>
        <w:rPr>
          <w:rFonts w:ascii="Arial" w:cs="Arial" w:eastAsia="Arial" w:hAnsi="Arial"/>
          <w:sz w:val="16"/>
          <w:szCs w:val="16"/>
          <w:b w:val="1"/>
          <w:bCs w:val="1"/>
          <w:color w:val="auto"/>
        </w:rPr>
      </w:pPr>
      <w:r>
        <w:rPr>
          <w:rFonts w:ascii="Arial" w:cs="Arial" w:eastAsia="Arial" w:hAnsi="Arial"/>
          <w:sz w:val="18"/>
          <w:szCs w:val="18"/>
          <w:color w:val="auto"/>
        </w:rPr>
        <w:t>90,000,000 shares have been designated as Series “B” Convertible Preferred Stock and 90,000,000 shares have been designated as Redeemable Preferred Stock, and (ii) 105,000,000 shares of common stock, par value $.0001.</w:t>
      </w:r>
    </w:p>
    <w:p>
      <w:pPr>
        <w:spacing w:after="0" w:line="11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At December 31, 2008 81,801,853 shares of Series A Convertible Preferred Stock and 85,398 shares of Common Stock were issued and outstanding. 83,609,009 shares of Series “A” Convertible Preferred Stock and 85,398 shares of Common Stock were issued and outstanding for the years ended December 31, 2009 and 2010,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Series “A” Convertible Preferred Stock are entitled to receive cumulative dividends, compounded quarterly, at the rate of 2.5% of</w:t>
      </w:r>
    </w:p>
    <w:p>
      <w:pPr>
        <w:spacing w:after="0" w:line="234" w:lineRule="auto"/>
        <w:rPr>
          <w:sz w:val="20"/>
          <w:szCs w:val="20"/>
          <w:color w:val="auto"/>
        </w:rPr>
      </w:pPr>
      <w:r>
        <w:rPr>
          <w:rFonts w:ascii="Arial" w:cs="Arial" w:eastAsia="Arial" w:hAnsi="Arial"/>
          <w:sz w:val="18"/>
          <w:szCs w:val="18"/>
          <w:color w:val="auto"/>
        </w:rPr>
        <w:t>the original issue price of such stock. The Company recorded undeclared dividends, within equity, in the amount of approximately $2,264,000,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$2,315,000 and $2,447,000 for the years ended December 31, 2008, 2009 and 2010, respectively and at December 31, 2010, accrued undeclared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dividends amounted to approximately $14,699,000.</w:t>
      </w:r>
    </w:p>
    <w:p>
      <w:pPr>
        <w:spacing w:after="0" w:line="11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Upon the election of the holders of two-thirds of the Series “A” Convertible Preferred Stock, each share of Series “A” Convertible Preferred Stock is convertible into one (1) share of Series “B” Convertible Preferred Stock and one (1) share of Redeemable Preferred Stock. Such conversion amounts are adjustable upon certain dilutive issuances. In addition, upon the completion of a qualified public offering by the Company, each share of Series “A” Convertible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91" w:right="239" w:bottom="1440" w:gutter="0" w:footer="0" w:header="0"/>
        </w:sectPr>
      </w:pPr>
    </w:p>
    <w:bookmarkStart w:id="132" w:name="page133"/>
    <w:bookmarkEnd w:id="132"/>
    <w:p>
      <w:pPr>
        <w:jc w:val="both"/>
        <w:ind w:right="6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Preferred Stock is automatically converted as described above and all shares of outstanding Redeemable Preferred Stock are redeemed for cash. Upon any liquidation, dissolution or winding up of the Company, each holder of Series “A” Convertible Preferred Stock has a liquidation preference that is pari passu with the other preferred stock of the Company and senior to the Common Stock. Each holder of Series “A” Convertible Preferred Stock is entitled to a number of votes equal to the number of shares of Common Stock each holder would receive on an “as if converted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4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Subject to the payment in full of all preferential dividends to the holders of Series “A” Convertible Preferred Stock and Redeemable Preferred Stock, the holders of Series “B” Convertible Preferred Stock are entitled to receive (on an as-converted and equal basis with the holders of Series “A” Convertible Preferred Stock and Common Stock) dividends in such amounts and at such times as the Board of Directors of the Company may determine in its sole discretion. Such dividends are not cumulative. Upon the election of the holders of two-thirds of the Series “B” Convertible Preferred Stock, each share of Series “B” Convertible Preferred Stock is convertible into one (1) share of Common Stock of the Company. Such conversion amount is adjustable upon certain dilutive issuances.</w:t>
      </w:r>
    </w:p>
    <w:p>
      <w:pPr>
        <w:spacing w:after="0" w:line="1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Upon the completion of a qualified public offering by the Company, all shares of outstanding Redeemable Preferred Stock (including shares issued upon the automatic conversion of Series “A” Convertible Preferred Stock as described above) are redeemed for cash. Upon any liquidation, dissolution or winding up of the Company, each holder of Series “B” Convertible Preferred Stock has a liquidation preference that is pari passu with the other preferred stock of the Company and senior to the Common Stock. Each holder of Series “B” Convertible Preferred Stock is entitled to a number of votes equal to the number of shares of Common Stock each holder would receive on an “as if converted basis.”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Preferred Stock:</w:t>
      </w:r>
    </w:p>
    <w:p>
      <w:pPr>
        <w:spacing w:after="0" w:line="4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holders of Redeemable Preferred Stock are entitled to receive cumulative dividends, compounded quarterly, at the per share rate of 5% of the Redeemable Preferred Stock liquidation preference amount from the date of original issuance of such shares. The Redeemable Preferred Stock does not have a conversion feature. Upon the occurrence of certain change of control transactions (each, an “Extraordinary Transaction”), the holders of two-thirds of the Redeemable Preferred Stock may elect to have all of the shares of Redeemable Preferred Stock redeemed by the Company or to otherwise participate in such Extraordinary Transaction. Upon any liquidation, dissolution or winding up of the Company, each holder of Redeemable Preferred Stock has a liquidation preference that is pari passu with the other preferred stock of the Company and senior to the Common Stock. The holders of each outstanding share of Redeemable Preferred Stock, voting as a separate class, are entitled to vote and elect one Director and to remove such Director, with or without cause. The holders of Redeemable Preferred Stock are not entitled to vote on any other matters except as required by law.</w:t>
      </w:r>
    </w:p>
    <w:p>
      <w:pPr>
        <w:spacing w:after="0" w:line="121"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No dividends may be declared or paid, and no shares of preferred stock may be redeemed until the Senior Secured and Senior Unsecured obligations of the Company have been paid in full.</w:t>
      </w:r>
    </w:p>
    <w:p>
      <w:pPr>
        <w:spacing w:after="0" w:line="133" w:lineRule="exact"/>
        <w:rPr>
          <w:sz w:val="20"/>
          <w:szCs w:val="20"/>
          <w:color w:val="auto"/>
        </w:rPr>
      </w:pPr>
    </w:p>
    <w:p>
      <w:pPr>
        <w:ind w:right="8860" w:firstLine="8"/>
        <w:spacing w:after="0" w:line="331" w:lineRule="auto"/>
        <w:tabs>
          <w:tab w:leader="none" w:pos="293"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color w:val="auto"/>
        </w:rPr>
        <w:t>Material Definitive Agreement:</w:t>
      </w:r>
    </w:p>
    <w:p>
      <w:pPr>
        <w:ind w:right="200"/>
        <w:spacing w:after="0" w:line="238" w:lineRule="auto"/>
        <w:rPr>
          <w:rFonts w:ascii="Arial" w:cs="Arial" w:eastAsia="Arial" w:hAnsi="Arial"/>
          <w:sz w:val="16"/>
          <w:szCs w:val="16"/>
          <w:b w:val="1"/>
          <w:bCs w:val="1"/>
          <w:color w:val="auto"/>
        </w:rPr>
      </w:pPr>
      <w:r>
        <w:rPr>
          <w:rFonts w:ascii="Arial" w:cs="Arial" w:eastAsia="Arial" w:hAnsi="Arial"/>
          <w:sz w:val="18"/>
          <w:szCs w:val="18"/>
          <w:color w:val="auto"/>
        </w:rPr>
        <w:t>On February 17, 2011, Youth and Family Centered Services, Inc., entered into an Agreement and Plan of Merger (the “Merger Agreement”), with Acadia Healthcare Company, LLC, a Delaware corporation (the “Parent”), and Acadia—YFCS Acquisition Company, Inc., a Georgia corporation (the “Merger Co”).</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At the effective time of the Merger, each outstanding share of preferred and common stock outstanding shall be cancelled and converted to the right to receive certain consideration as set forth in the Merger Agreement. At the effective time, each option and/or warrant to purchase shares of common stock of the Company, whether vested or unvested, that is outstanding and unexercised as of immediately prior to the effective time, shall become fully vested and exercisable and shall be cancelled and converted into the right to receive certain merger consideration as set forth in the Merger Agreement.</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has made certain representations, warranties and covenants in the Merger agreement, which generally expire on June 1, 2012, with certain fundamental representations surviving until thirty (30) days after the expiration of the statute of limitations applicable to such representations.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91" w:right="259" w:bottom="1440" w:gutter="0" w:footer="0" w:header="0"/>
        </w:sectPr>
      </w:pPr>
    </w:p>
    <w:bookmarkStart w:id="133" w:name="page134"/>
    <w:bookmarkEnd w:id="133"/>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Parent and Merger Co have obtained equity and debt financing commitments for the transaction contemplated by the Merger Agreement, which proceeds will be sufficient to pay the aggregate merger consideration and all related fees and expenses. Additionally, upon consummation of the sale, approximately, $86.1 million of our Senior and Subordinated Debt is required to be paid off. Subsequent to year-end the Company made a principal payment of $1.8 million against its Term Loan. The receipt of financing on substantially the terms and subject to the conditions set forth in such commitments is a condition to the consummation of the Merger.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companies expect to close the transaction at the end of the first quarter or early in the second quarter of 2011.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4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2004, the Company entered into employments agreement with our Chief Executive Officer (the “CEO”) and Chief Financial Officer (the “CFO”). Such employment agreements have been amended in connection with the Merger (the “Amendments”), with the Amendments becoming effective upon the consummation thereof.</w:t>
      </w:r>
    </w:p>
    <w:p>
      <w:pPr>
        <w:spacing w:after="0" w:line="1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accordance with the appropriate guidance which establishes general standard of accounting for and disclosure of events that occur after the balance sheet date but before the financial statements are issued or available to be issued, the Company evaluated subsequent events through March 31, 2011, the date the financial statements were available to be issued. There were no other material subsequent events that required recognition or additional disclosure in these financial statements.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91" w:right="2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3"/>
        </w:trPr>
        <w:tc>
          <w:tcPr>
            <w:tcW w:w="8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Exhibit 99.6</w:t>
            </w:r>
          </w:p>
        </w:tc>
        <w:tc>
          <w:tcPr>
            <w:tcW w:w="0" w:type="dxa"/>
            <w:vAlign w:val="bottom"/>
          </w:tcPr>
          <w:p>
            <w:pPr>
              <w:spacing w:after="0"/>
              <w:rPr>
                <w:sz w:val="1"/>
                <w:szCs w:val="1"/>
                <w:color w:val="auto"/>
              </w:rPr>
            </w:pPr>
          </w:p>
        </w:tc>
      </w:tr>
      <w:tr>
        <w:trPr>
          <w:trHeight w:val="365"/>
        </w:trPr>
        <w:tc>
          <w:tcPr>
            <w:tcW w:w="8780" w:type="dxa"/>
            <w:vAlign w:val="bottom"/>
          </w:tcPr>
          <w:p>
            <w:pPr>
              <w:jc w:val="center"/>
              <w:ind w:left="2552"/>
              <w:spacing w:after="0"/>
              <w:rPr>
                <w:sz w:val="20"/>
                <w:szCs w:val="20"/>
                <w:color w:val="auto"/>
              </w:rPr>
            </w:pPr>
            <w:r>
              <w:rPr>
                <w:rFonts w:ascii="Arial" w:cs="Arial" w:eastAsia="Arial" w:hAnsi="Arial"/>
                <w:sz w:val="18"/>
                <w:szCs w:val="18"/>
                <w:b w:val="1"/>
                <w:bCs w:val="1"/>
                <w:color w:val="auto"/>
                <w:w w:val="97"/>
              </w:rPr>
              <w:t>PHC, INC. AND SUBSIDIARIES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780" w:type="dxa"/>
            <w:vAlign w:val="bottom"/>
          </w:tcPr>
          <w:p>
            <w:pPr>
              <w:jc w:val="center"/>
              <w:ind w:left="2552"/>
              <w:spacing w:after="0"/>
              <w:rPr>
                <w:sz w:val="20"/>
                <w:szCs w:val="20"/>
                <w:color w:val="auto"/>
              </w:rPr>
            </w:pPr>
            <w:r>
              <w:rPr>
                <w:rFonts w:ascii="Arial" w:cs="Arial" w:eastAsia="Arial" w:hAnsi="Arial"/>
                <w:sz w:val="18"/>
                <w:szCs w:val="18"/>
                <w:b w:val="1"/>
                <w:bCs w:val="1"/>
                <w:color w:val="auto"/>
                <w:w w:val="97"/>
              </w:rPr>
              <w:t>Condensed Consolidated Balance Sheets</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8780" w:type="dxa"/>
            <w:vAlign w:val="bottom"/>
          </w:tcPr>
          <w:p>
            <w:pPr>
              <w:jc w:val="center"/>
              <w:ind w:left="2552"/>
              <w:spacing w:after="0"/>
              <w:rPr>
                <w:sz w:val="20"/>
                <w:szCs w:val="20"/>
                <w:color w:val="auto"/>
              </w:rPr>
            </w:pPr>
            <w:r>
              <w:rPr>
                <w:rFonts w:ascii="Arial" w:cs="Arial" w:eastAsia="Arial" w:hAnsi="Arial"/>
                <w:sz w:val="18"/>
                <w:szCs w:val="18"/>
                <w:color w:val="auto"/>
                <w:w w:val="98"/>
              </w:rPr>
              <w:t>(unaudited)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7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87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8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780" w:type="dxa"/>
            <w:vAlign w:val="bottom"/>
            <w:shd w:val="clear" w:color="auto" w:fill="CCEEFF"/>
          </w:tcPr>
          <w:p>
            <w:pPr>
              <w:ind w:left="3880"/>
              <w:spacing w:after="0" w:line="18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3,260,766</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3,668,521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tcPr>
          <w:p>
            <w:pPr>
              <w:ind w:left="320"/>
              <w:spacing w:after="0" w:line="206" w:lineRule="exact"/>
              <w:rPr>
                <w:sz w:val="20"/>
                <w:szCs w:val="20"/>
                <w:color w:val="auto"/>
              </w:rPr>
            </w:pPr>
            <w:r>
              <w:rPr>
                <w:rFonts w:ascii="Arial" w:cs="Arial" w:eastAsia="Arial" w:hAnsi="Arial"/>
                <w:sz w:val="18"/>
                <w:szCs w:val="18"/>
                <w:color w:val="auto"/>
              </w:rPr>
              <w:t>Accounts receivable, net of allowance for doubtful accounts of $7,569,270 at September 30, 2011 and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80" w:type="dxa"/>
            <w:vAlign w:val="bottom"/>
          </w:tcPr>
          <w:p>
            <w:pPr>
              <w:ind w:left="640"/>
              <w:spacing w:after="0" w:line="200" w:lineRule="exact"/>
              <w:rPr>
                <w:sz w:val="20"/>
                <w:szCs w:val="20"/>
                <w:color w:val="auto"/>
              </w:rPr>
            </w:pPr>
            <w:r>
              <w:rPr>
                <w:rFonts w:ascii="Arial" w:cs="Arial" w:eastAsia="Arial" w:hAnsi="Arial"/>
                <w:sz w:val="18"/>
                <w:szCs w:val="18"/>
                <w:color w:val="auto"/>
              </w:rPr>
              <w:t>$5,049,892 at June 30, 2011</w:t>
            </w:r>
          </w:p>
        </w:tc>
        <w:tc>
          <w:tcPr>
            <w:tcW w:w="14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12,465,615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w w:val="97"/>
              </w:rPr>
              <w:t>11,078,840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1,077,138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561,044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827,297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receivables and advances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2,956,556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2,135,435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Deferred income tax asset – current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1,919,435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1,919,435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22,506,807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19,363,275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Accounts receivable, non-current</w:t>
            </w: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80,019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27,168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27,539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14,012,528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4,713,132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asset – non-current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647,743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647,743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tcPr>
          <w:p>
            <w:pPr>
              <w:spacing w:after="0" w:line="206" w:lineRule="exact"/>
              <w:rPr>
                <w:sz w:val="20"/>
                <w:szCs w:val="20"/>
                <w:color w:val="auto"/>
              </w:rPr>
            </w:pPr>
            <w:r>
              <w:rPr>
                <w:rFonts w:ascii="Arial" w:cs="Arial" w:eastAsia="Arial" w:hAnsi="Arial"/>
                <w:sz w:val="18"/>
                <w:szCs w:val="18"/>
                <w:color w:val="auto"/>
              </w:rPr>
              <w:t>Deferred financing costs, net of amortization of $163,133 and $729,502 at September 30, 2011 and June 30,</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80" w:type="dxa"/>
            <w:vAlign w:val="bottom"/>
          </w:tcPr>
          <w:p>
            <w:pPr>
              <w:ind w:left="320"/>
              <w:spacing w:after="0" w:line="200" w:lineRule="exact"/>
              <w:rPr>
                <w:sz w:val="20"/>
                <w:szCs w:val="20"/>
                <w:color w:val="auto"/>
              </w:rPr>
            </w:pPr>
            <w:r>
              <w:rPr>
                <w:rFonts w:ascii="Arial" w:cs="Arial" w:eastAsia="Arial" w:hAnsi="Arial"/>
                <w:sz w:val="18"/>
                <w:szCs w:val="18"/>
                <w:color w:val="auto"/>
              </w:rPr>
              <w:t>2011</w:t>
            </w:r>
          </w:p>
        </w:tc>
        <w:tc>
          <w:tcPr>
            <w:tcW w:w="14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1,324,329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549,760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10,446,569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969,098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2,779,593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1,968,662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51,825,127</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28,281,990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2,522,104</w:t>
            </w:r>
          </w:p>
        </w:tc>
        <w:tc>
          <w:tcPr>
            <w:tcW w:w="2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2,890,362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235,000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348,081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Revolving credit note, current</w:t>
            </w: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1,814,877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Current portion of obligations under capital leases</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47,549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Accrued payroll, payroll taxes and benefits</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2,571,634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2,026,911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1,665,285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2,237,982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7,041,572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9,466,931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tcPr>
          <w:p>
            <w:pPr>
              <w:ind w:left="320"/>
              <w:spacing w:after="0"/>
              <w:rPr>
                <w:sz w:val="20"/>
                <w:szCs w:val="20"/>
                <w:color w:val="auto"/>
              </w:rPr>
            </w:pPr>
            <w:r>
              <w:rPr>
                <w:rFonts w:ascii="Arial" w:cs="Arial" w:eastAsia="Arial" w:hAnsi="Arial"/>
                <w:sz w:val="18"/>
                <w:szCs w:val="18"/>
                <w:color w:val="auto"/>
              </w:rPr>
              <w:t>Long-term debt, net of current maturities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26,206,250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Obligations under capital leases, net of current portion</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46,267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Long-term accrued liabilities</w:t>
            </w:r>
          </w:p>
        </w:tc>
        <w:tc>
          <w:tcPr>
            <w:tcW w:w="140" w:type="dxa"/>
            <w:vAlign w:val="bottom"/>
          </w:tcPr>
          <w:p>
            <w:pPr>
              <w:spacing w:after="0"/>
              <w:rPr>
                <w:sz w:val="18"/>
                <w:szCs w:val="18"/>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853,545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843,296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34,147,634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10,366,929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Preferred Stock, 1,000,000 shares authorized, none issued or outstanding</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780" w:type="dxa"/>
            <w:vAlign w:val="bottom"/>
          </w:tcPr>
          <w:p>
            <w:pPr>
              <w:ind w:left="320"/>
              <w:spacing w:after="0" w:line="206" w:lineRule="exact"/>
              <w:rPr>
                <w:sz w:val="20"/>
                <w:szCs w:val="20"/>
                <w:color w:val="auto"/>
              </w:rPr>
            </w:pPr>
            <w:r>
              <w:rPr>
                <w:rFonts w:ascii="Arial" w:cs="Arial" w:eastAsia="Arial" w:hAnsi="Arial"/>
                <w:sz w:val="18"/>
                <w:szCs w:val="18"/>
                <w:color w:val="auto"/>
              </w:rPr>
              <w:t>Class A common stock, $.01 par value, 30,000,000 shares authorized, 19,985,772 and 19,978,211</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80" w:type="dxa"/>
            <w:vAlign w:val="bottom"/>
          </w:tcPr>
          <w:p>
            <w:pPr>
              <w:ind w:left="640"/>
              <w:spacing w:after="0" w:line="200" w:lineRule="exact"/>
              <w:rPr>
                <w:sz w:val="20"/>
                <w:szCs w:val="20"/>
                <w:color w:val="auto"/>
              </w:rPr>
            </w:pPr>
            <w:r>
              <w:rPr>
                <w:rFonts w:ascii="Arial" w:cs="Arial" w:eastAsia="Arial" w:hAnsi="Arial"/>
                <w:sz w:val="18"/>
                <w:szCs w:val="18"/>
                <w:color w:val="auto"/>
              </w:rPr>
              <w:t>shares issued at September 30, 2011 and June 30, 2011, respectively</w:t>
            </w: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199,858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199,782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Class B common stock, $.01 par value, 2,000,000 shares authorized, 773,717 issued and outstanding at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September 30, 2011 and June 30, 2011, each convertible into one share of Class A common stock</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7,737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7,737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28,266,988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28,220,835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Treasury stock, 1,214,093 shares of Class A common stock at September 30, 2011 and June 30, 2011,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respectively, at cost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(1,808,734)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(1,808,734)</w:t>
            </w:r>
          </w:p>
        </w:tc>
        <w:tc>
          <w:tcPr>
            <w:tcW w:w="0" w:type="dxa"/>
            <w:vAlign w:val="bottom"/>
          </w:tcPr>
          <w:p>
            <w:pPr>
              <w:spacing w:after="0"/>
              <w:rPr>
                <w:sz w:val="1"/>
                <w:szCs w:val="1"/>
                <w:color w:val="auto"/>
              </w:rPr>
            </w:pPr>
          </w:p>
        </w:tc>
      </w:tr>
      <w:tr>
        <w:trPr>
          <w:trHeight w:val="210"/>
        </w:trPr>
        <w:tc>
          <w:tcPr>
            <w:tcW w:w="8780" w:type="dxa"/>
            <w:vAlign w:val="bottom"/>
          </w:tcPr>
          <w:p>
            <w:pPr>
              <w:ind w:left="32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(8,988,356)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(8,704,559)</w:t>
            </w: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17,677,493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17,915,061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51,825,127</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28,281,990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35" w:name="page136"/>
    <w:bookmarkEnd w:id="135"/>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PHC, INC. AND SUBSIDIARIES</w:t>
      </w:r>
    </w:p>
    <w:p>
      <w:pPr>
        <w:spacing w:after="0" w:line="7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2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83"/>
        </w:trPr>
        <w:tc>
          <w:tcPr>
            <w:tcW w:w="6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580" w:type="dxa"/>
            <w:vAlign w:val="bottom"/>
          </w:tcPr>
          <w:p>
            <w:pPr>
              <w:ind w:left="320"/>
              <w:spacing w:after="0" w:line="202" w:lineRule="exact"/>
              <w:rPr>
                <w:sz w:val="20"/>
                <w:szCs w:val="20"/>
                <w:color w:val="auto"/>
              </w:rPr>
            </w:pPr>
            <w:r>
              <w:rPr>
                <w:rFonts w:ascii="Arial" w:cs="Arial" w:eastAsia="Arial" w:hAnsi="Arial"/>
                <w:sz w:val="18"/>
                <w:szCs w:val="18"/>
                <w:color w:val="auto"/>
              </w:rPr>
              <w:t>Patient care, net</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19,337,364</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14,233,822</w:t>
            </w:r>
          </w:p>
        </w:tc>
        <w:tc>
          <w:tcPr>
            <w:tcW w:w="120" w:type="dxa"/>
            <w:vAlign w:val="bottom"/>
          </w:tcPr>
          <w:p>
            <w:pPr>
              <w:spacing w:after="0"/>
              <w:rPr>
                <w:sz w:val="17"/>
                <w:szCs w:val="17"/>
                <w:color w:val="auto"/>
              </w:rPr>
            </w:pPr>
          </w:p>
        </w:tc>
      </w:tr>
      <w:tr>
        <w:trPr>
          <w:trHeight w:val="203"/>
        </w:trPr>
        <w:tc>
          <w:tcPr>
            <w:tcW w:w="6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Contract support services</w:t>
            </w:r>
          </w:p>
        </w:tc>
        <w:tc>
          <w:tcPr>
            <w:tcW w:w="2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1,346,937</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837,598</w:t>
            </w:r>
          </w:p>
        </w:tc>
        <w:tc>
          <w:tcPr>
            <w:tcW w:w="120" w:type="dxa"/>
            <w:vAlign w:val="bottom"/>
            <w:shd w:val="clear" w:color="auto" w:fill="CCEEFF"/>
          </w:tcPr>
          <w:p>
            <w:pPr>
              <w:spacing w:after="0"/>
              <w:rPr>
                <w:sz w:val="17"/>
                <w:szCs w:val="17"/>
                <w:color w:val="auto"/>
              </w:rPr>
            </w:pPr>
          </w:p>
        </w:tc>
      </w:tr>
      <w:tr>
        <w:trPr>
          <w:trHeight w:val="217"/>
        </w:trPr>
        <w:tc>
          <w:tcPr>
            <w:tcW w:w="6580" w:type="dxa"/>
            <w:vAlign w:val="bottom"/>
          </w:tcPr>
          <w:p>
            <w:pPr>
              <w:ind w:left="640"/>
              <w:spacing w:after="0"/>
              <w:rPr>
                <w:sz w:val="20"/>
                <w:szCs w:val="20"/>
                <w:color w:val="auto"/>
              </w:rPr>
            </w:pPr>
            <w:r>
              <w:rPr>
                <w:rFonts w:ascii="Arial" w:cs="Arial" w:eastAsia="Arial" w:hAnsi="Arial"/>
                <w:sz w:val="18"/>
                <w:szCs w:val="18"/>
                <w:color w:val="auto"/>
              </w:rPr>
              <w:t>Total revenues</w:t>
            </w:r>
          </w:p>
        </w:tc>
        <w:tc>
          <w:tcPr>
            <w:tcW w:w="2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20,684,301</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15,071,420</w:t>
            </w:r>
          </w:p>
        </w:tc>
        <w:tc>
          <w:tcPr>
            <w:tcW w:w="120" w:type="dxa"/>
            <w:vAlign w:val="bottom"/>
          </w:tcPr>
          <w:p>
            <w:pPr>
              <w:spacing w:after="0"/>
              <w:rPr>
                <w:sz w:val="18"/>
                <w:szCs w:val="18"/>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80" w:type="dxa"/>
            <w:vAlign w:val="bottom"/>
          </w:tcPr>
          <w:p>
            <w:pPr>
              <w:ind w:left="320"/>
              <w:spacing w:after="0" w:line="202" w:lineRule="exact"/>
              <w:rPr>
                <w:sz w:val="20"/>
                <w:szCs w:val="20"/>
                <w:color w:val="auto"/>
              </w:rPr>
            </w:pPr>
            <w:r>
              <w:rPr>
                <w:rFonts w:ascii="Arial" w:cs="Arial" w:eastAsia="Arial" w:hAnsi="Arial"/>
                <w:sz w:val="18"/>
                <w:szCs w:val="18"/>
                <w:color w:val="auto"/>
              </w:rPr>
              <w:t>Patient care expenses</w:t>
            </w: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10,466,148</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7,023,722</w:t>
            </w:r>
          </w:p>
        </w:tc>
        <w:tc>
          <w:tcPr>
            <w:tcW w:w="120" w:type="dxa"/>
            <w:vAlign w:val="bottom"/>
          </w:tcPr>
          <w:p>
            <w:pPr>
              <w:spacing w:after="0"/>
              <w:rPr>
                <w:sz w:val="17"/>
                <w:szCs w:val="17"/>
                <w:color w:val="auto"/>
              </w:rPr>
            </w:pPr>
          </w:p>
        </w:tc>
      </w:tr>
      <w:tr>
        <w:trPr>
          <w:trHeight w:val="203"/>
        </w:trPr>
        <w:tc>
          <w:tcPr>
            <w:tcW w:w="6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Cost of contract support services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1,069,527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707,775</w:t>
            </w:r>
          </w:p>
        </w:tc>
        <w:tc>
          <w:tcPr>
            <w:tcW w:w="120" w:type="dxa"/>
            <w:vAlign w:val="bottom"/>
            <w:shd w:val="clear" w:color="auto" w:fill="CCEEFF"/>
          </w:tcPr>
          <w:p>
            <w:pPr>
              <w:spacing w:after="0"/>
              <w:rPr>
                <w:sz w:val="17"/>
                <w:szCs w:val="17"/>
                <w:color w:val="auto"/>
              </w:rPr>
            </w:pPr>
          </w:p>
        </w:tc>
      </w:tr>
      <w:tr>
        <w:trPr>
          <w:trHeight w:val="203"/>
        </w:trPr>
        <w:tc>
          <w:tcPr>
            <w:tcW w:w="6580" w:type="dxa"/>
            <w:vAlign w:val="bottom"/>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1,263,017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1,003,462</w:t>
            </w:r>
          </w:p>
        </w:tc>
        <w:tc>
          <w:tcPr>
            <w:tcW w:w="120" w:type="dxa"/>
            <w:vAlign w:val="bottom"/>
          </w:tcPr>
          <w:p>
            <w:pPr>
              <w:spacing w:after="0"/>
              <w:rPr>
                <w:sz w:val="17"/>
                <w:szCs w:val="17"/>
                <w:color w:val="auto"/>
              </w:rPr>
            </w:pPr>
          </w:p>
        </w:tc>
      </w:tr>
      <w:tr>
        <w:trPr>
          <w:trHeight w:val="203"/>
        </w:trPr>
        <w:tc>
          <w:tcPr>
            <w:tcW w:w="6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Administrative expenses</w:t>
            </w:r>
          </w:p>
        </w:tc>
        <w:tc>
          <w:tcPr>
            <w:tcW w:w="2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7,360,632</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5,100,069</w:t>
            </w:r>
          </w:p>
        </w:tc>
        <w:tc>
          <w:tcPr>
            <w:tcW w:w="120" w:type="dxa"/>
            <w:vAlign w:val="bottom"/>
            <w:shd w:val="clear" w:color="auto" w:fill="CCEEFF"/>
          </w:tcPr>
          <w:p>
            <w:pPr>
              <w:spacing w:after="0"/>
              <w:rPr>
                <w:sz w:val="17"/>
                <w:szCs w:val="17"/>
                <w:color w:val="auto"/>
              </w:rPr>
            </w:pPr>
          </w:p>
        </w:tc>
      </w:tr>
      <w:tr>
        <w:trPr>
          <w:trHeight w:val="217"/>
        </w:trPr>
        <w:tc>
          <w:tcPr>
            <w:tcW w:w="658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20,159,324</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13,835,028</w:t>
            </w:r>
          </w:p>
        </w:tc>
        <w:tc>
          <w:tcPr>
            <w:tcW w:w="120" w:type="dxa"/>
            <w:vAlign w:val="bottom"/>
          </w:tcPr>
          <w:p>
            <w:pPr>
              <w:spacing w:after="0"/>
              <w:rPr>
                <w:sz w:val="18"/>
                <w:szCs w:val="18"/>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2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524,977</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1,236,392</w:t>
            </w:r>
          </w:p>
        </w:tc>
        <w:tc>
          <w:tcPr>
            <w:tcW w:w="120" w:type="dxa"/>
            <w:vAlign w:val="bottom"/>
            <w:shd w:val="clear" w:color="auto" w:fill="CCEEFF"/>
          </w:tcPr>
          <w:p>
            <w:pPr>
              <w:spacing w:after="0"/>
              <w:rPr>
                <w:sz w:val="17"/>
                <w:szCs w:val="17"/>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82,676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40,594</w:t>
            </w:r>
          </w:p>
        </w:tc>
        <w:tc>
          <w:tcPr>
            <w:tcW w:w="120" w:type="dxa"/>
            <w:vAlign w:val="bottom"/>
            <w:shd w:val="clear" w:color="auto" w:fill="CCEEFF"/>
          </w:tcPr>
          <w:p>
            <w:pPr>
              <w:spacing w:after="0"/>
              <w:rPr>
                <w:sz w:val="17"/>
                <w:szCs w:val="17"/>
                <w:color w:val="auto"/>
              </w:rPr>
            </w:pPr>
          </w:p>
        </w:tc>
      </w:tr>
      <w:tr>
        <w:trPr>
          <w:trHeight w:val="203"/>
        </w:trPr>
        <w:tc>
          <w:tcPr>
            <w:tcW w:w="6580" w:type="dxa"/>
            <w:vAlign w:val="bottom"/>
          </w:tcPr>
          <w:p>
            <w:pPr>
              <w:ind w:left="320"/>
              <w:spacing w:after="0" w:line="202" w:lineRule="exact"/>
              <w:rPr>
                <w:sz w:val="20"/>
                <w:szCs w:val="20"/>
                <w:color w:val="auto"/>
              </w:rPr>
            </w:pPr>
            <w:r>
              <w:rPr>
                <w:rFonts w:ascii="Arial" w:cs="Arial" w:eastAsia="Arial" w:hAnsi="Arial"/>
                <w:sz w:val="18"/>
                <w:szCs w:val="18"/>
                <w:color w:val="auto"/>
              </w:rPr>
              <w:t>Other income</w:t>
            </w: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33,822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38,988</w:t>
            </w:r>
          </w:p>
        </w:tc>
        <w:tc>
          <w:tcPr>
            <w:tcW w:w="120" w:type="dxa"/>
            <w:vAlign w:val="bottom"/>
          </w:tcPr>
          <w:p>
            <w:pPr>
              <w:spacing w:after="0"/>
              <w:rPr>
                <w:sz w:val="17"/>
                <w:szCs w:val="17"/>
                <w:color w:val="auto"/>
              </w:rPr>
            </w:pPr>
          </w:p>
        </w:tc>
      </w:tr>
      <w:tr>
        <w:trPr>
          <w:trHeight w:val="203"/>
        </w:trPr>
        <w:tc>
          <w:tcPr>
            <w:tcW w:w="6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(1,065,542)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(80,332)</w:t>
            </w:r>
          </w:p>
        </w:tc>
      </w:tr>
      <w:tr>
        <w:trPr>
          <w:trHeight w:val="20"/>
        </w:trPr>
        <w:tc>
          <w:tcPr>
            <w:tcW w:w="6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80" w:type="dxa"/>
            <w:vAlign w:val="bottom"/>
          </w:tcPr>
          <w:p>
            <w:pPr>
              <w:ind w:left="640"/>
              <w:spacing w:after="0"/>
              <w:rPr>
                <w:sz w:val="20"/>
                <w:szCs w:val="20"/>
                <w:color w:val="auto"/>
              </w:rPr>
            </w:pPr>
            <w:r>
              <w:rPr>
                <w:rFonts w:ascii="Arial" w:cs="Arial" w:eastAsia="Arial" w:hAnsi="Arial"/>
                <w:sz w:val="18"/>
                <w:szCs w:val="18"/>
                <w:color w:val="auto"/>
              </w:rPr>
              <w:t>Total other income (expense), net</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(949,044)</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r>
      <w:tr>
        <w:trPr>
          <w:trHeight w:val="27"/>
        </w:trPr>
        <w:tc>
          <w:tcPr>
            <w:tcW w:w="65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provision for income taxes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(424,067)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1,235,642</w:t>
            </w:r>
          </w:p>
        </w:tc>
        <w:tc>
          <w:tcPr>
            <w:tcW w:w="12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(140,270)</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557,027</w:t>
            </w:r>
          </w:p>
        </w:tc>
        <w:tc>
          <w:tcPr>
            <w:tcW w:w="120" w:type="dxa"/>
            <w:vAlign w:val="bottom"/>
          </w:tcPr>
          <w:p>
            <w:pPr>
              <w:spacing w:after="0"/>
              <w:rPr>
                <w:sz w:val="17"/>
                <w:szCs w:val="17"/>
                <w:color w:val="auto"/>
              </w:rPr>
            </w:pPr>
          </w:p>
        </w:tc>
      </w:tr>
      <w:tr>
        <w:trPr>
          <w:trHeight w:val="27"/>
        </w:trPr>
        <w:tc>
          <w:tcPr>
            <w:tcW w:w="65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(283,797)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678,615</w:t>
            </w:r>
          </w:p>
        </w:tc>
        <w:tc>
          <w:tcPr>
            <w:tcW w:w="120" w:type="dxa"/>
            <w:vAlign w:val="bottom"/>
            <w:shd w:val="clear" w:color="auto" w:fill="CCEEFF"/>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580" w:type="dxa"/>
            <w:vAlign w:val="bottom"/>
          </w:tcPr>
          <w:p>
            <w:pPr>
              <w:spacing w:after="0" w:line="196" w:lineRule="exact"/>
              <w:rPr>
                <w:sz w:val="20"/>
                <w:szCs w:val="20"/>
                <w:color w:val="auto"/>
              </w:rPr>
            </w:pPr>
            <w:r>
              <w:rPr>
                <w:rFonts w:ascii="Arial" w:cs="Arial" w:eastAsia="Arial" w:hAnsi="Arial"/>
                <w:sz w:val="18"/>
                <w:szCs w:val="18"/>
                <w:color w:val="auto"/>
              </w:rPr>
              <w:t>Basic net (loss) income per common share</w:t>
            </w:r>
          </w:p>
        </w:tc>
        <w:tc>
          <w:tcPr>
            <w:tcW w:w="2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(0.01)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2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19,540,218</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19,532,095</w:t>
            </w:r>
          </w:p>
        </w:tc>
        <w:tc>
          <w:tcPr>
            <w:tcW w:w="120" w:type="dxa"/>
            <w:vAlign w:val="bottom"/>
            <w:shd w:val="clear" w:color="auto" w:fill="CCEEFF"/>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580" w:type="dxa"/>
            <w:vAlign w:val="bottom"/>
          </w:tcPr>
          <w:p>
            <w:pPr>
              <w:spacing w:after="0" w:line="196" w:lineRule="exact"/>
              <w:rPr>
                <w:sz w:val="20"/>
                <w:szCs w:val="20"/>
                <w:color w:val="auto"/>
              </w:rPr>
            </w:pPr>
            <w:r>
              <w:rPr>
                <w:rFonts w:ascii="Arial" w:cs="Arial" w:eastAsia="Arial" w:hAnsi="Arial"/>
                <w:sz w:val="18"/>
                <w:szCs w:val="18"/>
                <w:color w:val="auto"/>
              </w:rPr>
              <w:t>Diluted net (loss) income per common share</w:t>
            </w:r>
          </w:p>
        </w:tc>
        <w:tc>
          <w:tcPr>
            <w:tcW w:w="2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(0.01)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2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19,540,218</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19,603,138</w:t>
            </w:r>
          </w:p>
        </w:tc>
        <w:tc>
          <w:tcPr>
            <w:tcW w:w="120" w:type="dxa"/>
            <w:vAlign w:val="bottom"/>
            <w:shd w:val="clear" w:color="auto" w:fill="CCEEFF"/>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136" w:name="page137"/>
    <w:bookmarkEnd w:id="136"/>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PHC, INC. AND SUBSIDIARIES</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FOR THE THREE MONTHS ENDED</w:t>
            </w:r>
          </w:p>
        </w:tc>
      </w:tr>
      <w:tr>
        <w:trPr>
          <w:trHeight w:val="165"/>
        </w:trPr>
        <w:tc>
          <w:tcPr>
            <w:tcW w:w="8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83"/>
        </w:trPr>
        <w:tc>
          <w:tcPr>
            <w:tcW w:w="8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(283,797)</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678,615</w:t>
            </w:r>
          </w:p>
        </w:tc>
        <w:tc>
          <w:tcPr>
            <w:tcW w:w="100" w:type="dxa"/>
            <w:vAlign w:val="bottom"/>
          </w:tcPr>
          <w:p>
            <w:pPr>
              <w:spacing w:after="0"/>
              <w:rPr>
                <w:sz w:val="17"/>
                <w:szCs w:val="17"/>
                <w:color w:val="auto"/>
              </w:rPr>
            </w:pP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358,816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268,397</w:t>
            </w:r>
          </w:p>
        </w:tc>
        <w:tc>
          <w:tcPr>
            <w:tcW w:w="100" w:type="dxa"/>
            <w:vAlign w:val="bottom"/>
          </w:tcPr>
          <w:p>
            <w:pPr>
              <w:spacing w:after="0"/>
              <w:rPr>
                <w:sz w:val="17"/>
                <w:szCs w:val="17"/>
                <w:color w:val="auto"/>
              </w:rPr>
            </w:pP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163,133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36,633</w:t>
            </w: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Earnings from investments in unconsolidated subsidiaries</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(13,411)</w:t>
            </w: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Non-cash stock based compensation</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30,149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49,023</w:t>
            </w: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1,263,017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1,003,462</w:t>
            </w:r>
          </w:p>
        </w:tc>
        <w:tc>
          <w:tcPr>
            <w:tcW w:w="100" w:type="dxa"/>
            <w:vAlign w:val="bottom"/>
          </w:tcPr>
          <w:p>
            <w:pPr>
              <w:spacing w:after="0"/>
              <w:rPr>
                <w:sz w:val="17"/>
                <w:szCs w:val="17"/>
                <w:color w:val="auto"/>
              </w:rPr>
            </w:pP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Changes in:</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ind w:left="640"/>
              <w:spacing w:after="0" w:line="202" w:lineRule="exact"/>
              <w:rPr>
                <w:sz w:val="20"/>
                <w:szCs w:val="20"/>
                <w:color w:val="auto"/>
              </w:rPr>
            </w:pPr>
            <w:r>
              <w:rPr>
                <w:rFonts w:ascii="Arial" w:cs="Arial" w:eastAsia="Arial" w:hAnsi="Arial"/>
                <w:sz w:val="18"/>
                <w:szCs w:val="18"/>
                <w:color w:val="auto"/>
              </w:rPr>
              <w:t>Accounts receivable and other receivable</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(1,801,382)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(2,104,446)</w:t>
            </w:r>
          </w:p>
        </w:tc>
      </w:tr>
      <w:tr>
        <w:trPr>
          <w:trHeight w:val="203"/>
        </w:trPr>
        <w:tc>
          <w:tcPr>
            <w:tcW w:w="87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Prepaid expenses, prepaid income taxes and other current assets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(1,246,257)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(194,982)</w:t>
            </w:r>
          </w:p>
        </w:tc>
      </w:tr>
      <w:tr>
        <w:trPr>
          <w:trHeight w:val="203"/>
        </w:trPr>
        <w:tc>
          <w:tcPr>
            <w:tcW w:w="8740" w:type="dxa"/>
            <w:vAlign w:val="bottom"/>
          </w:tcPr>
          <w:p>
            <w:pPr>
              <w:ind w:left="64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70,015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8,735</w:t>
            </w:r>
          </w:p>
        </w:tc>
        <w:tc>
          <w:tcPr>
            <w:tcW w:w="100" w:type="dxa"/>
            <w:vAlign w:val="bottom"/>
          </w:tcPr>
          <w:p>
            <w:pPr>
              <w:spacing w:after="0"/>
              <w:rPr>
                <w:sz w:val="17"/>
                <w:szCs w:val="17"/>
                <w:color w:val="auto"/>
              </w:rPr>
            </w:pPr>
          </w:p>
        </w:tc>
      </w:tr>
      <w:tr>
        <w:trPr>
          <w:trHeight w:val="203"/>
        </w:trPr>
        <w:tc>
          <w:tcPr>
            <w:tcW w:w="87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(525,742)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(54,070)</w:t>
            </w:r>
          </w:p>
        </w:tc>
      </w:tr>
      <w:tr>
        <w:trPr>
          <w:trHeight w:val="203"/>
        </w:trPr>
        <w:tc>
          <w:tcPr>
            <w:tcW w:w="8740" w:type="dxa"/>
            <w:vAlign w:val="bottom"/>
          </w:tcPr>
          <w:p>
            <w:pPr>
              <w:ind w:left="640"/>
              <w:spacing w:after="0" w:line="202" w:lineRule="exact"/>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(298,425)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(459,305)</w:t>
            </w:r>
          </w:p>
        </w:tc>
      </w:tr>
      <w:tr>
        <w:trPr>
          <w:trHeight w:val="27"/>
        </w:trPr>
        <w:tc>
          <w:tcPr>
            <w:tcW w:w="8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(2,277,103)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(781,349)</w:t>
            </w:r>
          </w:p>
        </w:tc>
      </w:tr>
      <w:tr>
        <w:trPr>
          <w:trHeight w:val="210"/>
        </w:trPr>
        <w:tc>
          <w:tcPr>
            <w:tcW w:w="8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(109,607)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(361,002)</w:t>
            </w: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Purchase of licenses</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(10,400)</w:t>
            </w: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investment in unconsolidated subsidiaries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15,240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Principal receipts on note receivable</w:t>
            </w:r>
          </w:p>
        </w:tc>
        <w:tc>
          <w:tcPr>
            <w:tcW w:w="12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90,012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Cash used in Meadowwood acquisition</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5"/>
              </w:rPr>
              <w:t>(21,500,000)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8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(21,504,877)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(371,402)</w:t>
            </w: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Revolving debt proceeds</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3,000,000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Payments on revolving term debt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(1,814,877)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(103,084)</w:t>
            </w: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Proceeds from borrowing on long-term debt</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23,500,000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Principal payments on long-term debt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(389,275)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(113,764)</w:t>
            </w: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Deferred financing cost</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(937,702)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Proceeds from issuance of common stock, net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16,079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8,754</w:t>
            </w: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ind w:left="320"/>
              <w:spacing w:after="0" w:line="202" w:lineRule="exact"/>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(112,997)</w:t>
            </w:r>
          </w:p>
        </w:tc>
      </w:tr>
      <w:tr>
        <w:trPr>
          <w:trHeight w:val="27"/>
        </w:trPr>
        <w:tc>
          <w:tcPr>
            <w:tcW w:w="8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23,374,225</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(321,091)</w:t>
            </w:r>
          </w:p>
        </w:tc>
      </w:tr>
      <w:tr>
        <w:trPr>
          <w:trHeight w:val="20"/>
        </w:trPr>
        <w:tc>
          <w:tcPr>
            <w:tcW w:w="8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(407,755)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(1,473,842)</w:t>
            </w: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cash and cash equivalents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3,668,521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4,540,278</w:t>
            </w:r>
          </w:p>
        </w:tc>
        <w:tc>
          <w:tcPr>
            <w:tcW w:w="100" w:type="dxa"/>
            <w:vAlign w:val="bottom"/>
            <w:shd w:val="clear" w:color="auto" w:fill="CCEEFF"/>
          </w:tcPr>
          <w:p>
            <w:pPr>
              <w:spacing w:after="0"/>
              <w:rPr>
                <w:sz w:val="17"/>
                <w:szCs w:val="17"/>
                <w:color w:val="auto"/>
              </w:rPr>
            </w:pPr>
          </w:p>
        </w:tc>
      </w:tr>
      <w:tr>
        <w:trPr>
          <w:trHeight w:val="210"/>
        </w:trPr>
        <w:tc>
          <w:tcPr>
            <w:tcW w:w="874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3,260,766</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3,066,436</w:t>
            </w:r>
          </w:p>
        </w:tc>
        <w:tc>
          <w:tcPr>
            <w:tcW w:w="100" w:type="dxa"/>
            <w:vAlign w:val="bottom"/>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7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880,257</w:t>
            </w: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43,699</w:t>
            </w:r>
          </w:p>
        </w:tc>
      </w:tr>
      <w:tr>
        <w:trPr>
          <w:trHeight w:val="20"/>
        </w:trPr>
        <w:tc>
          <w:tcPr>
            <w:tcW w:w="8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740" w:type="dxa"/>
            <w:vAlign w:val="bottom"/>
          </w:tcPr>
          <w:p>
            <w:pPr>
              <w:ind w:left="320"/>
              <w:spacing w:after="0" w:line="196" w:lineRule="exact"/>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797,100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676,825</w:t>
            </w:r>
          </w:p>
        </w:tc>
        <w:tc>
          <w:tcPr>
            <w:tcW w:w="100" w:type="dxa"/>
            <w:vAlign w:val="bottom"/>
          </w:tcPr>
          <w:p>
            <w:pPr>
              <w:spacing w:after="0"/>
              <w:rPr>
                <w:sz w:val="17"/>
                <w:szCs w:val="17"/>
                <w:color w:val="auto"/>
              </w:rPr>
            </w:pPr>
          </w:p>
        </w:tc>
      </w:tr>
      <w:tr>
        <w:trPr>
          <w:trHeight w:val="20"/>
        </w:trPr>
        <w:tc>
          <w:tcPr>
            <w:tcW w:w="8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137" w:name="page138"/>
    <w:bookmarkEnd w:id="137"/>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PHC, INC. AND SUBSIDIARIES</w:t>
      </w:r>
    </w:p>
    <w:p>
      <w:pPr>
        <w:spacing w:after="0" w:line="7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2011</w:t>
      </w: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A—The Company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PHC, Inc. (the “Company”) is incorporated in the Commonwealth of Massachusetts. The Company is a national health care company, which operates subsidiaries specializing in behavioral health services including the treatment of substance abuse, which includes alcohol and drug dependency and related disorders and the provision of psychiatric services. The Company also operates help lines for employee assistance programs, call centers for state and local programs and provides management, administrative and online behavioral health services. The Company primarily operates under three business segments:</w:t>
      </w:r>
    </w:p>
    <w:p>
      <w:pPr>
        <w:spacing w:after="0" w:line="117" w:lineRule="exact"/>
        <w:rPr>
          <w:sz w:val="20"/>
          <w:szCs w:val="20"/>
          <w:color w:val="auto"/>
        </w:rPr>
      </w:pPr>
    </w:p>
    <w:p>
      <w:pPr>
        <w:ind w:left="360" w:right="40"/>
        <w:spacing w:after="0" w:line="236" w:lineRule="auto"/>
        <w:rPr>
          <w:sz w:val="20"/>
          <w:szCs w:val="20"/>
          <w:color w:val="auto"/>
        </w:rPr>
      </w:pPr>
      <w:r>
        <w:rPr>
          <w:rFonts w:ascii="Arial" w:cs="Arial" w:eastAsia="Arial" w:hAnsi="Arial"/>
          <w:sz w:val="18"/>
          <w:szCs w:val="18"/>
          <w:u w:val="single" w:color="auto"/>
          <w:color w:val="auto"/>
        </w:rPr>
        <w:t>Behavioral health treatment services,</w:t>
      </w:r>
      <w:r>
        <w:rPr>
          <w:rFonts w:ascii="Arial" w:cs="Arial" w:eastAsia="Arial" w:hAnsi="Arial"/>
          <w:sz w:val="18"/>
          <w:szCs w:val="18"/>
          <w:color w:val="auto"/>
        </w:rPr>
        <w:t xml:space="preserve"> including two substance abuse treatment facilities: Highland Ridge Hospital, located in Salt Lake City, Utah, which also treats psychiatric patients, and Mount Regis Center, located in Salem, Virginia, and twelve psychiatric treatment locations which include Harbor Oaks Hospital, a 71-bed psychiatric hospital located in New Baltimore, Michigan, Detroit Behavioral Institute, a 66-bed residential facility located in Detroit, Michigan, Seven Hills Hospital, a 55-bed psychiatric hospital in Las Vegas, Nevada, MeadowWood Behavioral Health, a 58-bed psychiatric hospital in New Castle, Delaware and eight outpatient behavioral health locations (one in New Baltimore, Michigan operating in conjunction with Harbor Oaks Hospital, one in Monroeville, Pennsylvania operating as Wellplace, three in Las Vegas, Nevada operating as Harmony Healthcare and three locations operating as Pioneer Counseling Center in the Detroit, Michigan metropolitan area);</w:t>
      </w:r>
    </w:p>
    <w:p>
      <w:pPr>
        <w:spacing w:after="0" w:line="114" w:lineRule="exact"/>
        <w:rPr>
          <w:sz w:val="20"/>
          <w:szCs w:val="20"/>
          <w:color w:val="auto"/>
        </w:rPr>
      </w:pPr>
    </w:p>
    <w:p>
      <w:pPr>
        <w:ind w:left="360" w:right="100"/>
        <w:spacing w:after="0" w:line="238" w:lineRule="auto"/>
        <w:rPr>
          <w:sz w:val="20"/>
          <w:szCs w:val="20"/>
          <w:color w:val="auto"/>
        </w:rPr>
      </w:pPr>
      <w:r>
        <w:rPr>
          <w:rFonts w:ascii="Arial" w:cs="Arial" w:eastAsia="Arial" w:hAnsi="Arial"/>
          <w:sz w:val="18"/>
          <w:szCs w:val="18"/>
          <w:u w:val="single" w:color="auto"/>
          <w:color w:val="auto"/>
        </w:rPr>
        <w:t>Call center and help line services (contract services)</w:t>
      </w:r>
      <w:r>
        <w:rPr>
          <w:rFonts w:ascii="Arial" w:cs="Arial" w:eastAsia="Arial" w:hAnsi="Arial"/>
          <w:sz w:val="18"/>
          <w:szCs w:val="18"/>
          <w:color w:val="auto"/>
        </w:rPr>
        <w:t>, including two call centers: one operating in Midvale, Utah and one in Detroit, Michigan. The Company provides help line services through contracts with major railroads and a call center contract with the State of Michigan. The call centers both operate under the brand name, Wellplace; and</w:t>
      </w:r>
    </w:p>
    <w:p>
      <w:pPr>
        <w:spacing w:after="0" w:line="114" w:lineRule="exact"/>
        <w:rPr>
          <w:sz w:val="20"/>
          <w:szCs w:val="20"/>
          <w:color w:val="auto"/>
        </w:rPr>
      </w:pPr>
    </w:p>
    <w:p>
      <w:pPr>
        <w:ind w:left="360" w:right="120"/>
        <w:spacing w:after="0" w:line="238" w:lineRule="auto"/>
        <w:rPr>
          <w:sz w:val="20"/>
          <w:szCs w:val="20"/>
          <w:color w:val="auto"/>
        </w:rPr>
      </w:pPr>
      <w:r>
        <w:rPr>
          <w:rFonts w:ascii="Arial" w:cs="Arial" w:eastAsia="Arial" w:hAnsi="Arial"/>
          <w:sz w:val="18"/>
          <w:szCs w:val="18"/>
          <w:u w:val="single" w:color="auto"/>
          <w:color w:val="auto"/>
        </w:rPr>
        <w:t>Behavioral health administrative services</w:t>
      </w:r>
      <w:r>
        <w:rPr>
          <w:rFonts w:ascii="Arial" w:cs="Arial" w:eastAsia="Arial" w:hAnsi="Arial"/>
          <w:sz w:val="18"/>
          <w:szCs w:val="18"/>
          <w:color w:val="auto"/>
        </w:rPr>
        <w:t>, including delivery of management and administrative and online services. The parent company provides management and administrative services for all of its subsidiaries and online services for its behavioral health treatment subsidiaries and its call center subsidiaries. It also provides behavioral health information through its website Wellplace.com.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B—Basis of Presentation</w:t>
      </w:r>
    </w:p>
    <w:p>
      <w:pPr>
        <w:spacing w:after="0" w:line="7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(“USGAAP”) for interim financial information and in accordance with Regulation S-X. Accordingly, they do not include all of the information and notes required by USGAAP for complete financial statements. The balance sheet at June 30, 2011 has been derived from the audited consolidated balance sheet at that date. In the opinion of management, all adjustments (consisting only of normal recurring adjustments) considered necessary for a fair presentation have been included. Operating results for the three months ended September 30, 2011 are not necessarily indicative of the results that may be expected for the year ending June 30, 2012. The accompanying financial statements should be read in conjunction with the June 30, 2011 consolidated financial statements and notes thereto included in this Registration Statement.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 of assets and liabilities and disclosure of contingent assets and liabilities at the date of the financial statements and the reported amounts of revenue and expenses during the reporting period. Actual results could differ from those estimates. Such estimates include patient care billing rates, realizability of receivables from third-party payors, rates for Medicare and Medicaid and the realization of deferred tax benefits and the valuation of goodwill, which represents a significant portion of the estimates made by management.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 Recognition</w:t>
      </w:r>
    </w:p>
    <w:p>
      <w:pPr>
        <w:spacing w:after="0" w:line="4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bills for its inpatient behavioral healthcare services upon discharge and for its outpatient facilities daily. In all cases, the charges are contractually adjusted at the time of billing using adjustment factors based on agreements or contracts with the insurance carriers and the specific plans held by the individuals. This method may still require additional adjustment based on ancillary services provided and deductibles and copays due from the individuals which are estimated at the time of admission based on information received from the individual. Adjustments to these estimates are recognized as adjustments to revenue during the period identified, usually when payment is received.</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Company’s policy is to collect estimated co-payments and deductibles at the time of admission. Payments are made by way of cash, check or credit card. If the patient does not have sufficient resources to pay the estimated co-payment in advance, the Company’s policy is to allow payment to be made in three installments—one third due upon admission, one third due upon discharge and the balance due 30 days after discharge. At times, the patient is not physically or mentally stable enough to comprehend or agree to any financial arrangement. In this case, the Company will make arrangements with the patient once his or her condition is stabilized. At times, this situation will require the Company to extend payment arrangements beyond the three payment method previously outlined. Whenever extended payment arrangements are made, the patient, or the individual who is financially responsible for the patient, is required to sign a promissory note to the Company, which includes interest on the balance due.</w:t>
      </w:r>
    </w:p>
    <w:p>
      <w:pPr>
        <w:spacing w:after="0" w:line="1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Contract support service revenue is a result of fixed fee contracts to provide telephone support. Revenue for these services is recognized ratably over the service period. All revenues and receivables from our contract services division are based on a prorated monthly allocation of the total contract amount and usually paid within 30 days of the end of the month.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C—Stock-Based Compensation</w:t>
      </w:r>
    </w:p>
    <w:p>
      <w:pPr>
        <w:spacing w:after="0" w:line="9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Company has three active stock plans: a stock option plan, an employee stock purchase plan and a non-employee directors’ stock option plan.</w:t>
      </w:r>
    </w:p>
    <w:p>
      <w:pPr>
        <w:spacing w:after="0" w:line="1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stock option plan provides for the issuance of a maximum of 1,900,000 shares of Class A common stock of the Company pursuant to the grant of incentive stock options to employees or nonqualified stock options to employees, directors, consultants and others whose efforts are important to the success of the Company. Subject to the provisions of this plan, the compensation committee of the Board of Directors (the “Board”) has the authority to select the optionees and determine the terms of the options including: (i) the number of shares, (ii) option exercise terms, (iii) the exercise or purchase price (which in the case of an incentive stock option will not be less than the market price of the Class A common stock as of the date of grant), (iv) type and duration of transfer or other restrictions and (v) the time and form of payment for restricted stock upon exercise of options.</w:t>
      </w:r>
    </w:p>
    <w:p>
      <w:pPr>
        <w:spacing w:after="0" w:line="11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employee stock purchase plan provides for the purchase of Class A common stock at 85 percent of the fair market value at specific dates, to encourage stock ownership by all eligible employees. A maximum of 500,000 shares may be issued under this plan.</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non-employee director’s stock option plan provides for the grant of non-statutory stock options automatically at the time of each annual meeting of the Board. Under the plan, a maximum of 350,000 shares may be issued. Each outside director is granted an option to purchase 20,000 shares of Class A common stock, annually, at fair market value on the date of grant, vesting 25% immediately and 25% on each of the first three anniversaries of the grant and expiring ten years from the grant date.</w:t>
      </w:r>
    </w:p>
    <w:p>
      <w:pPr>
        <w:spacing w:after="0" w:line="1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follows the provisions of Financial Accounting Standards Board (“FASB”) Auditing Standards Codification (“ASC”)—“Compensation —Stock Compensation” (“ASC 718”). Under the provisions of ASC 718, the Company recognizes the fair value of stock compensation as expense, over the requisite service period of the individual grantees, which generally equals the vesting period. All of the Company’s stock compensation is accounted for as equity instruments and there have been no liability awards granted. Any income tax benefit related to stock compensation will be shown under the financing section of the statement of cash flows. Based on the Company’s historical voluntary turnover rates for individuals in the positions who received options in the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1" w:right="239" w:bottom="1440" w:gutter="0" w:footer="0" w:header="0"/>
        </w:sectPr>
      </w:pPr>
    </w:p>
    <w:bookmarkStart w:id="139" w:name="page140"/>
    <w:bookmarkEnd w:id="139"/>
    <w:p>
      <w:pPr>
        <w:ind w:right="1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was no forfeiture rate assumed. It is assumed these options will remain outstanding for the full term of issue. Under the true-up provisions of ASC 718, a recovery of prior expense will be recorded if the actual forfeiture is higher than estimated.</w:t>
      </w:r>
    </w:p>
    <w:p>
      <w:pPr>
        <w:spacing w:after="0" w:line="11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Under the provisions of ASC 718, the Company recorded $30,149 and $37,397 of stock-based compensation on its consolidated condensed statement of operations for the three months ended September 30, 2011 and 2010.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activity in its stock option plans for the three months ended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INTRINSIC VALUE</w:t>
            </w:r>
          </w:p>
        </w:tc>
      </w:tr>
      <w:tr>
        <w:trPr>
          <w:trHeight w:val="149"/>
        </w:trPr>
        <w:tc>
          <w:tcPr>
            <w:tcW w:w="6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WEIGHTED-AVERAGE</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AT</w:t>
            </w:r>
          </w:p>
        </w:tc>
      </w:tr>
      <w:tr>
        <w:trPr>
          <w:trHeight w:val="149"/>
        </w:trPr>
        <w:tc>
          <w:tcPr>
            <w:tcW w:w="618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96"/>
              </w:rPr>
              <w:t>EXERCISE PRICE</w:t>
            </w:r>
          </w:p>
        </w:tc>
        <w:tc>
          <w:tcPr>
            <w:tcW w:w="8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SEPTEMBER 30,</w:t>
            </w:r>
          </w:p>
        </w:tc>
      </w:tr>
      <w:tr>
        <w:trPr>
          <w:trHeight w:val="165"/>
        </w:trPr>
        <w:tc>
          <w:tcPr>
            <w:tcW w:w="6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 SHARE</w:t>
            </w:r>
          </w:p>
        </w:tc>
        <w:tc>
          <w:tcPr>
            <w:tcW w:w="8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Balance—June 30, 2011</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1,287,250</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6180" w:type="dxa"/>
            <w:vAlign w:val="bottom"/>
          </w:tcPr>
          <w:p>
            <w:pPr>
              <w:spacing w:after="0" w:line="202" w:lineRule="exact"/>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31,250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Balance—September 30, 2011</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1,256,000</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861,788</w:t>
            </w:r>
          </w:p>
        </w:tc>
        <w:tc>
          <w:tcPr>
            <w:tcW w:w="100" w:type="dxa"/>
            <w:vAlign w:val="bottom"/>
            <w:shd w:val="clear" w:color="auto" w:fill="CCEEFF"/>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8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1,021,686</w:t>
            </w:r>
          </w:p>
        </w:tc>
        <w:tc>
          <w:tcPr>
            <w:tcW w:w="420" w:type="dxa"/>
            <w:vAlign w:val="bottom"/>
          </w:tcPr>
          <w:p>
            <w:pPr>
              <w:spacing w:after="0"/>
              <w:rPr>
                <w:sz w:val="17"/>
                <w:szCs w:val="17"/>
                <w:color w:val="auto"/>
              </w:rPr>
            </w:pPr>
          </w:p>
        </w:tc>
        <w:tc>
          <w:tcPr>
            <w:tcW w:w="560" w:type="dxa"/>
            <w:vAlign w:val="bottom"/>
            <w:gridSpan w:val="2"/>
          </w:tcPr>
          <w:p>
            <w:pPr>
              <w:ind w:left="42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c>
          <w:tcPr>
            <w:tcW w:w="1120" w:type="dxa"/>
            <w:vAlign w:val="bottom"/>
            <w:gridSpan w:val="2"/>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620,483</w:t>
            </w:r>
          </w:p>
        </w:tc>
        <w:tc>
          <w:tcPr>
            <w:tcW w:w="10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exercised during the three months ended September 30,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of the Company’s stock options that have not vested for the three months ended 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r>
      <w:tr>
        <w:trPr>
          <w:trHeight w:val="165"/>
        </w:trPr>
        <w:tc>
          <w:tcPr>
            <w:tcW w:w="79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SHARES</w:t>
            </w:r>
          </w:p>
        </w:tc>
        <w:tc>
          <w:tcPr>
            <w:tcW w:w="10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4"/>
                <w:szCs w:val="14"/>
                <w:color w:val="auto"/>
              </w:rPr>
            </w:pPr>
          </w:p>
        </w:tc>
      </w:tr>
      <w:tr>
        <w:trPr>
          <w:trHeight w:val="196"/>
        </w:trPr>
        <w:tc>
          <w:tcPr>
            <w:tcW w:w="7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Non-vested at July 1, 2011</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253,064</w:t>
            </w:r>
          </w:p>
        </w:tc>
        <w:tc>
          <w:tcPr>
            <w:tcW w:w="1300" w:type="dxa"/>
            <w:vAlign w:val="bottom"/>
            <w:gridSpan w:val="2"/>
            <w:shd w:val="clear" w:color="auto" w:fill="CCEEFF"/>
          </w:tcPr>
          <w:p>
            <w:pPr>
              <w:ind w:left="108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.83</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18,750</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w:t>
            </w:r>
          </w:p>
        </w:tc>
      </w:tr>
      <w:tr>
        <w:trPr>
          <w:trHeight w:val="210"/>
        </w:trPr>
        <w:tc>
          <w:tcPr>
            <w:tcW w:w="794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September 30, 2011</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234,314</w:t>
            </w:r>
          </w:p>
        </w:tc>
        <w:tc>
          <w:tcPr>
            <w:tcW w:w="1300" w:type="dxa"/>
            <w:vAlign w:val="bottom"/>
            <w:gridSpan w:val="2"/>
            <w:shd w:val="clear" w:color="auto" w:fill="CCEEFF"/>
          </w:tcPr>
          <w:p>
            <w:pPr>
              <w:ind w:left="10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w:t>
            </w:r>
          </w:p>
        </w:tc>
      </w:tr>
      <w:tr>
        <w:trPr>
          <w:trHeight w:val="20"/>
        </w:trPr>
        <w:tc>
          <w:tcPr>
            <w:tcW w:w="7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9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compensation cost related to the fair value of the options outstanding at September 30, 2011 of approximately $138,977 will be recognized as these options vest over the next three years.</w:t>
      </w:r>
    </w:p>
    <w:p>
      <w:pPr>
        <w:spacing w:after="0" w:line="11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utilizes the Black-Scholes valuation model for estimating the fair value of the stock compensation granted. There were no options granted under the stock option plans for the three months ended September 30, 2011 or September 30, 2010.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D—Fair Value Measurements: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ASC 820-10-65, “Fair Value Measurements and Disclosures”, defines fair value, provides guidance for measuring fair value and requires certain disclosures. This statement applies under other accounting pronouncements that require or permit fair value measurements. The statement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 ASC 820-10-65 defines fair value based upon an exit price model. ASC 820-10-65 discusses valuation techniques, such as the market approach (comparable market prices), the income approach (present value of future income or cash flow), and the cost approach (cost to replace the service capacity of an asset or replacement cost).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9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statement utilizes a fair value hierarchy that prioritizes the inputs to valuation techniques used to measure fair value into three broad levels.</w:t>
      </w:r>
    </w:p>
    <w:p>
      <w:pPr>
        <w:spacing w:after="0"/>
        <w:rPr>
          <w:sz w:val="20"/>
          <w:szCs w:val="20"/>
          <w:color w:val="auto"/>
        </w:rPr>
      </w:pPr>
      <w:r>
        <w:rPr>
          <w:rFonts w:ascii="Arial" w:cs="Arial" w:eastAsia="Arial" w:hAnsi="Arial"/>
          <w:sz w:val="18"/>
          <w:szCs w:val="18"/>
          <w:color w:val="auto"/>
        </w:rPr>
        <w:t>The following is a brief description of those three levels:</w:t>
      </w:r>
    </w:p>
    <w:p>
      <w:pPr>
        <w:spacing w:after="0" w:line="31" w:lineRule="exact"/>
        <w:rPr>
          <w:sz w:val="20"/>
          <w:szCs w:val="20"/>
          <w:color w:val="auto"/>
        </w:rPr>
      </w:pPr>
    </w:p>
    <w:p>
      <w:pPr>
        <w:ind w:left="800" w:hanging="454"/>
        <w:spacing w:after="0"/>
        <w:tabs>
          <w:tab w:leader="none" w:pos="800" w:val="left"/>
        </w:tabs>
        <w:numPr>
          <w:ilvl w:val="0"/>
          <w:numId w:val="142"/>
        </w:numPr>
        <w:rPr>
          <w:rFonts w:ascii="Arial" w:cs="Arial" w:eastAsia="Arial" w:hAnsi="Arial"/>
          <w:sz w:val="27"/>
          <w:szCs w:val="27"/>
          <w:color w:val="auto"/>
          <w:vertAlign w:val="superscript"/>
        </w:rPr>
      </w:pPr>
      <w:r>
        <w:rPr>
          <w:rFonts w:ascii="Arial" w:cs="Arial" w:eastAsia="Arial" w:hAnsi="Arial"/>
          <w:sz w:val="18"/>
          <w:szCs w:val="18"/>
          <w:color w:val="auto"/>
        </w:rPr>
        <w:t>Level 1: Observable inputs such as quoted prices (unadjusted) in active markets for identical assets or liabilities.</w:t>
      </w:r>
    </w:p>
    <w:p>
      <w:pPr>
        <w:spacing w:after="0" w:line="18" w:lineRule="exact"/>
        <w:rPr>
          <w:rFonts w:ascii="Arial" w:cs="Arial" w:eastAsia="Arial" w:hAnsi="Arial"/>
          <w:sz w:val="27"/>
          <w:szCs w:val="27"/>
          <w:color w:val="auto"/>
          <w:vertAlign w:val="superscript"/>
        </w:rPr>
      </w:pPr>
    </w:p>
    <w:p>
      <w:pPr>
        <w:ind w:left="800" w:right="100" w:hanging="454"/>
        <w:spacing w:after="0" w:line="204" w:lineRule="auto"/>
        <w:tabs>
          <w:tab w:leader="none" w:pos="800" w:val="left"/>
        </w:tabs>
        <w:numPr>
          <w:ilvl w:val="0"/>
          <w:numId w:val="142"/>
        </w:numPr>
        <w:rPr>
          <w:rFonts w:ascii="Arial" w:cs="Arial" w:eastAsia="Arial" w:hAnsi="Arial"/>
          <w:sz w:val="27"/>
          <w:szCs w:val="27"/>
          <w:color w:val="auto"/>
          <w:vertAlign w:val="superscript"/>
        </w:rPr>
      </w:pPr>
      <w:r>
        <w:rPr>
          <w:rFonts w:ascii="Arial" w:cs="Arial" w:eastAsia="Arial" w:hAnsi="Arial"/>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ind w:left="800" w:hanging="454"/>
        <w:spacing w:after="0" w:line="184" w:lineRule="auto"/>
        <w:tabs>
          <w:tab w:leader="none" w:pos="800" w:val="left"/>
        </w:tabs>
        <w:numPr>
          <w:ilvl w:val="0"/>
          <w:numId w:val="142"/>
        </w:numPr>
        <w:rPr>
          <w:rFonts w:ascii="Arial" w:cs="Arial" w:eastAsia="Arial" w:hAnsi="Arial"/>
          <w:sz w:val="26"/>
          <w:szCs w:val="26"/>
          <w:color w:val="auto"/>
          <w:vertAlign w:val="superscript"/>
        </w:rPr>
      </w:pPr>
      <w:r>
        <w:rPr>
          <w:rFonts w:ascii="Arial" w:cs="Arial" w:eastAsia="Arial" w:hAnsi="Arial"/>
          <w:sz w:val="17"/>
          <w:szCs w:val="17"/>
          <w:color w:val="auto"/>
        </w:rPr>
        <w:t>Level 3: Unobservable inputs that reflect the reporting entity’s own assumptions.</w:t>
      </w:r>
    </w:p>
    <w:p>
      <w:pPr>
        <w:spacing w:after="0" w:line="114"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The Company had money market funds stated at fair market value of $585,250 and $516,573 at September 30, 2011 and June 30, 2011, respectively, that were measured using Level 1 inputs.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E—Business Segment Information</w:t>
      </w:r>
    </w:p>
    <w:p>
      <w:pPr>
        <w:spacing w:after="0" w:line="7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Company’s behavioral health treatment services have similar economic characteristics, services, patients and clients. Accordingly, all behavioral health treatment services are reported on an aggregate basis under one segment. The Company’s segments are more fully described in Note A above. Residual income and expenses from closed facilities are included in the administrative services segment. The following summarizes the Company’s segment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TREATMENT</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ADMINISTRATIVE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SERVICES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SERVICES</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86"/>
        </w:trPr>
        <w:tc>
          <w:tcPr>
            <w:tcW w:w="36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8"/>
                <w:szCs w:val="18"/>
                <w:color w:val="auto"/>
              </w:rPr>
              <w:t>For the three months ended September 30,</w:t>
            </w:r>
          </w:p>
        </w:tc>
        <w:tc>
          <w:tcPr>
            <w:tcW w:w="2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362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2011</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Revenue–external customers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$ 19,337,364</w:t>
            </w: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$1,346,937</w:t>
            </w:r>
          </w:p>
        </w:tc>
        <w:tc>
          <w:tcPr>
            <w:tcW w:w="300" w:type="dxa"/>
            <w:vAlign w:val="bottom"/>
          </w:tcPr>
          <w:p>
            <w:pPr>
              <w:spacing w:after="0"/>
              <w:rPr>
                <w:sz w:val="17"/>
                <w:szCs w:val="17"/>
                <w:color w:val="auto"/>
              </w:rPr>
            </w:pPr>
          </w:p>
        </w:tc>
        <w:tc>
          <w:tcPr>
            <w:tcW w:w="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3"/>
              </w:rPr>
              <w:t>$ 20,684,301</w:t>
            </w:r>
          </w:p>
        </w:tc>
        <w:tc>
          <w:tcPr>
            <w:tcW w:w="100" w:type="dxa"/>
            <w:vAlign w:val="bottom"/>
          </w:tcPr>
          <w:p>
            <w:pPr>
              <w:spacing w:after="0"/>
              <w:rPr>
                <w:sz w:val="17"/>
                <w:szCs w:val="17"/>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Revenues—intersegment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1,171,618</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1,452,735</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5"/>
              </w:rPr>
              <w:t>(2,624,353)</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Segment net income (loss)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2,663,826</w:t>
            </w: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285,588</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(3,233,211)</w:t>
            </w: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(283,797)</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100,141</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7,596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109,607</w:t>
            </w:r>
          </w:p>
        </w:tc>
        <w:tc>
          <w:tcPr>
            <w:tcW w:w="10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Depreciation &amp; amortization</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292,521</w:t>
            </w:r>
          </w:p>
        </w:tc>
        <w:tc>
          <w:tcPr>
            <w:tcW w:w="620" w:type="dxa"/>
            <w:vAlign w:val="bottom"/>
          </w:tcPr>
          <w:p>
            <w:pPr>
              <w:spacing w:after="0"/>
              <w:rPr>
                <w:sz w:val="17"/>
                <w:szCs w:val="17"/>
                <w:color w:val="auto"/>
              </w:rPr>
            </w:pP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20,736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45,559</w:t>
            </w: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358,816</w:t>
            </w:r>
          </w:p>
        </w:tc>
        <w:tc>
          <w:tcPr>
            <w:tcW w:w="100" w:type="dxa"/>
            <w:vAlign w:val="bottom"/>
          </w:tcPr>
          <w:p>
            <w:pPr>
              <w:spacing w:after="0"/>
              <w:rPr>
                <w:sz w:val="17"/>
                <w:szCs w:val="17"/>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7,153</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1,058,389</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1,065,542</w:t>
            </w:r>
          </w:p>
        </w:tc>
        <w:tc>
          <w:tcPr>
            <w:tcW w:w="100" w:type="dxa"/>
            <w:vAlign w:val="bottom"/>
            <w:shd w:val="clear" w:color="auto" w:fill="CCEEFF"/>
          </w:tcPr>
          <w:p>
            <w:pPr>
              <w:spacing w:after="0"/>
              <w:rPr>
                <w:sz w:val="17"/>
                <w:szCs w:val="17"/>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(140,270)</w:t>
            </w: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w w:val="99"/>
              </w:rPr>
              <w:t>TREATMENT</w:t>
            </w:r>
          </w:p>
        </w:tc>
        <w:tc>
          <w:tcPr>
            <w:tcW w:w="50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CONTRACT</w:t>
            </w: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ADMINISTRATIVE</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448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SERVICES</w:t>
            </w:r>
          </w:p>
        </w:tc>
        <w:tc>
          <w:tcPr>
            <w:tcW w:w="50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SERVICES</w:t>
            </w: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SERVICES</w:t>
            </w: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ELIMINATIONS</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86"/>
        </w:trPr>
        <w:tc>
          <w:tcPr>
            <w:tcW w:w="44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8"/>
                <w:szCs w:val="18"/>
                <w:color w:val="auto"/>
              </w:rPr>
              <w:t>For the three months ended September 30, 2011</w:t>
            </w:r>
          </w:p>
        </w:tc>
        <w:tc>
          <w:tcPr>
            <w:tcW w:w="9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448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(continued)</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Identifiable assets</w:t>
            </w:r>
          </w:p>
        </w:tc>
        <w:tc>
          <w:tcPr>
            <w:tcW w:w="940" w:type="dxa"/>
            <w:vAlign w:val="bottom"/>
          </w:tcPr>
          <w:p>
            <w:pPr>
              <w:ind w:left="60"/>
              <w:spacing w:after="0" w:line="202" w:lineRule="exact"/>
              <w:rPr>
                <w:sz w:val="20"/>
                <w:szCs w:val="20"/>
                <w:color w:val="auto"/>
              </w:rPr>
            </w:pPr>
            <w:r>
              <w:rPr>
                <w:rFonts w:ascii="Arial" w:cs="Arial" w:eastAsia="Arial" w:hAnsi="Arial"/>
                <w:sz w:val="18"/>
                <w:szCs w:val="18"/>
                <w:color w:val="auto"/>
                <w:w w:val="95"/>
              </w:rPr>
              <w:t>43,108,519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1,145,687</w:t>
            </w:r>
          </w:p>
        </w:tc>
        <w:tc>
          <w:tcPr>
            <w:tcW w:w="5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7,570,921</w:t>
            </w:r>
          </w:p>
        </w:tc>
        <w:tc>
          <w:tcPr>
            <w:tcW w:w="500" w:type="dxa"/>
            <w:vAlign w:val="bottom"/>
          </w:tcPr>
          <w:p>
            <w:pPr>
              <w:spacing w:after="0"/>
              <w:rPr>
                <w:sz w:val="17"/>
                <w:szCs w:val="17"/>
                <w:color w:val="auto"/>
              </w:rPr>
            </w:pPr>
          </w:p>
        </w:tc>
        <w:tc>
          <w:tcPr>
            <w:tcW w:w="14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51,825,127</w:t>
            </w:r>
          </w:p>
        </w:tc>
        <w:tc>
          <w:tcPr>
            <w:tcW w:w="100" w:type="dxa"/>
            <w:vAlign w:val="bottom"/>
          </w:tcPr>
          <w:p>
            <w:pPr>
              <w:spacing w:after="0"/>
              <w:rPr>
                <w:sz w:val="17"/>
                <w:szCs w:val="17"/>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10,446,569</w:t>
            </w:r>
          </w:p>
        </w:tc>
        <w:tc>
          <w:tcPr>
            <w:tcW w:w="5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10,446,569</w:t>
            </w:r>
          </w:p>
        </w:tc>
        <w:tc>
          <w:tcPr>
            <w:tcW w:w="100" w:type="dxa"/>
            <w:vAlign w:val="bottom"/>
            <w:shd w:val="clear" w:color="auto" w:fill="CCEEFF"/>
          </w:tcPr>
          <w:p>
            <w:pPr>
              <w:spacing w:after="0"/>
              <w:rPr>
                <w:sz w:val="17"/>
                <w:szCs w:val="17"/>
                <w:color w:val="auto"/>
              </w:rPr>
            </w:pPr>
          </w:p>
        </w:tc>
      </w:tr>
      <w:tr>
        <w:trPr>
          <w:trHeight w:val="135"/>
        </w:trPr>
        <w:tc>
          <w:tcPr>
            <w:tcW w:w="4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r>
        <w:trPr>
          <w:trHeight w:val="383"/>
        </w:trPr>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TREATMENT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8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ADMINISTRATIVE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rPr>
              <w:t>SERVICES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SERVICES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86"/>
        </w:trPr>
        <w:tc>
          <w:tcPr>
            <w:tcW w:w="36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8"/>
                <w:szCs w:val="18"/>
                <w:color w:val="auto"/>
              </w:rPr>
              <w:t>For the three months ended September 30,</w:t>
            </w:r>
          </w:p>
        </w:tc>
        <w:tc>
          <w:tcPr>
            <w:tcW w:w="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368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Revenue–external customers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$ 14,233,822</w:t>
            </w:r>
          </w:p>
        </w:tc>
        <w:tc>
          <w:tcPr>
            <w:tcW w:w="30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837,598</w:t>
            </w:r>
          </w:p>
        </w:tc>
        <w:tc>
          <w:tcPr>
            <w:tcW w:w="74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3"/>
              </w:rPr>
              <w:t>$ 15,071,420</w:t>
            </w:r>
          </w:p>
        </w:tc>
        <w:tc>
          <w:tcPr>
            <w:tcW w:w="10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Revenues—intersegment</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1,053,789</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1,293,105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7"/>
              </w:rPr>
              <w:t>(2,346,894)</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Segment net income (loss)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2,140,233</w:t>
            </w:r>
          </w:p>
        </w:tc>
        <w:tc>
          <w:tcPr>
            <w:tcW w:w="30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129,823</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(1,591,441)</w:t>
            </w:r>
          </w:p>
        </w:tc>
        <w:tc>
          <w:tcPr>
            <w:tcW w:w="100" w:type="dxa"/>
            <w:vAlign w:val="bottom"/>
          </w:tcPr>
          <w:p>
            <w:pPr>
              <w:spacing w:after="0"/>
              <w:rPr>
                <w:sz w:val="17"/>
                <w:szCs w:val="17"/>
                <w:color w:val="auto"/>
              </w:rPr>
            </w:pPr>
          </w:p>
        </w:tc>
        <w:tc>
          <w:tcPr>
            <w:tcW w:w="14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678,615</w:t>
            </w:r>
          </w:p>
        </w:tc>
        <w:tc>
          <w:tcPr>
            <w:tcW w:w="10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353,099</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5,303</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361,002</w:t>
            </w:r>
          </w:p>
        </w:tc>
        <w:tc>
          <w:tcPr>
            <w:tcW w:w="100" w:type="dxa"/>
            <w:vAlign w:val="bottom"/>
            <w:shd w:val="clear" w:color="auto" w:fill="CCEEFF"/>
          </w:tcPr>
          <w:p>
            <w:pPr>
              <w:spacing w:after="0"/>
              <w:rPr>
                <w:sz w:val="17"/>
                <w:szCs w:val="17"/>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Depreciation &amp; amortization</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208,756</w:t>
            </w:r>
          </w:p>
        </w:tc>
        <w:tc>
          <w:tcPr>
            <w:tcW w:w="30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19,851</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39,790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268,397</w:t>
            </w:r>
          </w:p>
        </w:tc>
        <w:tc>
          <w:tcPr>
            <w:tcW w:w="10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5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40,599</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39,733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80,332</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557,027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557,027</w:t>
            </w:r>
          </w:p>
        </w:tc>
        <w:tc>
          <w:tcPr>
            <w:tcW w:w="10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June 30, 2011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Identifiable assets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19,523,739</w:t>
            </w:r>
          </w:p>
        </w:tc>
        <w:tc>
          <w:tcPr>
            <w:tcW w:w="30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1,250,903</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7,507,348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28,281,990</w:t>
            </w:r>
          </w:p>
        </w:tc>
        <w:tc>
          <w:tcPr>
            <w:tcW w:w="10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969,098</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969,098</w:t>
            </w:r>
          </w:p>
        </w:tc>
        <w:tc>
          <w:tcPr>
            <w:tcW w:w="100" w:type="dxa"/>
            <w:vAlign w:val="bottom"/>
            <w:shd w:val="clear" w:color="auto" w:fill="CCEEFF"/>
          </w:tcPr>
          <w:p>
            <w:pPr>
              <w:spacing w:after="0"/>
              <w:rPr>
                <w:sz w:val="17"/>
                <w:szCs w:val="17"/>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F—Income Taxes</w:t>
      </w:r>
    </w:p>
    <w:p>
      <w:pPr>
        <w:spacing w:after="0" w:line="7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FASB ASC 740, “Income Taxes” (“ASC 740”), prescribes a comprehensive model for the financial statement recognition, measurement, presentation, and disclosure of uncertain tax positions taken or expected to be taken in income tax returns. ASC 740 required that a change in judgment related to prior years’ tax positions be recognized in the quarter of the change. The Company recognized no material adjustment in the liability for unrecognized tax benefits.</w:t>
      </w:r>
    </w:p>
    <w:p>
      <w:pPr>
        <w:spacing w:after="0" w:line="11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recognize interest and penalties related to uncertain tax positions in general and administrative expense. As of September 30, 2011, we have not recorded any provisions for accrued interest and penalties related to uncertain tax positions.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Tax years 2006-2010 remain open to examination by the major taxing authorities to which we are subject.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G—Basic and Diluted Income Per Share:</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Income per share is computed by dividing the income applicable to common shareholders by the weighted average number of shares of both classes of common stock outstanding for each fiscal year. Class B common stock has additional voting rights. All dilutive common stock equivalents are included in the calculation of diluted earnings per share; however, since the Company experienced a net loss for the three months ended September 30, 2011, no additional common stock equivalents related to options or warrants were included since they would have been anti-dilutive. For the three months ended September 30, 2010, all dilutive common stock equivalents were included in the calculation of diluted earnings per share using the treasury stock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used in the computation of earnings per share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jc w:val="center"/>
        <w:ind w:left="8780"/>
        <w:spacing w:after="0" w:line="22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96"/>
        </w:trPr>
        <w:tc>
          <w:tcPr>
            <w:tcW w:w="4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outstanding—basic</w:t>
            </w:r>
          </w:p>
        </w:tc>
        <w:tc>
          <w:tcPr>
            <w:tcW w:w="5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19,540,218</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19,532,095</w:t>
            </w:r>
          </w:p>
        </w:tc>
        <w:tc>
          <w:tcPr>
            <w:tcW w:w="120" w:type="dxa"/>
            <w:vAlign w:val="bottom"/>
            <w:shd w:val="clear" w:color="auto" w:fill="CCEEFF"/>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Employee stock options</w:t>
            </w:r>
          </w:p>
        </w:tc>
        <w:tc>
          <w:tcPr>
            <w:tcW w:w="40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71,043</w:t>
            </w:r>
          </w:p>
        </w:tc>
        <w:tc>
          <w:tcPr>
            <w:tcW w:w="120" w:type="dxa"/>
            <w:vAlign w:val="bottom"/>
          </w:tcPr>
          <w:p>
            <w:pPr>
              <w:spacing w:after="0"/>
              <w:rPr>
                <w:sz w:val="17"/>
                <w:szCs w:val="17"/>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40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Weighted average shares outstanding—fully diluted</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19,540,218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19,603,138</w:t>
            </w:r>
          </w:p>
        </w:tc>
        <w:tc>
          <w:tcPr>
            <w:tcW w:w="1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84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383"/>
        </w:trPr>
        <w:tc>
          <w:tcPr>
            <w:tcW w:w="4840" w:type="dxa"/>
            <w:vAlign w:val="bottom"/>
          </w:tcPr>
          <w:p>
            <w:pPr>
              <w:spacing w:after="0"/>
              <w:rPr>
                <w:sz w:val="24"/>
                <w:szCs w:val="24"/>
                <w:color w:val="auto"/>
              </w:rPr>
            </w:pPr>
          </w:p>
        </w:tc>
        <w:tc>
          <w:tcPr>
            <w:tcW w:w="4060" w:type="dxa"/>
            <w:vAlign w:val="bottom"/>
          </w:tcPr>
          <w:p>
            <w:pPr>
              <w:jc w:val="right"/>
              <w:ind w:right="3052"/>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35" w:right="239" w:bottom="1440" w:gutter="0" w:footer="0" w:header="0"/>
        </w:sectPr>
      </w:pPr>
    </w:p>
    <w:bookmarkStart w:id="142" w:name="page143"/>
    <w:bookmarkEnd w:id="142"/>
    <w:p>
      <w:pPr>
        <w:ind w:right="6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securities outstanding as of September 30, 2011 and 2010, but not included in the calculation of diluted net earnings per share because such shares are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THREE MONTHS ENDED</w:t>
      </w:r>
    </w:p>
    <w:p>
      <w:pPr>
        <w:jc w:val="center"/>
        <w:ind w:left="8980"/>
        <w:spacing w:after="0" w:line="227"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r>
      <w:tr>
        <w:trPr>
          <w:trHeight w:val="196"/>
        </w:trPr>
        <w:tc>
          <w:tcPr>
            <w:tcW w:w="9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Employee stock options</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1,256,000</w:t>
            </w: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1,059,000</w:t>
            </w:r>
          </w:p>
        </w:tc>
        <w:tc>
          <w:tcPr>
            <w:tcW w:w="140" w:type="dxa"/>
            <w:vAlign w:val="bottom"/>
            <w:shd w:val="clear" w:color="auto" w:fill="CCEEFF"/>
          </w:tcPr>
          <w:p>
            <w:pPr>
              <w:spacing w:after="0"/>
              <w:rPr>
                <w:sz w:val="17"/>
                <w:szCs w:val="17"/>
                <w:color w:val="auto"/>
              </w:rPr>
            </w:pPr>
          </w:p>
        </w:tc>
      </w:tr>
      <w:tr>
        <w:trPr>
          <w:trHeight w:val="210"/>
        </w:trPr>
        <w:tc>
          <w:tcPr>
            <w:tcW w:w="912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363,000</w:t>
            </w:r>
          </w:p>
        </w:tc>
        <w:tc>
          <w:tcPr>
            <w:tcW w:w="34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363,000</w:t>
            </w:r>
          </w:p>
        </w:tc>
        <w:tc>
          <w:tcPr>
            <w:tcW w:w="140" w:type="dxa"/>
            <w:vAlign w:val="bottom"/>
          </w:tcPr>
          <w:p>
            <w:pPr>
              <w:spacing w:after="0"/>
              <w:rPr>
                <w:sz w:val="18"/>
                <w:szCs w:val="18"/>
                <w:color w:val="auto"/>
              </w:rPr>
            </w:pPr>
          </w:p>
        </w:tc>
      </w:tr>
      <w:tr>
        <w:trPr>
          <w:trHeight w:val="203"/>
        </w:trPr>
        <w:tc>
          <w:tcPr>
            <w:tcW w:w="9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1,619,000</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1,422,000</w:t>
            </w:r>
          </w:p>
        </w:tc>
        <w:tc>
          <w:tcPr>
            <w:tcW w:w="140" w:type="dxa"/>
            <w:vAlign w:val="bottom"/>
            <w:shd w:val="clear" w:color="auto" w:fill="CCEEFF"/>
          </w:tcPr>
          <w:p>
            <w:pPr>
              <w:spacing w:after="0"/>
              <w:rPr>
                <w:sz w:val="17"/>
                <w:szCs w:val="17"/>
                <w:color w:val="auto"/>
              </w:rPr>
            </w:pPr>
          </w:p>
        </w:tc>
      </w:tr>
      <w:tr>
        <w:trPr>
          <w:trHeight w:val="20"/>
        </w:trPr>
        <w:tc>
          <w:tcPr>
            <w:tcW w:w="9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9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H—Note Receivable</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November 13, 2010, the Company, through its subsidiary Detroit Behavioral Institute, Inc., d/b/a Capstone Academy, a wholly owned subsidiary of the Company (“Capstone Academy”), purchased the rights under certain identified notes (the “Notes”) held by Bank of America and secured by the property leased by Capstone Academy for $1,250,000. The Notes were in default at the time of the purchase and the Company has initiated foreclosure proceedings in the courts. The Notes were purchased using cash flow from operations. The Company has recorded the value of the Notes in other receivables, current, in the accompanying condensed consolidated financial statements. The Company believes the value of the Notes are fully recoverable based on the current value of the property securing the Notes. A Sheriff’s Sale of the property is scheduled for the second quarter of fiscal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I—Acquisition of MeadowWood</w:t>
      </w:r>
    </w:p>
    <w:p>
      <w:pPr>
        <w:spacing w:after="0" w:line="9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 July 1, 2011, the Company completed the acquisition of MeadowWood Behavioral Health, a behavioral health facility located in New Castle, Delaware (“MeadowWood”) from Universal Health Services, Inc. (the “Seller”) pursuant to the terms of an Asset Purchase Agreement, dated as of March 15, 2011, between the Company and the Seller (the “Purchase Agreement”). In accordance with the Purchase Agreement, PHC MeadowWood, Inc., a Delaware corporation and subsidiary of the Company (“PHC MeadowWood”) acquired substantially all of the operating assets (other than cash) and assumed certain liabilities associated with MeadowWood. The purchase price was $21,500,000, and is subject to a working capital adjustment. At closing, PHC MeadowWood hired Seller’s employees currently employed at MeadowWood and assumed certain obligations with respect to those transferred employees. Also at closing, PHC MeadowWood and the Seller entered into a transition services agreement to facilitate the transition of the business. Transaction costs of approximately $684,000 were recorded as administrative expense during the three months ended September 30, 2011.</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consideration was allocated to assets and liabilities based on their relative fair values as of the closing date of the MeadowWood acquisition.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consideration and allocation of purchase price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purchase price (subject to adjustment)</w:t>
            </w:r>
          </w:p>
        </w:tc>
        <w:tc>
          <w:tcPr>
            <w:tcW w:w="5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21,500,000</w:t>
            </w:r>
          </w:p>
        </w:tc>
        <w:tc>
          <w:tcPr>
            <w:tcW w:w="12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600" w:type="dxa"/>
            <w:vAlign w:val="bottom"/>
          </w:tcPr>
          <w:p>
            <w:pPr>
              <w:spacing w:after="0" w:line="196" w:lineRule="exact"/>
              <w:rPr>
                <w:sz w:val="20"/>
                <w:szCs w:val="20"/>
                <w:color w:val="auto"/>
              </w:rPr>
            </w:pPr>
            <w:r>
              <w:rPr>
                <w:rFonts w:ascii="Arial" w:cs="Arial" w:eastAsia="Arial" w:hAnsi="Arial"/>
                <w:sz w:val="18"/>
                <w:szCs w:val="18"/>
                <w:color w:val="auto"/>
              </w:rPr>
              <w:t>Accounts Receivables (net)</w:t>
            </w:r>
          </w:p>
        </w:tc>
        <w:tc>
          <w:tcPr>
            <w:tcW w:w="5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1,796,781</w:t>
            </w: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97,134</w:t>
            </w:r>
          </w:p>
        </w:tc>
        <w:tc>
          <w:tcPr>
            <w:tcW w:w="120" w:type="dxa"/>
            <w:vAlign w:val="bottom"/>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1,420,000</w:t>
            </w: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 and Improvements</w:t>
            </w:r>
          </w:p>
        </w:tc>
        <w:tc>
          <w:tcPr>
            <w:tcW w:w="5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7,700,300</w:t>
            </w:r>
          </w:p>
        </w:tc>
        <w:tc>
          <w:tcPr>
            <w:tcW w:w="120" w:type="dxa"/>
            <w:vAlign w:val="bottom"/>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553,763</w:t>
            </w: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Licenses</w:t>
            </w:r>
          </w:p>
        </w:tc>
        <w:tc>
          <w:tcPr>
            <w:tcW w:w="5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9,541,046</w:t>
            </w: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5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(157,484)</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(151,540)</w:t>
            </w:r>
          </w:p>
        </w:tc>
      </w:tr>
      <w:tr>
        <w:trPr>
          <w:trHeight w:val="27"/>
        </w:trPr>
        <w:tc>
          <w:tcPr>
            <w:tcW w:w="46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60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21,500,000</w:t>
            </w:r>
          </w:p>
        </w:tc>
        <w:tc>
          <w:tcPr>
            <w:tcW w:w="120" w:type="dxa"/>
            <w:vAlign w:val="bottom"/>
            <w:shd w:val="clear" w:color="auto" w:fill="CCEEFF"/>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60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383"/>
        </w:trPr>
        <w:tc>
          <w:tcPr>
            <w:tcW w:w="4600" w:type="dxa"/>
            <w:vAlign w:val="bottom"/>
          </w:tcPr>
          <w:p>
            <w:pPr>
              <w:spacing w:after="0"/>
              <w:rPr>
                <w:sz w:val="24"/>
                <w:szCs w:val="24"/>
                <w:color w:val="auto"/>
              </w:rPr>
            </w:pPr>
          </w:p>
        </w:tc>
        <w:tc>
          <w:tcPr>
            <w:tcW w:w="5680" w:type="dxa"/>
            <w:vAlign w:val="bottom"/>
          </w:tcPr>
          <w:p>
            <w:pPr>
              <w:jc w:val="right"/>
              <w:ind w:right="44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143" w:name="page144"/>
    <w:bookmarkEnd w:id="143"/>
    <w:p>
      <w:pPr>
        <w:jc w:val="both"/>
        <w:ind w:right="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allocation of consideration paid for the acquired assets and liabilities of MeadowWood is based on management’s best preliminary estimates. The actual allocation of the amount of the consideration may differ from that reflected after a third party valuation and these procedures have been finalized.</w:t>
      </w:r>
    </w:p>
    <w:p>
      <w:pPr>
        <w:spacing w:after="0" w:line="1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results of operations of MeadowWood are included in the Company’s operating results beginning July 1, 2011. The following presents the pro forma revenues, net income and net income per common share for three months ended September 30, 2010 of the Company’s acquisition of MeadowWood assuming the acquisition occurred as of July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4180" w:type="dxa"/>
            <w:vAlign w:val="bottom"/>
            <w:gridSpan w:val="4"/>
          </w:tcPr>
          <w:p>
            <w:pPr>
              <w:ind w:left="30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(UNAUDITED)</w:t>
            </w:r>
          </w:p>
        </w:tc>
        <w:tc>
          <w:tcPr>
            <w:tcW w:w="0" w:type="dxa"/>
            <w:vAlign w:val="bottom"/>
          </w:tcPr>
          <w:p>
            <w:pPr>
              <w:spacing w:after="0"/>
              <w:rPr>
                <w:sz w:val="1"/>
                <w:szCs w:val="1"/>
                <w:color w:val="auto"/>
              </w:rPr>
            </w:pPr>
          </w:p>
        </w:tc>
      </w:tr>
      <w:tr>
        <w:trPr>
          <w:trHeight w:val="165"/>
        </w:trPr>
        <w:tc>
          <w:tcPr>
            <w:tcW w:w="724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80" w:type="dxa"/>
            <w:vAlign w:val="bottom"/>
            <w:gridSpan w:val="2"/>
            <w:shd w:val="clear" w:color="auto" w:fill="CCEEFF"/>
          </w:tcPr>
          <w:p>
            <w:pPr>
              <w:ind w:left="30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18,795,290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3080" w:type="dxa"/>
            <w:vAlign w:val="bottom"/>
            <w:gridSpan w:val="2"/>
          </w:tcPr>
          <w:p>
            <w:pPr>
              <w:ind w:left="30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1,049,306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share</w:t>
            </w:r>
          </w:p>
        </w:tc>
        <w:tc>
          <w:tcPr>
            <w:tcW w:w="3080" w:type="dxa"/>
            <w:vAlign w:val="bottom"/>
            <w:gridSpan w:val="2"/>
            <w:shd w:val="clear" w:color="auto" w:fill="CCEEFF"/>
          </w:tcPr>
          <w:p>
            <w:pPr>
              <w:ind w:left="300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Fully diluted weighted average shares outstanding</w:t>
            </w:r>
          </w:p>
        </w:tc>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19,603,138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This unaudited pro forma condensed combined financial information is not necessarily indicative of the results of operations that would have been achieved had the acquisition actually taken place at the dates indicated and do not purport to be indicative of future position or operating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J—Financing Agreements</w:t>
      </w:r>
    </w:p>
    <w:p>
      <w:pPr>
        <w:spacing w:after="0" w:line="7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Also on July 1, 2011 (the “Closing Date”), and concurrently with the closing under the MeadowWood Purchase and Sale Agreement, the Company and its subsidiaries entered into a Credit Agreement with the lenders party thereto (the “Lenders”), Jefferies Finance LLC, as administrative agent, arranger, book manager, collateral agent, and documentation agent for the Lenders, and as syndication agent and swingline lender, and Jefferies Group, Inc., as issuing bank (the “Credit Agreement”). The terms of the Credit Agreement provide for (i) a $23,500,000 senior secured term loan facility (the “Term Loan Facility”) and (ii) up to $3,000,000 senior secured revolving credit facility (the “Revolving Credit Facility”), both of which were fully borrowed on the Closing Date in order to finance the MeadowWood purchase, to pay off the Company’s existing loan facility with CapitalSource Finance LLC, for miscellaneous costs, fees and expenses related to the Credit Agreement and the MeadowWood purchase, and for general working capital purposes. As of September 30, 2011, approximately $23,441,250 and $3,000,000 remain outstanding under the Term Loan Facility and the Revolving Credit Facility. The Term Loan Facility and Revolving Credit Facility mature on July 1, 2014 and require repayment of</w:t>
      </w:r>
    </w:p>
    <w:p>
      <w:pPr>
        <w:spacing w:after="0" w:line="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0.25% of the principal amount of the Term Loan each quarter during the term. Interest on these loans for the quarter ended September 30, 2011 was 7.75%. Under the agreement, the Company must maintain compliance with certain financial covenants. As of September 30, 2011, the Company was in compliance with the required covenants.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K—Merger with Acadia Healthcare Company, Inc.</w:t>
      </w:r>
    </w:p>
    <w:p>
      <w:pPr>
        <w:spacing w:after="0" w:line="7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May 23, 2011, the Company entered into an Agreement and Plan of Merger (the “Merger Agreement”) with Acadia Healthcare Company, Inc., a Delaware corporation (“Acadia”), and Acadia Merger Sub, LLC, a Delaware limited liability company and wholly-owned subsidiary of Acadia (“Merger Sub”), pursuant to which, subject to the satisfaction or waiver of the conditions therein, the Company will merge with and into Merger Sub, with Merger Sub continuing as the surviving company (the “Merger”).</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October 26, 2011, the shareholders of PHC, Inc. voted to approve the merger agreement. On November 1, 2011 the Merger agreement was finalized. Upon completion of the Merger, Acadia stockholders own approximately 77.5% of the combined company and PHC’s former stockholders own approximately 22.5% of the combined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1"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L—Subsequent Events-</w:t>
      </w:r>
    </w:p>
    <w:p>
      <w:pPr>
        <w:spacing w:after="0" w:line="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evaluated subsequent events through the date of this report and did not find any unrecorded reportable subsequent events, except as discussed in Note K.</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69" w:right="379" w:bottom="1440" w:gutter="0" w:footer="0" w:header="0"/>
        </w:sectPr>
      </w:pPr>
    </w:p>
    <w:bookmarkStart w:id="145" w:name="page146"/>
    <w:bookmarkEnd w:id="145"/>
    <w:p>
      <w:pPr>
        <w:ind w:left="2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 of</w:t>
      </w:r>
    </w:p>
    <w:p>
      <w:pPr>
        <w:spacing w:after="0"/>
        <w:rPr>
          <w:sz w:val="20"/>
          <w:szCs w:val="20"/>
          <w:color w:val="auto"/>
        </w:rPr>
      </w:pPr>
      <w:r>
        <w:rPr>
          <w:rFonts w:ascii="Arial" w:cs="Arial" w:eastAsia="Arial" w:hAnsi="Arial"/>
          <w:sz w:val="18"/>
          <w:szCs w:val="18"/>
          <w:color w:val="auto"/>
        </w:rPr>
        <w:t>PHC, Inc.:</w:t>
      </w:r>
    </w:p>
    <w:p>
      <w:pPr>
        <w:spacing w:after="0" w:line="11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have audited the accompanying consolidated balance sheets of PHC, Inc. and subsidiaries as of June 30, 2011 and 2010 and the related consolidated statements of income, changes in stockholders’ equity, and cash flows for the years then ended. These financial statements are the responsibility of the Company’s management. Our responsibility is to express an opinion on these financial statements based on our audits.</w:t>
      </w:r>
    </w:p>
    <w:p>
      <w:pPr>
        <w:spacing w:after="0" w:line="8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PHC, Inc. and subsidiaries at June 30, 2011 and 2010 and the results of their operations and their cash flows for the years then ended in conformity with accounting principles generally accepted in the United States of America.</w:t>
      </w:r>
    </w:p>
    <w:p>
      <w:pPr>
        <w:spacing w:after="0" w:line="11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BDO USA,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August 18, 2011</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69" w:right="319" w:bottom="1440" w:gutter="0" w:footer="0" w:header="0"/>
        </w:sectPr>
      </w:pPr>
    </w:p>
    <w:bookmarkStart w:id="146" w:name="page147"/>
    <w:bookmarkEnd w:id="146"/>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PHC, INC. AND SUBSIDIARIES</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5300"/>
              <w:spacing w:after="0" w:line="18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3,668,521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4,540,278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40"/>
              <w:spacing w:after="0" w:line="206" w:lineRule="exact"/>
              <w:rPr>
                <w:sz w:val="20"/>
                <w:szCs w:val="20"/>
                <w:color w:val="auto"/>
              </w:rPr>
            </w:pPr>
            <w:r>
              <w:rPr>
                <w:rFonts w:ascii="Arial" w:cs="Arial" w:eastAsia="Arial" w:hAnsi="Arial"/>
                <w:sz w:val="18"/>
                <w:szCs w:val="18"/>
                <w:color w:val="auto"/>
              </w:rPr>
              <w:t>Accounts receivable, net of allowance for doubtful accounts of $5,049,892 and $3,002,323 at June 30,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80" w:type="dxa"/>
            <w:vAlign w:val="bottom"/>
          </w:tcPr>
          <w:p>
            <w:pPr>
              <w:ind w:left="680"/>
              <w:spacing w:after="0" w:line="200" w:lineRule="exact"/>
              <w:rPr>
                <w:sz w:val="20"/>
                <w:szCs w:val="20"/>
                <w:color w:val="auto"/>
              </w:rPr>
            </w:pPr>
            <w:r>
              <w:rPr>
                <w:rFonts w:ascii="Arial" w:cs="Arial" w:eastAsia="Arial" w:hAnsi="Arial"/>
                <w:sz w:val="18"/>
                <w:szCs w:val="18"/>
                <w:color w:val="auto"/>
              </w:rPr>
              <w:t>2011 and 2010, respectively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w w:val="95"/>
              </w:rPr>
              <w:t>11,078,840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8,776,283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561,044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Other receivables and advances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2,135,435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743,454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1,919,435</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1,145,742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19,363,275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15,696,419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Accounts receivable, non-current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27,168</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17,548</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43,152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58,169</w:t>
            </w: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4,713,132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4,527,376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Deferred financing costs, net of amortization of $729,502 and $582,971 at June 30, 2011 and 2010,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8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549,760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189,270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969,098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969,098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assets-long term</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647,743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1,495,144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1,968,662</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2,184,749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28,281,990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25,649,970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516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Current maturities of long-term debt</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348,081</w:t>
            </w:r>
          </w:p>
        </w:tc>
        <w:tc>
          <w:tcPr>
            <w:tcW w:w="4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796,244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Revolving credit note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1,814,877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Current portion of obligations under capital leases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19,558</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112,909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2,890,362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2,036,803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Accrued payroll, payroll taxes and benefits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2,026,911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2,152,724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2,237,982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1,040,487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129,160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23,991</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9,466,931</w:t>
            </w: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7,499,183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56,702</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292,282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Obligations under capital leases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19,558</w:t>
            </w:r>
          </w:p>
        </w:tc>
        <w:tc>
          <w:tcPr>
            <w:tcW w:w="0" w:type="dxa"/>
            <w:vAlign w:val="bottom"/>
          </w:tcPr>
          <w:p>
            <w:pPr>
              <w:spacing w:after="0"/>
              <w:rPr>
                <w:sz w:val="1"/>
                <w:szCs w:val="1"/>
                <w:color w:val="auto"/>
              </w:rPr>
            </w:pPr>
          </w:p>
        </w:tc>
      </w:tr>
      <w:tr>
        <w:trPr>
          <w:trHeight w:val="210"/>
        </w:trPr>
        <w:tc>
          <w:tcPr>
            <w:tcW w:w="8580" w:type="dxa"/>
            <w:vAlign w:val="bottom"/>
          </w:tcPr>
          <w:p>
            <w:pPr>
              <w:spacing w:after="0" w:line="202" w:lineRule="exact"/>
              <w:rPr>
                <w:sz w:val="20"/>
                <w:szCs w:val="20"/>
                <w:color w:val="auto"/>
              </w:rPr>
            </w:pPr>
            <w:r>
              <w:rPr>
                <w:rFonts w:ascii="Arial" w:cs="Arial" w:eastAsia="Arial" w:hAnsi="Arial"/>
                <w:sz w:val="18"/>
                <w:szCs w:val="18"/>
                <w:color w:val="auto"/>
              </w:rPr>
              <w:t>Long-term accrued liabilities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843,296</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10,366,929</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8,393,976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contingent liabilities (Note I)</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Preferred stock, 1,000,000 shares authorized, none issued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Class A Common Stock, $.01 par value; 30,000,000 shares authorized, 19,978,211 and 19,867,826 shares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8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issued at June 30, 2011 and 2010, respectively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199,782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198,679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tcPr>
          <w:p>
            <w:pPr>
              <w:spacing w:after="0" w:line="206" w:lineRule="exact"/>
              <w:rPr>
                <w:sz w:val="20"/>
                <w:szCs w:val="20"/>
                <w:color w:val="auto"/>
              </w:rPr>
            </w:pPr>
            <w:r>
              <w:rPr>
                <w:rFonts w:ascii="Arial" w:cs="Arial" w:eastAsia="Arial" w:hAnsi="Arial"/>
                <w:sz w:val="18"/>
                <w:szCs w:val="18"/>
                <w:color w:val="auto"/>
              </w:rPr>
              <w:t>Class B Common Stock, $.01 par value; 2,000,000 shares authorized, 773,717 and 775,021 issued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outstanding at June 30, 2011 and 2010, respectively, each convertible into one share of Class A</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80" w:type="dxa"/>
            <w:vAlign w:val="bottom"/>
          </w:tcPr>
          <w:p>
            <w:pPr>
              <w:ind w:left="340"/>
              <w:spacing w:after="0" w:line="200" w:lineRule="exact"/>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7,737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7,750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28,220,835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27,927,536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tcPr>
          <w:p>
            <w:pPr>
              <w:spacing w:after="0" w:line="206" w:lineRule="exact"/>
              <w:rPr>
                <w:sz w:val="20"/>
                <w:szCs w:val="20"/>
                <w:color w:val="auto"/>
              </w:rPr>
            </w:pPr>
            <w:r>
              <w:rPr>
                <w:rFonts w:ascii="Arial" w:cs="Arial" w:eastAsia="Arial" w:hAnsi="Arial"/>
                <w:sz w:val="18"/>
                <w:szCs w:val="18"/>
                <w:color w:val="auto"/>
              </w:rPr>
              <w:t>Treasury stock, 1,214,093 and 1,040,598 Class A common shares at cost at June 30, 2011 and 2010,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80" w:type="dxa"/>
            <w:vAlign w:val="bottom"/>
          </w:tcPr>
          <w:p>
            <w:pPr>
              <w:ind w:left="340"/>
              <w:spacing w:after="0" w:line="200" w:lineRule="exact"/>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w w:val="99"/>
              </w:rPr>
              <w:t>(1,808,734)</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(1,593,407)</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9"/>
              </w:rPr>
              <w:t>(8,704,559)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(9,284,564)</w:t>
            </w:r>
          </w:p>
        </w:tc>
        <w:tc>
          <w:tcPr>
            <w:tcW w:w="0" w:type="dxa"/>
            <w:vAlign w:val="bottom"/>
          </w:tcPr>
          <w:p>
            <w:pPr>
              <w:spacing w:after="0"/>
              <w:rPr>
                <w:sz w:val="1"/>
                <w:szCs w:val="1"/>
                <w:color w:val="auto"/>
              </w:rPr>
            </w:pPr>
          </w:p>
        </w:tc>
      </w:tr>
      <w:tr>
        <w:trPr>
          <w:trHeight w:val="217"/>
        </w:trPr>
        <w:tc>
          <w:tcPr>
            <w:tcW w:w="858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17,915,061</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17,255,994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28,281,990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25,649,970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9"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PHC,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FOR THE YEARS ENDED JUNE 30,</w:t>
            </w:r>
          </w:p>
        </w:tc>
      </w:tr>
      <w:tr>
        <w:trPr>
          <w:trHeight w:val="142"/>
        </w:trPr>
        <w:tc>
          <w:tcPr>
            <w:tcW w:w="67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83"/>
        </w:trPr>
        <w:tc>
          <w:tcPr>
            <w:tcW w:w="6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Patient care, net</w:t>
            </w:r>
          </w:p>
        </w:tc>
        <w:tc>
          <w:tcPr>
            <w:tcW w:w="2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57,495,735</w:t>
            </w:r>
          </w:p>
        </w:tc>
        <w:tc>
          <w:tcPr>
            <w:tcW w:w="4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49,647,395</w:t>
            </w:r>
          </w:p>
        </w:tc>
        <w:tc>
          <w:tcPr>
            <w:tcW w:w="100" w:type="dxa"/>
            <w:vAlign w:val="bottom"/>
          </w:tcPr>
          <w:p>
            <w:pPr>
              <w:spacing w:after="0"/>
              <w:rPr>
                <w:sz w:val="17"/>
                <w:szCs w:val="17"/>
                <w:color w:val="auto"/>
              </w:rPr>
            </w:pPr>
          </w:p>
        </w:tc>
      </w:tr>
      <w:tr>
        <w:trPr>
          <w:trHeight w:val="203"/>
        </w:trPr>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Contract support services</w:t>
            </w:r>
          </w:p>
        </w:tc>
        <w:tc>
          <w:tcPr>
            <w:tcW w:w="20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4,512,144</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3,429,831</w:t>
            </w:r>
          </w:p>
        </w:tc>
        <w:tc>
          <w:tcPr>
            <w:tcW w:w="100" w:type="dxa"/>
            <w:vAlign w:val="bottom"/>
            <w:shd w:val="clear" w:color="auto" w:fill="CCEEFF"/>
          </w:tcPr>
          <w:p>
            <w:pPr>
              <w:spacing w:after="0"/>
              <w:rPr>
                <w:sz w:val="17"/>
                <w:szCs w:val="17"/>
                <w:color w:val="auto"/>
              </w:rPr>
            </w:pPr>
          </w:p>
        </w:tc>
      </w:tr>
      <w:tr>
        <w:trPr>
          <w:trHeight w:val="210"/>
        </w:trPr>
        <w:tc>
          <w:tcPr>
            <w:tcW w:w="6760" w:type="dxa"/>
            <w:vAlign w:val="bottom"/>
          </w:tcPr>
          <w:p>
            <w:pPr>
              <w:ind w:left="640"/>
              <w:spacing w:after="0"/>
              <w:rPr>
                <w:sz w:val="20"/>
                <w:szCs w:val="20"/>
                <w:color w:val="auto"/>
              </w:rPr>
            </w:pPr>
            <w:r>
              <w:rPr>
                <w:rFonts w:ascii="Arial" w:cs="Arial" w:eastAsia="Arial" w:hAnsi="Arial"/>
                <w:sz w:val="18"/>
                <w:szCs w:val="18"/>
                <w:color w:val="auto"/>
              </w:rPr>
              <w:t>Total revenues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62,007,879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53,077,226</w:t>
            </w:r>
          </w:p>
        </w:tc>
        <w:tc>
          <w:tcPr>
            <w:tcW w:w="100" w:type="dxa"/>
            <w:vAlign w:val="bottom"/>
          </w:tcPr>
          <w:p>
            <w:pPr>
              <w:spacing w:after="0"/>
              <w:rPr>
                <w:sz w:val="18"/>
                <w:szCs w:val="18"/>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Patient care expenses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30,234,829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26,306,828</w:t>
            </w:r>
          </w:p>
        </w:tc>
        <w:tc>
          <w:tcPr>
            <w:tcW w:w="100" w:type="dxa"/>
            <w:vAlign w:val="bottom"/>
          </w:tcPr>
          <w:p>
            <w:pPr>
              <w:spacing w:after="0"/>
              <w:rPr>
                <w:sz w:val="17"/>
                <w:szCs w:val="17"/>
                <w:color w:val="auto"/>
              </w:rPr>
            </w:pPr>
          </w:p>
        </w:tc>
      </w:tr>
      <w:tr>
        <w:trPr>
          <w:trHeight w:val="203"/>
        </w:trPr>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Cost of contract support services</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3,617,509</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2,964,621</w:t>
            </w:r>
          </w:p>
        </w:tc>
        <w:tc>
          <w:tcPr>
            <w:tcW w:w="100" w:type="dxa"/>
            <w:vAlign w:val="bottom"/>
            <w:shd w:val="clear" w:color="auto" w:fill="CCEEFF"/>
          </w:tcPr>
          <w:p>
            <w:pPr>
              <w:spacing w:after="0"/>
              <w:rPr>
                <w:sz w:val="17"/>
                <w:szCs w:val="17"/>
                <w:color w:val="auto"/>
              </w:rPr>
            </w:pPr>
          </w:p>
        </w:tc>
      </w:tr>
      <w:tr>
        <w:trPr>
          <w:trHeight w:val="203"/>
        </w:trPr>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3,406,443</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2,131,392</w:t>
            </w:r>
          </w:p>
        </w:tc>
        <w:tc>
          <w:tcPr>
            <w:tcW w:w="100" w:type="dxa"/>
            <w:vAlign w:val="bottom"/>
          </w:tcPr>
          <w:p>
            <w:pPr>
              <w:spacing w:after="0"/>
              <w:rPr>
                <w:sz w:val="17"/>
                <w:szCs w:val="17"/>
                <w:color w:val="auto"/>
              </w:rPr>
            </w:pPr>
          </w:p>
        </w:tc>
      </w:tr>
      <w:tr>
        <w:trPr>
          <w:trHeight w:val="203"/>
        </w:trPr>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Administrative expenses</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22,206,455</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19,110,638</w:t>
            </w:r>
          </w:p>
        </w:tc>
        <w:tc>
          <w:tcPr>
            <w:tcW w:w="100" w:type="dxa"/>
            <w:vAlign w:val="bottom"/>
            <w:shd w:val="clear" w:color="auto" w:fill="CCEEFF"/>
          </w:tcPr>
          <w:p>
            <w:pPr>
              <w:spacing w:after="0"/>
              <w:rPr>
                <w:sz w:val="17"/>
                <w:szCs w:val="17"/>
                <w:color w:val="auto"/>
              </w:rPr>
            </w:pPr>
          </w:p>
        </w:tc>
      </w:tr>
      <w:tr>
        <w:trPr>
          <w:trHeight w:val="210"/>
        </w:trPr>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Legal settlement</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446,320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7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operating expenses</w:t>
            </w:r>
          </w:p>
        </w:tc>
        <w:tc>
          <w:tcPr>
            <w:tcW w:w="20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59,911,556</w:t>
            </w: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50,513,479</w:t>
            </w:r>
          </w:p>
        </w:tc>
        <w:tc>
          <w:tcPr>
            <w:tcW w:w="100" w:type="dxa"/>
            <w:vAlign w:val="bottom"/>
            <w:shd w:val="clear" w:color="auto" w:fill="CCEEFF"/>
          </w:tcPr>
          <w:p>
            <w:pPr>
              <w:spacing w:after="0"/>
              <w:rPr>
                <w:sz w:val="17"/>
                <w:szCs w:val="17"/>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2,096,323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2,563,747</w:t>
            </w:r>
          </w:p>
        </w:tc>
        <w:tc>
          <w:tcPr>
            <w:tcW w:w="100" w:type="dxa"/>
            <w:vAlign w:val="bottom"/>
          </w:tcPr>
          <w:p>
            <w:pPr>
              <w:spacing w:after="0"/>
              <w:rPr>
                <w:sz w:val="18"/>
                <w:szCs w:val="18"/>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263,523</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142,060</w:t>
            </w:r>
          </w:p>
        </w:tc>
        <w:tc>
          <w:tcPr>
            <w:tcW w:w="100" w:type="dxa"/>
            <w:vAlign w:val="bottom"/>
          </w:tcPr>
          <w:p>
            <w:pPr>
              <w:spacing w:after="0"/>
              <w:rPr>
                <w:sz w:val="17"/>
                <w:szCs w:val="17"/>
                <w:color w:val="auto"/>
              </w:rPr>
            </w:pPr>
          </w:p>
        </w:tc>
      </w:tr>
      <w:tr>
        <w:trPr>
          <w:trHeight w:val="203"/>
        </w:trPr>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(310,673)</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(326,582)</w:t>
            </w:r>
          </w:p>
        </w:tc>
      </w:tr>
      <w:tr>
        <w:trPr>
          <w:trHeight w:val="203"/>
        </w:trPr>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Other income, net</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(61,232)</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146,537</w:t>
            </w:r>
          </w:p>
        </w:tc>
        <w:tc>
          <w:tcPr>
            <w:tcW w:w="100" w:type="dxa"/>
            <w:vAlign w:val="bottom"/>
          </w:tcPr>
          <w:p>
            <w:pPr>
              <w:spacing w:after="0"/>
              <w:rPr>
                <w:sz w:val="17"/>
                <w:szCs w:val="17"/>
                <w:color w:val="auto"/>
              </w:rPr>
            </w:pPr>
          </w:p>
        </w:tc>
      </w:tr>
      <w:tr>
        <w:trPr>
          <w:trHeight w:val="27"/>
        </w:trPr>
        <w:tc>
          <w:tcPr>
            <w:tcW w:w="6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7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other expense, net</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(108,382)</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(37,985)</w:t>
            </w: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1,987,941</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2,525,762</w:t>
            </w:r>
          </w:p>
        </w:tc>
        <w:tc>
          <w:tcPr>
            <w:tcW w:w="100" w:type="dxa"/>
            <w:vAlign w:val="bottom"/>
          </w:tcPr>
          <w:p>
            <w:pPr>
              <w:spacing w:after="0"/>
              <w:rPr>
                <w:sz w:val="18"/>
                <w:szCs w:val="18"/>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0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1,407,936</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1,106,100</w:t>
            </w:r>
          </w:p>
        </w:tc>
        <w:tc>
          <w:tcPr>
            <w:tcW w:w="100" w:type="dxa"/>
            <w:vAlign w:val="bottom"/>
            <w:shd w:val="clear" w:color="auto" w:fill="CCEEFF"/>
          </w:tcPr>
          <w:p>
            <w:pPr>
              <w:spacing w:after="0"/>
              <w:rPr>
                <w:sz w:val="17"/>
                <w:szCs w:val="17"/>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Net income applicable to common shareholders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580,005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1,419,662</w:t>
            </w: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common share</w:t>
            </w:r>
          </w:p>
        </w:tc>
        <w:tc>
          <w:tcPr>
            <w:tcW w:w="21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0.07</w:t>
            </w:r>
          </w:p>
        </w:tc>
      </w:tr>
      <w:tr>
        <w:trPr>
          <w:trHeight w:val="20"/>
        </w:trPr>
        <w:tc>
          <w:tcPr>
            <w:tcW w:w="6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60" w:type="dxa"/>
            <w:vAlign w:val="bottom"/>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19,504,943</w:t>
            </w: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19,813,783</w:t>
            </w:r>
          </w:p>
        </w:tc>
        <w:tc>
          <w:tcPr>
            <w:tcW w:w="10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Fully diluted net income per common share</w:t>
            </w:r>
          </w:p>
        </w:tc>
        <w:tc>
          <w:tcPr>
            <w:tcW w:w="21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0.07</w:t>
            </w:r>
          </w:p>
        </w:tc>
      </w:tr>
      <w:tr>
        <w:trPr>
          <w:trHeight w:val="20"/>
        </w:trPr>
        <w:tc>
          <w:tcPr>
            <w:tcW w:w="6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60" w:type="dxa"/>
            <w:vAlign w:val="bottom"/>
          </w:tcPr>
          <w:p>
            <w:pPr>
              <w:spacing w:after="0" w:line="196" w:lineRule="exact"/>
              <w:rPr>
                <w:sz w:val="20"/>
                <w:szCs w:val="20"/>
                <w:color w:val="auto"/>
              </w:rPr>
            </w:pPr>
            <w:r>
              <w:rPr>
                <w:rFonts w:ascii="Arial" w:cs="Arial" w:eastAsia="Arial" w:hAnsi="Arial"/>
                <w:sz w:val="18"/>
                <w:szCs w:val="18"/>
                <w:color w:val="auto"/>
              </w:rPr>
              <w:t>Fully diluted weighted average number of shares outstanding</w:t>
            </w:r>
          </w:p>
        </w:tc>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19,787,461</w:t>
            </w: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19,914,954</w:t>
            </w:r>
          </w:p>
        </w:tc>
        <w:tc>
          <w:tcPr>
            <w:tcW w:w="10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PHC,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CLASS A</w:t>
            </w:r>
          </w:p>
        </w:tc>
        <w:tc>
          <w:tcPr>
            <w:tcW w:w="1040" w:type="dxa"/>
            <w:vAlign w:val="bottom"/>
            <w:gridSpan w:val="4"/>
          </w:tcPr>
          <w:p>
            <w:pPr>
              <w:ind w:left="420"/>
              <w:spacing w:after="0"/>
              <w:rPr>
                <w:sz w:val="20"/>
                <w:szCs w:val="20"/>
                <w:color w:val="auto"/>
              </w:rPr>
            </w:pPr>
            <w:r>
              <w:rPr>
                <w:rFonts w:ascii="Arial" w:cs="Arial" w:eastAsia="Arial" w:hAnsi="Arial"/>
                <w:sz w:val="14"/>
                <w:szCs w:val="14"/>
                <w:b w:val="1"/>
                <w:bCs w:val="1"/>
                <w:color w:val="auto"/>
                <w:w w:val="97"/>
              </w:rPr>
              <w:t>CLASS B</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ADDITIONAL</w:t>
            </w:r>
          </w:p>
        </w:tc>
        <w:tc>
          <w:tcPr>
            <w:tcW w:w="18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COMMON STOCK</w:t>
            </w: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TREASURY STOCK</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7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CAPITAL</w:t>
            </w:r>
          </w:p>
        </w:tc>
        <w:tc>
          <w:tcPr>
            <w:tcW w:w="8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Balance—June 30, 2009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19,840,793</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$ 198,408</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775,080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27,667,597</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w w:val="90"/>
              </w:rPr>
              <w:t>626,541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(1,125,707)</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(10,704,226)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16,043,823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221,404</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221,404</w:t>
            </w: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options exercised</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1,600</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1,620</w:t>
            </w:r>
          </w:p>
        </w:tc>
      </w:tr>
      <w:tr>
        <w:trPr>
          <w:trHeight w:val="148"/>
        </w:trPr>
        <w:tc>
          <w:tcPr>
            <w:tcW w:w="2740" w:type="dxa"/>
            <w:vAlign w:val="bottom"/>
          </w:tcPr>
          <w:p>
            <w:pPr>
              <w:spacing w:after="0" w:line="148" w:lineRule="exact"/>
              <w:rPr>
                <w:sz w:val="20"/>
                <w:szCs w:val="20"/>
                <w:color w:val="auto"/>
              </w:rPr>
            </w:pPr>
            <w:r>
              <w:rPr>
                <w:rFonts w:ascii="Arial" w:cs="Arial" w:eastAsia="Arial" w:hAnsi="Arial"/>
                <w:sz w:val="14"/>
                <w:szCs w:val="14"/>
                <w:color w:val="auto"/>
              </w:rPr>
              <w:t>Issuance of employee stock purchase plan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40" w:type="dxa"/>
            <w:vAlign w:val="bottom"/>
          </w:tcPr>
          <w:p>
            <w:pPr>
              <w:ind w:left="380"/>
              <w:spacing w:after="0" w:line="149" w:lineRule="exact"/>
              <w:rPr>
                <w:sz w:val="20"/>
                <w:szCs w:val="20"/>
                <w:color w:val="auto"/>
              </w:rPr>
            </w:pPr>
            <w:r>
              <w:rPr>
                <w:rFonts w:ascii="Arial" w:cs="Arial" w:eastAsia="Arial" w:hAnsi="Arial"/>
                <w:sz w:val="14"/>
                <w:szCs w:val="14"/>
                <w:color w:val="auto"/>
              </w:rPr>
              <w:t>shares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24,974</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36,935</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37,185</w:t>
            </w: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Conversion from Class B to Class A</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414,057</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(467,700)</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(467,700)</w:t>
            </w: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1,419,662</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1,419,662</w:t>
            </w:r>
          </w:p>
        </w:tc>
        <w:tc>
          <w:tcPr>
            <w:tcW w:w="100" w:type="dxa"/>
            <w:vAlign w:val="bottom"/>
            <w:shd w:val="clear" w:color="auto" w:fill="CCEEFF"/>
          </w:tcPr>
          <w:p>
            <w:pPr>
              <w:spacing w:after="0"/>
              <w:rPr>
                <w:sz w:val="12"/>
                <w:szCs w:val="12"/>
                <w:color w:val="auto"/>
              </w:rPr>
            </w:pPr>
          </w:p>
        </w:tc>
      </w:tr>
      <w:tr>
        <w:trPr>
          <w:trHeight w:val="156"/>
        </w:trPr>
        <w:tc>
          <w:tcPr>
            <w:tcW w:w="2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Balance—June 30, 2010</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19,867,826</w:t>
            </w:r>
          </w:p>
        </w:tc>
        <w:tc>
          <w:tcPr>
            <w:tcW w:w="2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198,679</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775,021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7,750</w:t>
            </w: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27,927,536</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1,040,598</w:t>
            </w:r>
          </w:p>
        </w:tc>
        <w:tc>
          <w:tcPr>
            <w:tcW w:w="10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(1,593,407)</w:t>
            </w:r>
          </w:p>
        </w:tc>
        <w:tc>
          <w:tcPr>
            <w:tcW w:w="200" w:type="dxa"/>
            <w:vAlign w:val="bottom"/>
          </w:tcPr>
          <w:p>
            <w:pPr>
              <w:spacing w:after="0"/>
              <w:rPr>
                <w:sz w:val="13"/>
                <w:szCs w:val="13"/>
                <w:color w:val="auto"/>
              </w:rPr>
            </w:pPr>
          </w:p>
        </w:tc>
        <w:tc>
          <w:tcPr>
            <w:tcW w:w="11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(9,284,564)</w:t>
            </w: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17,255,994</w:t>
            </w:r>
          </w:p>
        </w:tc>
        <w:tc>
          <w:tcPr>
            <w:tcW w:w="100" w:type="dxa"/>
            <w:vAlign w:val="bottom"/>
          </w:tcPr>
          <w:p>
            <w:pPr>
              <w:spacing w:after="0"/>
              <w:rPr>
                <w:sz w:val="13"/>
                <w:szCs w:val="13"/>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164,916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164,916</w:t>
            </w: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Issuance of shares for options exercised</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95,000</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102,790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103,740</w:t>
            </w: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warrants issued</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11,626</w:t>
            </w:r>
          </w:p>
        </w:tc>
      </w:tr>
      <w:tr>
        <w:trPr>
          <w:trHeight w:val="148"/>
        </w:trPr>
        <w:tc>
          <w:tcPr>
            <w:tcW w:w="2740" w:type="dxa"/>
            <w:vAlign w:val="bottom"/>
          </w:tcPr>
          <w:p>
            <w:pPr>
              <w:spacing w:after="0" w:line="148" w:lineRule="exact"/>
              <w:rPr>
                <w:sz w:val="20"/>
                <w:szCs w:val="20"/>
                <w:color w:val="auto"/>
              </w:rPr>
            </w:pPr>
            <w:r>
              <w:rPr>
                <w:rFonts w:ascii="Arial" w:cs="Arial" w:eastAsia="Arial" w:hAnsi="Arial"/>
                <w:sz w:val="14"/>
                <w:szCs w:val="14"/>
                <w:color w:val="auto"/>
              </w:rPr>
              <w:t>Issuance of employee stock purchase plan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40" w:type="dxa"/>
            <w:vAlign w:val="bottom"/>
          </w:tcPr>
          <w:p>
            <w:pPr>
              <w:ind w:left="380"/>
              <w:spacing w:after="0" w:line="149" w:lineRule="exact"/>
              <w:rPr>
                <w:sz w:val="20"/>
                <w:szCs w:val="20"/>
                <w:color w:val="auto"/>
              </w:rPr>
            </w:pPr>
            <w:r>
              <w:rPr>
                <w:rFonts w:ascii="Arial" w:cs="Arial" w:eastAsia="Arial" w:hAnsi="Arial"/>
                <w:sz w:val="14"/>
                <w:szCs w:val="14"/>
                <w:color w:val="auto"/>
              </w:rPr>
              <w:t>shares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14,081</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13,967</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14,107</w:t>
            </w: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173,495</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(215,327)</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(215,327)</w:t>
            </w: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Conversion from Class B to Class A</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1,304</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580,005</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580,005</w:t>
            </w:r>
          </w:p>
        </w:tc>
        <w:tc>
          <w:tcPr>
            <w:tcW w:w="100" w:type="dxa"/>
            <w:vAlign w:val="bottom"/>
            <w:shd w:val="clear" w:color="auto" w:fill="CCEEFF"/>
          </w:tcPr>
          <w:p>
            <w:pPr>
              <w:spacing w:after="0"/>
              <w:rPr>
                <w:sz w:val="12"/>
                <w:szCs w:val="12"/>
                <w:color w:val="auto"/>
              </w:rPr>
            </w:pPr>
          </w:p>
        </w:tc>
      </w:tr>
      <w:tr>
        <w:trPr>
          <w:trHeight w:val="156"/>
        </w:trPr>
        <w:tc>
          <w:tcPr>
            <w:tcW w:w="2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Balance—June 30, 2011</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19,978,211</w:t>
            </w:r>
          </w:p>
        </w:tc>
        <w:tc>
          <w:tcPr>
            <w:tcW w:w="2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$ 199,782</w:t>
            </w:r>
          </w:p>
        </w:tc>
        <w:tc>
          <w:tcPr>
            <w:tcW w:w="180" w:type="dxa"/>
            <w:vAlign w:val="bottom"/>
          </w:tcPr>
          <w:p>
            <w:pPr>
              <w:spacing w:after="0"/>
              <w:rPr>
                <w:sz w:val="13"/>
                <w:szCs w:val="13"/>
                <w:color w:val="auto"/>
              </w:rPr>
            </w:pP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773,717</w:t>
            </w:r>
          </w:p>
        </w:tc>
        <w:tc>
          <w:tcPr>
            <w:tcW w:w="3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7,737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28,220,835</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1,214,093</w:t>
            </w:r>
          </w:p>
        </w:tc>
        <w:tc>
          <w:tcPr>
            <w:tcW w:w="10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 (1,808,734)</w:t>
            </w: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(8,704,559)</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17,915,061</w:t>
            </w:r>
          </w:p>
        </w:tc>
        <w:tc>
          <w:tcPr>
            <w:tcW w:w="10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9"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PHC,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FOR THE YEARS ENDED</w:t>
      </w:r>
    </w:p>
    <w:p>
      <w:pPr>
        <w:jc w:val="center"/>
        <w:ind w:left="8840"/>
        <w:spacing w:after="0" w:line="227"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30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580,005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1,419,662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Non-cash (gain)/loss on equity method investments</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(25,864)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1,105,249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1,156,569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146,531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146,531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73,708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185,093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Fair value of warrants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11,626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164,916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221,404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3,406,443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2,131,392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Accounts and other receivables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5"/>
              </w:rPr>
              <w:t>(6,256,335)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(4,475,536)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2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(70,382)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524,438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126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670,548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656,755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1,408,237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768,017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40" w:type="dxa"/>
            <w:vAlign w:val="bottom"/>
            <w:gridSpan w:val="2"/>
          </w:tcPr>
          <w:p>
            <w:pPr>
              <w:spacing w:after="0"/>
              <w:rPr>
                <w:sz w:val="20"/>
                <w:szCs w:val="20"/>
                <w:color w:val="auto"/>
              </w:rPr>
            </w:pPr>
            <w:r>
              <w:rPr>
                <w:rFonts w:ascii="Arial" w:cs="Arial" w:eastAsia="Arial" w:hAnsi="Arial"/>
                <w:sz w:val="18"/>
                <w:szCs w:val="18"/>
                <w:color w:val="auto"/>
              </w:rPr>
              <w:t>Net cash provided by operations</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1,739,120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2,193,930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5"/>
              </w:rPr>
              <w:t>(1,081,810)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(751,843)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Purchase of licenses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(52,466)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Equity investment in unconsolidated subsidiary</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72,980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Investment in note receivable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5"/>
              </w:rPr>
              <w:t>(1,001,934)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Principal receipts on note receivable</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162,685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5"/>
              </w:rPr>
              <w:t>(1,900,545)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(740,523)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Repayment on revolving debt, net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478,852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472,621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Principal payments on long-term debt and capital lease obligations</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(796,652)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(156,199)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Cash paid for deferred financing costs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(295,052)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(215,327)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(467,700)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Proceeds from issuance of common stock, net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117,847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38,805</w:t>
            </w:r>
          </w:p>
        </w:tc>
        <w:tc>
          <w:tcPr>
            <w:tcW w:w="0" w:type="dxa"/>
            <w:vAlign w:val="bottom"/>
          </w:tcPr>
          <w:p>
            <w:pPr>
              <w:spacing w:after="0"/>
              <w:rPr>
                <w:sz w:val="1"/>
                <w:szCs w:val="1"/>
                <w:color w:val="auto"/>
              </w:rPr>
            </w:pPr>
          </w:p>
        </w:tc>
      </w:tr>
      <w:tr>
        <w:trPr>
          <w:trHeight w:val="20"/>
        </w:trPr>
        <w:tc>
          <w:tcPr>
            <w:tcW w:w="89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(710,332)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(112,473)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(871,757)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1,340,934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spacing w:after="0" w:line="202" w:lineRule="exact"/>
              <w:rPr>
                <w:sz w:val="20"/>
                <w:szCs w:val="20"/>
                <w:color w:val="auto"/>
              </w:rPr>
            </w:pPr>
            <w:r>
              <w:rPr>
                <w:rFonts w:ascii="Arial" w:cs="Arial" w:eastAsia="Arial" w:hAnsi="Arial"/>
                <w:sz w:val="18"/>
                <w:szCs w:val="18"/>
                <w:color w:val="auto"/>
              </w:rPr>
              <w:t>Beginning cash and cash equivalents</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4,540,278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3,199,344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end of year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3,668,521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4,540,278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ind w:left="620"/>
              <w:spacing w:after="0" w:line="202" w:lineRule="exact"/>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164,141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180,048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1,248,147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864,525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 of non-cash financing and investing transactions: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Conversion of Class B to Class A common stock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ind w:left="620"/>
              <w:spacing w:after="0"/>
              <w:rPr>
                <w:sz w:val="20"/>
                <w:szCs w:val="20"/>
                <w:color w:val="auto"/>
              </w:rPr>
            </w:pPr>
            <w:r>
              <w:rPr>
                <w:rFonts w:ascii="Arial" w:cs="Arial" w:eastAsia="Arial" w:hAnsi="Arial"/>
                <w:sz w:val="18"/>
                <w:szCs w:val="18"/>
                <w:color w:val="auto"/>
              </w:rPr>
              <w:t>Accrued and unpaid deferred financing costs</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211,922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PHC,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June 30, 2011</w:t>
      </w:r>
    </w:p>
    <w:p>
      <w:pPr>
        <w:spacing w:after="0" w:line="239" w:lineRule="exact"/>
        <w:rPr>
          <w:sz w:val="20"/>
          <w:szCs w:val="20"/>
          <w:color w:val="auto"/>
        </w:rPr>
      </w:pPr>
    </w:p>
    <w:p>
      <w:pPr>
        <w:ind w:right="4320"/>
        <w:spacing w:after="0" w:line="294" w:lineRule="auto"/>
        <w:rPr>
          <w:sz w:val="20"/>
          <w:szCs w:val="20"/>
          <w:color w:val="auto"/>
        </w:rPr>
      </w:pPr>
      <w:r>
        <w:rPr>
          <w:rFonts w:ascii="Arial" w:cs="Arial" w:eastAsia="Arial" w:hAnsi="Arial"/>
          <w:sz w:val="18"/>
          <w:szCs w:val="18"/>
          <w:b w:val="1"/>
          <w:bCs w:val="1"/>
          <w:color w:val="auto"/>
        </w:rPr>
        <w:t xml:space="preserve">NOTE A—THE COMPANY AND SUMMARY OF SIGNIFICANT ACCOUNTING POLICIES </w:t>
      </w:r>
      <w:r>
        <w:rPr>
          <w:rFonts w:ascii="Arial" w:cs="Arial" w:eastAsia="Arial" w:hAnsi="Arial"/>
          <w:sz w:val="18"/>
          <w:szCs w:val="18"/>
          <w:b w:val="1"/>
          <w:bCs w:val="1"/>
          <w:i w:val="1"/>
          <w:iCs w:val="1"/>
          <w:color w:val="auto"/>
        </w:rPr>
        <w:t>Operations and business segments:</w:t>
      </w:r>
    </w:p>
    <w:p>
      <w:pPr>
        <w:spacing w:after="0" w:line="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PHC, Inc. and subsidiaries, (“PHC” or the “Company”) is incorporated in the Commonwealth of Massachusetts. The Company is a national healthcare company which operates subsidiaries specializing in behavioral health services including the treatment of substance abuse, which includes alcohol and drug dependency and related disorders and the provision of psychiatric services. The Company also operates help lines for employee assistance programs, call centers for state and local programs and provides management, administrative and online behavioral health services. The Company primarily operates under three business segments:</w:t>
      </w:r>
    </w:p>
    <w:p>
      <w:pPr>
        <w:spacing w:after="0" w:line="117" w:lineRule="exact"/>
        <w:rPr>
          <w:sz w:val="20"/>
          <w:szCs w:val="20"/>
          <w:color w:val="auto"/>
        </w:rPr>
      </w:pPr>
    </w:p>
    <w:p>
      <w:pPr>
        <w:ind w:left="360" w:hanging="10"/>
        <w:spacing w:after="0" w:line="236" w:lineRule="auto"/>
        <w:tabs>
          <w:tab w:leader="none" w:pos="623"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Behavioral health treatment services,</w:t>
      </w:r>
      <w:r>
        <w:rPr>
          <w:rFonts w:ascii="Arial" w:cs="Arial" w:eastAsia="Arial" w:hAnsi="Arial"/>
          <w:sz w:val="18"/>
          <w:szCs w:val="18"/>
          <w:color w:val="auto"/>
        </w:rPr>
        <w:t xml:space="preserve"> including two substance abuse treatment facilities: Highland Ridge Hospital, located in Salt Lake City, Utah, which also treats psychiatric patients, Mount Regis Center, located in Salem, Virginia and Renaissance Recovery and eleven psychiatric treatment locations which include Harbor Oaks Hospital, a 71-bed psychiatric hospital located in New Baltimore, Michigan, Detroit Behavioral Institute, a 66-bed residential facility in Detroit, Michigan, a 55-bed psychiatric hospital in Las Vegas, Nevada and eight outpatient behavioral health locations (one in New Baltimore, Michigan operating in conjunction with Harbor Oaks Hospital, three in Las Vegas, Nevada as Harmony Healthcare, three locations operating as Pioneer Counseling Center in the Detroit, Michigan metropolitan area) and one location in Pennsylvania operating as Wellplace;</w:t>
      </w:r>
    </w:p>
    <w:p>
      <w:pPr>
        <w:spacing w:after="0" w:line="110" w:lineRule="exact"/>
        <w:rPr>
          <w:rFonts w:ascii="Arial" w:cs="Arial" w:eastAsia="Arial" w:hAnsi="Arial"/>
          <w:sz w:val="18"/>
          <w:szCs w:val="18"/>
          <w:color w:val="auto"/>
        </w:rPr>
      </w:pPr>
    </w:p>
    <w:p>
      <w:pPr>
        <w:ind w:left="620" w:hanging="270"/>
        <w:spacing w:after="0"/>
        <w:tabs>
          <w:tab w:leader="none" w:pos="6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Call center and help line services (contract services)</w:t>
      </w:r>
      <w:r>
        <w:rPr>
          <w:rFonts w:ascii="Arial" w:cs="Arial" w:eastAsia="Arial" w:hAnsi="Arial"/>
          <w:sz w:val="18"/>
          <w:szCs w:val="18"/>
          <w:color w:val="auto"/>
        </w:rPr>
        <w:t>, including two call centers, one operating in Midvale, Utah and one in Detroit,</w:t>
      </w:r>
    </w:p>
    <w:p>
      <w:pPr>
        <w:ind w:left="360" w:right="460"/>
        <w:spacing w:after="0" w:line="239" w:lineRule="auto"/>
        <w:rPr>
          <w:rFonts w:ascii="Arial" w:cs="Arial" w:eastAsia="Arial" w:hAnsi="Arial"/>
          <w:sz w:val="18"/>
          <w:szCs w:val="18"/>
          <w:color w:val="auto"/>
        </w:rPr>
      </w:pPr>
      <w:r>
        <w:rPr>
          <w:rFonts w:ascii="Arial" w:cs="Arial" w:eastAsia="Arial" w:hAnsi="Arial"/>
          <w:sz w:val="18"/>
          <w:szCs w:val="18"/>
          <w:color w:val="auto"/>
        </w:rPr>
        <w:t>Michigan. The Company provides help line services through contracts with major railroads and a call center contract with Wayne County, Michigan. The call centers both operate under the brand name Wellplace; and</w:t>
      </w:r>
    </w:p>
    <w:p>
      <w:pPr>
        <w:spacing w:after="0" w:line="114" w:lineRule="exact"/>
        <w:rPr>
          <w:rFonts w:ascii="Arial" w:cs="Arial" w:eastAsia="Arial" w:hAnsi="Arial"/>
          <w:sz w:val="18"/>
          <w:szCs w:val="18"/>
          <w:color w:val="auto"/>
        </w:rPr>
      </w:pPr>
    </w:p>
    <w:p>
      <w:pPr>
        <w:ind w:left="360" w:right="100" w:hanging="10"/>
        <w:spacing w:after="0" w:line="238" w:lineRule="auto"/>
        <w:tabs>
          <w:tab w:leader="none" w:pos="623"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Behavioral health administrative services</w:t>
      </w:r>
      <w:r>
        <w:rPr>
          <w:rFonts w:ascii="Arial" w:cs="Arial" w:eastAsia="Arial" w:hAnsi="Arial"/>
          <w:sz w:val="18"/>
          <w:szCs w:val="18"/>
          <w:color w:val="auto"/>
        </w:rPr>
        <w:t>, including delivery of management and administrative and online services. The parent company provides management and administrative services for all of its subsidiaries and online services for its behavioral health treatment subsidiaries and its call center subsidiaries. It also provides behavioral health information through its website, Wellplace.com.</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4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material intercompany accounts and transactions have been eliminated in consolidation. In January 2007, the Company purchased a 15.24% membership interest in the Seven Hills Psych Center, LLC, the entity that is the landlord of the Seven Hills Hospital subsidiary. In March 2008, the Company, through its subsidiary PHC of Nevada, Inc., purchased a 25% membership interest in Behavioral Health Partners, LLC, the entity that is the landlord of a new outpatient location for Harmony Healthcare. These investments are accounted for under the equity method of accounting and are included in other assets on the accompanying consolidated balance sheets. (Note 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accounts receivable:</w:t>
      </w:r>
    </w:p>
    <w:p>
      <w:pPr>
        <w:spacing w:after="0" w:line="4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Patient care revenues and accounts receivable are recorded at established billing rates or at the amount realizable under agreements with third-party payors, including Medicaid and Medicare. Revenues under third-party payor agreements are subject to examination and contractual adjustment, and amounts realizable may change due to periodic changes in the regulatory environment. Provisions for estimated third party payor settlements are provided in the period the related services are rendered. Differences between the amounts provided and subsequent settlements are recorded in operations in the period of settlement. Amounts due as a result of cost report settlements are recorded and listed separately on the consolidated balance sheets as “Other receivables”. The provision for contractual allowances is deducted directly from revenue and the net revenue amount is recorded as accounts receivable. The allowance for doubtful accounts does not include the contractual allowances.</w:t>
      </w:r>
    </w:p>
    <w:p>
      <w:pPr>
        <w:spacing w:after="0" w:line="9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Medicare reimbursements are based on established rates depending on the level of care provided and are adjusted prospectively. Effective for fiscal years beginning after January 1, 2005, the prospective payment system (“PPS”) was brought into effect for all psychiatric services paid through the Medicare program. The new system changed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69" w:right="259" w:bottom="1440" w:gutter="0" w:footer="0" w:header="0"/>
        </w:sectPr>
      </w:pPr>
    </w:p>
    <w:bookmarkStart w:id="151" w:name="page152"/>
    <w:bookmarkEnd w:id="151"/>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TEFRA-based (Tax Equity and Fiscal Responsibility Act of 1982) system to the new variable per diem-based system. The new rates are based on a statistical model that relates per diem resource use for beneficiaries to patient and facility characteristics available from “Center for Medicare and Medicaid Services” (“CMS’s”), administrative data base (cost reports and claims data). Patient-specific characteristics include, but are not limited to, principal diagnoses, comorbid conditions, and age. Facility specific variables include an area wage index, rural setting, and the extent of teaching activity. This change was phased in over three fiscal years with a percentage of payments being made at the old rates and a percentage at the new rates. The Company has been operating fully under PPS since fiscal 2009.</w:t>
      </w:r>
    </w:p>
    <w:p>
      <w:pPr>
        <w:spacing w:after="0" w:line="11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Although Medicare reimbursement rates are based 100% on PPS, the Company will continue to file cost reports annually as required by Medicare to determine ongoing rates and recoup any adjustments for Medicare bad debt. These cost reports are routinely audited on an annual basis. The Company believes that adequate provision has been made in the financial statements for any adjustments that might result from the outcome of Medicare audits. Approximately 27% of the Company’s total revenue is derived from Medicare and Medicaid payors for each of the years ended June 30, 2011 and 2010. Differences between the amounts provided and subsequent settlements are recorded in operations in the year of the settlement. To date, settlement adjustments have not been material.</w:t>
      </w:r>
    </w:p>
    <w:p>
      <w:pPr>
        <w:spacing w:after="0" w:line="11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Patient care revenue is recognized as services are rendered, provided there exists persuasive evidence of an arrangement, the fee is fixed or determinable and collectability of the related receivable is reasonably assured. Pre—admission screening of financial responsibility of the patient, insurance carrier or other contractually obligated payor, provides the Company the net expected collectable patient revenue to be recorded based on contractual arrangements with the payor or pre-admission agreements with the patient. Revenue is not recognized for emergency provision of services for indigent patients until authorization for the services can be obtained.</w:t>
      </w:r>
    </w:p>
    <w:p>
      <w:pPr>
        <w:spacing w:after="0" w:line="11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Contract support service revenue is a result of fixed fee contracts to provide telephone support. Revenue for these services is recognized ratably over the service period.</w:t>
      </w:r>
    </w:p>
    <w:p>
      <w:pPr>
        <w:spacing w:after="0" w:line="1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Long-term assets include non-current accounts receivable, other receivables and other assets (see below for description of other assets). Non-current accounts receivable consist of amounts due from former patients for service. This amount represents estimated amounts collectable under supplemental payment agreements, arranged by the Company or its collection agencies, entered into because of the patients’ inability to pay under normal payment terms. All of these receivables have been extended beyond their original due date. Reserves are provided for accounts of former patients that do not comply with these supplemental payment agreements and accounts are written off when deemed unrecoverable. Other receivables included as long-term assets include the non-current portion of loans provided to employees and amounts due on a contractual agreement.</w:t>
      </w:r>
    </w:p>
    <w:p>
      <w:pPr>
        <w:spacing w:after="0" w:line="11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Charity care amounted to approximately $231,000 and $305,000 for the years ended June 30, 2011 and 2010, respectively. Patient care revenue is presented net of charity care in the accompanying consolidated statements of income.</w:t>
      </w:r>
    </w:p>
    <w:p>
      <w:pPr>
        <w:spacing w:after="0" w:line="11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Company had accounts receivable from Medicaid and Medicare of approximately $3,447,240 at June 30, 2011 and $2,333,300 at June 30, 2010. Included in accounts receivable is approximately $1,212,460 and $1,255,000 in unbilled receivables at June 30, 2011 and 2010,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records an allowance for uncollectible accounts which reduces the stated value of receivables on the balance sheet. This allowance is calculated based on a percentage of each aged accounts receivable category beginning at 0-5% on current accounts and increasing incrementally for each additional 30 days the account remains outstanding until the account is over 300 days outstanding, at which time the provision is 100% of the outstanding balance. These percentages vary by facility based on each facility’s experience in and expectations for collecting older receivables. The Company compares this required reserve amount to the current “Allowance for doubtful accounts” to determine the required bad debt expense for the period. This method of determining the required “Allowance for doubtful accounts” has historically resulted in an allowance for doubtful accounts of 20% or greater of the total outstanding receivables balance, which the Company believes to be a reasonable valuation of its accounts receivable.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91" w:right="2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Estimates and assumptions:</w:t>
      </w:r>
    </w:p>
    <w:p>
      <w:pPr>
        <w:spacing w:after="0" w:line="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 of assets and liabilities and disclosure of contingent assets and liabilities at the date of the financial statements and the reported amounts of revenue and expenses during the reporting period. Actual results could differ from those estimates. Such estimates include patient care billing rates, realizability of receivables from third-party payors, rates for Medicare and Medicaid, the realization of deferred tax benefits and the valuation of goodwill, which represents a significant portion of the estimates made by management.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clients:</w:t>
      </w:r>
    </w:p>
    <w:p>
      <w:pPr>
        <w:spacing w:after="0" w:line="4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relies on contracts with more than ten clients to maintain patient census at its inpatient facilities and patients for our outpatient operations and our employee assistance programs. The loss of any of such contracts would impact the Company’s ability to meet its fixed costs. The Company has entered into relationships with large employers, health care institutions, insurance companies and labor unions to provide treatment for psychiatric disorders, chemical dependency and substance abuse in conjunction with employer sponsored employee assistance programs. The employees of such institutions may be referred to the Company for treatment, the cost of which is reimbursed on a per diem or per capita basis. Approximately 20% of the Company’s total revenue is derived from these clients for all periods presented. No one of these large employers, health care institutions or labor unions individually accounts for 10% or more of the Company’s consolidated revenues, but the loss of any of these clients would require the Company to expend considerable effort to replace patient referrals and would result in revenue and attendant losses.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original maturities of less than three months.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are stated at cost. Depreciation is provided over the estimated useful lives of the assets using the straight-line method.</w:t>
      </w:r>
    </w:p>
    <w:p>
      <w:pPr>
        <w:spacing w:after="0"/>
        <w:rPr>
          <w:sz w:val="20"/>
          <w:szCs w:val="20"/>
          <w:color w:val="auto"/>
        </w:rPr>
      </w:pPr>
      <w:r>
        <w:rPr>
          <w:rFonts w:ascii="Arial" w:cs="Arial" w:eastAsia="Arial" w:hAnsi="Arial"/>
          <w:sz w:val="18"/>
          <w:szCs w:val="18"/>
          <w:color w:val="auto"/>
        </w:rPr>
        <w:t>The estimated useful lives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5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96"/>
        </w:trPr>
        <w:tc>
          <w:tcPr>
            <w:tcW w:w="6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Buildings</w:t>
            </w:r>
          </w:p>
        </w:tc>
        <w:tc>
          <w:tcPr>
            <w:tcW w:w="4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39 years</w:t>
            </w:r>
          </w:p>
        </w:tc>
      </w:tr>
      <w:tr>
        <w:trPr>
          <w:trHeight w:val="203"/>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equipment</w:t>
            </w:r>
          </w:p>
        </w:tc>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3 through 10 years</w:t>
            </w:r>
          </w:p>
        </w:tc>
      </w:tr>
      <w:tr>
        <w:trPr>
          <w:trHeight w:val="203"/>
        </w:trPr>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Motor vehicles</w:t>
            </w:r>
          </w:p>
        </w:tc>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5 years</w:t>
            </w:r>
          </w:p>
        </w:tc>
      </w:tr>
      <w:tr>
        <w:trPr>
          <w:trHeight w:val="214"/>
        </w:trPr>
        <w:tc>
          <w:tcPr>
            <w:tcW w:w="65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900" w:type="dxa"/>
            <w:vAlign w:val="bottom"/>
            <w:gridSpan w:val="2"/>
          </w:tcPr>
          <w:p>
            <w:pPr>
              <w:spacing w:after="0"/>
              <w:rPr>
                <w:sz w:val="20"/>
                <w:szCs w:val="20"/>
                <w:color w:val="auto"/>
              </w:rPr>
            </w:pPr>
            <w:r>
              <w:rPr>
                <w:rFonts w:ascii="Arial" w:cs="Arial" w:eastAsia="Arial" w:hAnsi="Arial"/>
                <w:sz w:val="18"/>
                <w:szCs w:val="18"/>
                <w:color w:val="auto"/>
              </w:rPr>
              <w:t>Lesser of useful life or term of lease (2 to 10 years)</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4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Other assets consists of deposits, deferred expenses advances, investment in Seven Hills LLC, investment in Behavioral Health Partners, LLC, software license fees, and acquired software which is being amortized over three to seven years based on its estimated useful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4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reviews the carrying values of its long-lived assets, other than goodwill, for possible impairment whenever events or changes in circumstances indicate that the carrying amounts of the assets may not be recoverable. Any long-lived assets held for disposal are reported at the lower of their carrying amounts or fair value less costs to sell. The Company believes that the carrying value of its long-lived assets is fully realizable at June 30, 2011.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4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Accounting Standards Codification (“ASC”) 820-10-65, “Fair Value Measurements and Disclosures”, defines fair value, provides guidance for measuring fair value and requires certain disclosures. This statement applies under other accounting pronouncements that require or permit fair value measurements. The statement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 ASC 820-10-65 defines fair value based upon an exit price model. ASC 820-10-65 discusses valuation techniques, such as the market approach (comparable market prices), the income approach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1" w:right="239" w:bottom="1440" w:gutter="0" w:footer="0" w:header="0"/>
        </w:sectPr>
      </w:pPr>
    </w:p>
    <w:bookmarkStart w:id="153" w:name="page154"/>
    <w:bookmarkEnd w:id="153"/>
    <w:p>
      <w:pPr>
        <w:jc w:val="both"/>
        <w:ind w:right="2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(present value of future income or cash flow), and the cost approach (cost to replace the service capacity of an asset or replacement cost). The statement utilizes a fair value hierarchy that prioritizes the inputs to valuation techniques used to measure fair value into three broad levels. The following is a brief description of those three levels:</w:t>
      </w:r>
    </w:p>
    <w:p>
      <w:pPr>
        <w:spacing w:after="0" w:line="27" w:lineRule="exact"/>
        <w:rPr>
          <w:sz w:val="20"/>
          <w:szCs w:val="20"/>
          <w:color w:val="auto"/>
        </w:rPr>
      </w:pPr>
    </w:p>
    <w:p>
      <w:pPr>
        <w:ind w:left="800" w:hanging="454"/>
        <w:spacing w:after="0"/>
        <w:tabs>
          <w:tab w:leader="none" w:pos="800" w:val="left"/>
        </w:tabs>
        <w:numPr>
          <w:ilvl w:val="0"/>
          <w:numId w:val="144"/>
        </w:numPr>
        <w:rPr>
          <w:rFonts w:ascii="Arial" w:cs="Arial" w:eastAsia="Arial" w:hAnsi="Arial"/>
          <w:sz w:val="27"/>
          <w:szCs w:val="27"/>
          <w:color w:val="auto"/>
          <w:vertAlign w:val="superscript"/>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for identical assets or liabilities.</w:t>
      </w:r>
    </w:p>
    <w:p>
      <w:pPr>
        <w:spacing w:after="0" w:line="18" w:lineRule="exact"/>
        <w:rPr>
          <w:rFonts w:ascii="Arial" w:cs="Arial" w:eastAsia="Arial" w:hAnsi="Arial"/>
          <w:sz w:val="27"/>
          <w:szCs w:val="27"/>
          <w:color w:val="auto"/>
          <w:vertAlign w:val="superscript"/>
        </w:rPr>
      </w:pPr>
    </w:p>
    <w:p>
      <w:pPr>
        <w:ind w:left="800" w:right="100" w:hanging="454"/>
        <w:spacing w:after="0" w:line="204" w:lineRule="auto"/>
        <w:tabs>
          <w:tab w:leader="none" w:pos="800" w:val="left"/>
        </w:tabs>
        <w:numPr>
          <w:ilvl w:val="0"/>
          <w:numId w:val="144"/>
        </w:numPr>
        <w:rPr>
          <w:rFonts w:ascii="Arial" w:cs="Arial" w:eastAsia="Arial" w:hAnsi="Arial"/>
          <w:sz w:val="27"/>
          <w:szCs w:val="27"/>
          <w:color w:val="auto"/>
          <w:vertAlign w:val="superscript"/>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quoted prices, that are observable for the asset or liability, either directly or indirectly. These include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and quoted prices for identical or similar assets or liabilities in markets that are not active.</w:t>
      </w:r>
    </w:p>
    <w:p>
      <w:pPr>
        <w:ind w:left="800" w:hanging="454"/>
        <w:spacing w:after="0" w:line="184" w:lineRule="auto"/>
        <w:tabs>
          <w:tab w:leader="none" w:pos="800" w:val="left"/>
        </w:tabs>
        <w:numPr>
          <w:ilvl w:val="0"/>
          <w:numId w:val="144"/>
        </w:numPr>
        <w:rPr>
          <w:rFonts w:ascii="Arial" w:cs="Arial" w:eastAsia="Arial" w:hAnsi="Arial"/>
          <w:sz w:val="26"/>
          <w:szCs w:val="26"/>
          <w:color w:val="auto"/>
          <w:vertAlign w:val="superscript"/>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Unobservable inputs that reflect the reporting entity’s own assumptions.</w:t>
      </w:r>
    </w:p>
    <w:p>
      <w:pPr>
        <w:spacing w:after="0" w:line="11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Company had money market funds stated at fair market value, of $516,573 and $2,504,047 at June 30, 2011 and 2010, respectively, that were measured using Level 1 inputs.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income per share:</w:t>
      </w:r>
    </w:p>
    <w:p>
      <w:pPr>
        <w:spacing w:after="0" w:line="43"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Income per share is computed by dividing the income applicable to common shareholders by the weighted average number of shares of both classes of common stock outstanding for each fiscal year. Class B Common Stock has additional voting rights. All dilutive common stock equivalents have been included in the calculation of diluted earnings per share for the fiscal years ended June 30, 2011 and 2010 using the treasury stock method.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used in the computation of earnings per share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900" w:type="dxa"/>
            <w:vAlign w:val="bottom"/>
          </w:tcPr>
          <w:p>
            <w:pPr>
              <w:spacing w:after="0"/>
              <w:rPr>
                <w:sz w:val="14"/>
                <w:szCs w:val="14"/>
                <w:color w:val="auto"/>
              </w:rPr>
            </w:pPr>
          </w:p>
        </w:tc>
        <w:tc>
          <w:tcPr>
            <w:tcW w:w="252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YEARS ENDED JUNE 30,</w:t>
            </w:r>
          </w:p>
        </w:tc>
      </w:tr>
      <w:tr>
        <w:trPr>
          <w:trHeight w:val="142"/>
        </w:trPr>
        <w:tc>
          <w:tcPr>
            <w:tcW w:w="89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outstanding—basic</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19,504,943</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19,813,783</w:t>
            </w:r>
          </w:p>
        </w:tc>
        <w:tc>
          <w:tcPr>
            <w:tcW w:w="120" w:type="dxa"/>
            <w:vAlign w:val="bottom"/>
            <w:shd w:val="clear" w:color="auto" w:fill="CCEEFF"/>
          </w:tcPr>
          <w:p>
            <w:pPr>
              <w:spacing w:after="0"/>
              <w:rPr>
                <w:sz w:val="17"/>
                <w:szCs w:val="17"/>
                <w:color w:val="auto"/>
              </w:rPr>
            </w:pPr>
          </w:p>
        </w:tc>
      </w:tr>
      <w:tr>
        <w:trPr>
          <w:trHeight w:val="210"/>
        </w:trPr>
        <w:tc>
          <w:tcPr>
            <w:tcW w:w="8900" w:type="dxa"/>
            <w:vAlign w:val="bottom"/>
          </w:tcPr>
          <w:p>
            <w:pPr>
              <w:ind w:left="320"/>
              <w:spacing w:after="0" w:line="202" w:lineRule="exact"/>
              <w:rPr>
                <w:sz w:val="20"/>
                <w:szCs w:val="20"/>
                <w:color w:val="auto"/>
              </w:rPr>
            </w:pPr>
            <w:r>
              <w:rPr>
                <w:rFonts w:ascii="Arial" w:cs="Arial" w:eastAsia="Arial" w:hAnsi="Arial"/>
                <w:sz w:val="18"/>
                <w:szCs w:val="18"/>
                <w:color w:val="auto"/>
              </w:rPr>
              <w:t>Employee stock options and warrants</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282,518</w:t>
            </w:r>
          </w:p>
        </w:tc>
        <w:tc>
          <w:tcPr>
            <w:tcW w:w="32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101,171</w:t>
            </w:r>
          </w:p>
        </w:tc>
        <w:tc>
          <w:tcPr>
            <w:tcW w:w="120" w:type="dxa"/>
            <w:vAlign w:val="bottom"/>
          </w:tcPr>
          <w:p>
            <w:pPr>
              <w:spacing w:after="0"/>
              <w:rPr>
                <w:sz w:val="18"/>
                <w:szCs w:val="18"/>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outstanding—fully diluted</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19,787,461</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19,914,954</w:t>
            </w:r>
          </w:p>
        </w:tc>
        <w:tc>
          <w:tcPr>
            <w:tcW w:w="120" w:type="dxa"/>
            <w:vAlign w:val="bottom"/>
            <w:shd w:val="clear" w:color="auto" w:fill="CCEEFF"/>
          </w:tcPr>
          <w:p>
            <w:pPr>
              <w:spacing w:after="0"/>
              <w:rPr>
                <w:sz w:val="17"/>
                <w:szCs w:val="17"/>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table summarizes securities outstanding as of June 30, 2011 and 2010, but not included in the calculation of diluted net earnings per share because such shares are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60" w:type="dxa"/>
            <w:vAlign w:val="bottom"/>
          </w:tcPr>
          <w:p>
            <w:pPr>
              <w:spacing w:after="0"/>
              <w:rPr>
                <w:sz w:val="14"/>
                <w:szCs w:val="14"/>
                <w:color w:val="auto"/>
              </w:rPr>
            </w:pP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YEARS ENDED JUNE 30,</w:t>
            </w:r>
          </w:p>
        </w:tc>
      </w:tr>
      <w:tr>
        <w:trPr>
          <w:trHeight w:val="142"/>
        </w:trPr>
        <w:tc>
          <w:tcPr>
            <w:tcW w:w="93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96"/>
        </w:trPr>
        <w:tc>
          <w:tcPr>
            <w:tcW w:w="9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Employee stock options</w:t>
            </w:r>
          </w:p>
        </w:tc>
        <w:tc>
          <w:tcPr>
            <w:tcW w:w="10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502,250</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921,500</w:t>
            </w:r>
          </w:p>
        </w:tc>
        <w:tc>
          <w:tcPr>
            <w:tcW w:w="120" w:type="dxa"/>
            <w:vAlign w:val="bottom"/>
            <w:shd w:val="clear" w:color="auto" w:fill="CCEEFF"/>
          </w:tcPr>
          <w:p>
            <w:pPr>
              <w:spacing w:after="0"/>
              <w:rPr>
                <w:sz w:val="17"/>
                <w:szCs w:val="17"/>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363,000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343,000</w:t>
            </w:r>
          </w:p>
        </w:tc>
        <w:tc>
          <w:tcPr>
            <w:tcW w:w="120" w:type="dxa"/>
            <w:vAlign w:val="bottom"/>
          </w:tcPr>
          <w:p>
            <w:pPr>
              <w:spacing w:after="0"/>
              <w:rPr>
                <w:sz w:val="17"/>
                <w:szCs w:val="17"/>
                <w:color w:val="auto"/>
              </w:rPr>
            </w:pPr>
          </w:p>
        </w:tc>
      </w:tr>
      <w:tr>
        <w:trPr>
          <w:trHeight w:val="27"/>
        </w:trPr>
        <w:tc>
          <w:tcPr>
            <w:tcW w:w="9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865,250</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1,264,500</w:t>
            </w:r>
          </w:p>
        </w:tc>
        <w:tc>
          <w:tcPr>
            <w:tcW w:w="120" w:type="dxa"/>
            <w:vAlign w:val="bottom"/>
            <w:shd w:val="clear" w:color="auto" w:fill="CCEEFF"/>
          </w:tcPr>
          <w:p>
            <w:pPr>
              <w:spacing w:after="0"/>
              <w:rPr>
                <w:sz w:val="17"/>
                <w:szCs w:val="17"/>
                <w:color w:val="auto"/>
              </w:rPr>
            </w:pPr>
          </w:p>
        </w:tc>
      </w:tr>
      <w:tr>
        <w:trPr>
          <w:trHeight w:val="20"/>
        </w:trPr>
        <w:tc>
          <w:tcPr>
            <w:tcW w:w="9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9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173,495 and 414,057 shares of its Class A Common Stock during fiscal 2011 and 2010, respectively.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4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ASC 740, “Income Taxes”, prescribes an asset and liability approach, which requires the recognition of deferred tax liabilities and assets for the expected future tax consequences of temporary differences between the carrying amounts and the tax bases of the assets and liabilities. In accordance with ASC 740, the Company may establish reserves for tax uncertainties that reflect the use of the comprehensive model for the recognition and measurement of uncertain tax positions. Tax authorities periodically challenge certain transactions and deductions reported on our income tax returns. The Company does not expect the outcome of these examinations, either individually or in the aggregate, to have a material adverse effect on our financial position, results of operations, or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92"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Comprehensive income: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income is equal to its net income for all periods presented.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43"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The Company issues stock options to its employees and directors and provides employees the right to purchase stock pursuant to stockholder approved stock option and stock purchase plans. The Company follows the provisions of ASC 718, “Compensation—Stock Compensation”.</w:t>
      </w:r>
    </w:p>
    <w:p>
      <w:pPr>
        <w:spacing w:after="0" w:line="6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Under the provisions of ASC 718, the Company recognizes the fair value of stock compensation in net income (loss), over the requisite service period of the individual grantees, which generally equals the vesting period. All of the Company’s stock based awards are accounted for as equity instruments.</w:t>
      </w:r>
    </w:p>
    <w:p>
      <w:pPr>
        <w:spacing w:after="0" w:line="11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Under the provisions of ASC 718, the Company recorded $164,916 and $221,404 of stock-based compensation in its consolidated statements of income for the years ended June 30, 2011 and 2010, respectively, which is included in administrative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4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JUNE 30,</w:t>
            </w:r>
          </w:p>
        </w:tc>
        <w:tc>
          <w:tcPr>
            <w:tcW w:w="12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r>
      <w:tr>
        <w:trPr>
          <w:trHeight w:val="165"/>
        </w:trPr>
        <w:tc>
          <w:tcPr>
            <w:tcW w:w="546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Directors fees</w:t>
            </w:r>
          </w:p>
        </w:tc>
        <w:tc>
          <w:tcPr>
            <w:tcW w:w="3660" w:type="dxa"/>
            <w:vAlign w:val="bottom"/>
            <w:gridSpan w:val="2"/>
            <w:shd w:val="clear" w:color="auto" w:fill="CCEEFF"/>
          </w:tcPr>
          <w:p>
            <w:pPr>
              <w:ind w:left="35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75,845</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63,870</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Employee compensation</w:t>
            </w: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89,071</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157,534</w:t>
            </w:r>
          </w:p>
        </w:tc>
        <w:tc>
          <w:tcPr>
            <w:tcW w:w="100" w:type="dxa"/>
            <w:vAlign w:val="bottom"/>
          </w:tcPr>
          <w:p>
            <w:pPr>
              <w:spacing w:after="0"/>
              <w:rPr>
                <w:sz w:val="17"/>
                <w:szCs w:val="17"/>
                <w:color w:val="auto"/>
              </w:rPr>
            </w:pPr>
          </w:p>
        </w:tc>
      </w:tr>
      <w:tr>
        <w:trPr>
          <w:trHeight w:val="27"/>
        </w:trPr>
        <w:tc>
          <w:tcPr>
            <w:tcW w:w="5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w:t>
            </w:r>
          </w:p>
        </w:tc>
        <w:tc>
          <w:tcPr>
            <w:tcW w:w="3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164,916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221,404</w:t>
            </w:r>
          </w:p>
        </w:tc>
        <w:tc>
          <w:tcPr>
            <w:tcW w:w="100" w:type="dxa"/>
            <w:vAlign w:val="bottom"/>
            <w:shd w:val="clear" w:color="auto" w:fill="CCEEFF"/>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Company utilizes the Black-Scholes valuation model for estimating the fair value of the stock-based compensation. The weighted-average grant date fair values of the options granted under the stock option plans of $1.15 and $0.63 for the years ended June 30, 2011 and 2010, respectively, were calculated using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tcPr>
          <w:p>
            <w:pPr>
              <w:spacing w:after="0"/>
              <w:rPr>
                <w:sz w:val="14"/>
                <w:szCs w:val="14"/>
                <w:color w:val="auto"/>
              </w:rPr>
            </w:pPr>
          </w:p>
        </w:tc>
        <w:tc>
          <w:tcPr>
            <w:tcW w:w="36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74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2010</w:t>
            </w:r>
          </w:p>
        </w:tc>
      </w:tr>
      <w:tr>
        <w:trPr>
          <w:trHeight w:val="196"/>
        </w:trPr>
        <w:tc>
          <w:tcPr>
            <w:tcW w:w="7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Risk free interest rate</w:t>
            </w:r>
          </w:p>
        </w:tc>
        <w:tc>
          <w:tcPr>
            <w:tcW w:w="1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2.50%</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2.30% - 3.48%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9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lives</w:t>
            </w:r>
          </w:p>
        </w:tc>
        <w:tc>
          <w:tcPr>
            <w:tcW w:w="19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5 - 10 years</w:t>
            </w:r>
          </w:p>
        </w:tc>
        <w:tc>
          <w:tcPr>
            <w:tcW w:w="1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5 - 10 years</w:t>
            </w:r>
          </w:p>
        </w:tc>
      </w:tr>
      <w:tr>
        <w:trPr>
          <w:trHeight w:val="214"/>
        </w:trPr>
        <w:tc>
          <w:tcPr>
            <w:tcW w:w="7740" w:type="dxa"/>
            <w:vAlign w:val="bottom"/>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61.61% - 72.06%</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7"/>
              </w:rPr>
              <w:t>60.66% - 61.63%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dividend yield of zero is based on the fact that the Company has never paid cash dividends and has no present intention to pay cash dividends. Expected volatility is based on the historical volatility of the Company’s common stock over the period commensurate with the expected life of the options. The risk-free interest rate is the U.S. Treasury rate on the date of grant. The expected life was calculated using the Company’s historical experience for the expected term of the option.</w:t>
      </w:r>
    </w:p>
    <w:p>
      <w:pPr>
        <w:spacing w:after="0" w:line="1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Based on the Company’s historical voluntary turnover rates for individuals in the positions who received options, there was no forfeiture rate assessed. It is assumed these options will remain outstanding for the full term of issue. Under the true-up provisions of ASC 718, a recovery of prior expense will be recorded if the actual forfeiture rate is higher than estimated or additional expense if the forfeiture rate is lower than estimated. To date, any required true-ups have not been material.</w:t>
      </w:r>
    </w:p>
    <w:p>
      <w:pPr>
        <w:spacing w:after="0" w:line="114" w:lineRule="exact"/>
        <w:rPr>
          <w:sz w:val="20"/>
          <w:szCs w:val="20"/>
          <w:color w:val="auto"/>
        </w:rPr>
      </w:pPr>
    </w:p>
    <w:p>
      <w:pPr>
        <w:jc w:val="both"/>
        <w:ind w:right="520"/>
        <w:spacing w:after="0" w:line="238" w:lineRule="auto"/>
        <w:rPr>
          <w:sz w:val="20"/>
          <w:szCs w:val="20"/>
          <w:color w:val="auto"/>
        </w:rPr>
      </w:pPr>
      <w:r>
        <w:rPr>
          <w:rFonts w:ascii="Arial" w:cs="Arial" w:eastAsia="Arial" w:hAnsi="Arial"/>
          <w:sz w:val="18"/>
          <w:szCs w:val="18"/>
          <w:color w:val="auto"/>
        </w:rPr>
        <w:t>In August 2010, 7,679 shares of common stock were issued under the employee stock purchase plan. The Company recorded stock-based compensation expense of $1,304. In March 2011, 6,402 shares of common stock were issued under the employee stock purchase plan. The Company recorded stock-based compensation expense of $1,216.</w:t>
      </w:r>
    </w:p>
    <w:p>
      <w:pPr>
        <w:spacing w:after="0" w:line="11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As of June 30, 2011, there was $168,117 in unrecognized compensation cost related to nonvested stock-based compensation arrangements granted under existing stock option plans. This cost is expected to be recognized over the next three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1"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Advertising Expenses:</w:t>
      </w:r>
    </w:p>
    <w:p>
      <w:pPr>
        <w:spacing w:after="0" w:line="4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Advertising costs are expensed when incurred. Advertising expenses for the years ended June 30, 2011 and 2010 were $167,549 and $136,183,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4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Company has evaluated material subsequent events through the date of issuance of this report and we have included all such disclosures in the accompanying footnotes. (See Note 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4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Certain June 30, 2010 balance sheet amounts have been reclassified to be consistent with the June 30, 2011 presentation, which affect certain balance sheet classifications only.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Standards</w:t>
      </w:r>
    </w:p>
    <w:p>
      <w:pPr>
        <w:spacing w:after="0" w:line="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In April 2010, the FASB issued ASU No. 2010-13,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Effect of Denominating the Exercise Price of a Share-Based Payment Award in the Currency of the Market in Which the Underlying Equity Security Trades, or ASU 2010-13. ASU 2010-13 clarifies that a share-based payment award with an exercise price denominated in the currency of a market in which a substantial portion of the entity’s equity securities trades should not be considered to contain a condition that is not a market, performance, or service condition. Therefore, such an award should not be classified as a liability if it otherwise qualifies as equity. ASU 2010-13 is effective for fiscal years, and interim periods within those fiscal years, beginning on or after December 15, 2010, with early adoption permitted. The adoption of this standard did not have any impact on the Company’s consolidated financial statements.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April 2010, the FASB issued ASU No. 2010-17, </w:t>
      </w:r>
      <w:r>
        <w:rPr>
          <w:rFonts w:ascii="Arial" w:cs="Arial" w:eastAsia="Arial" w:hAnsi="Arial"/>
          <w:sz w:val="18"/>
          <w:szCs w:val="18"/>
          <w:i w:val="1"/>
          <w:iCs w:val="1"/>
          <w:color w:val="auto"/>
        </w:rPr>
        <w:t>Revenue Recognition—Milestone Method</w:t>
      </w:r>
      <w:r>
        <w:rPr>
          <w:rFonts w:ascii="Arial" w:cs="Arial" w:eastAsia="Arial" w:hAnsi="Arial"/>
          <w:sz w:val="18"/>
          <w:szCs w:val="18"/>
          <w:color w:val="auto"/>
        </w:rPr>
        <w:t xml:space="preserve"> (Topic 605): Milestone Method of Revenue Recognition, or ASU 2010-17. ASU 2010-17 allows the milestone method as an acceptable revenue recognition methodology when an arrangement includes substantive milestones. ASU 2010-17 provides a definition of substantive milestone, and should be applied regardless of whether the arrangement includes single or multiple deliverables or units of accounting. ASU 2010-17 is limited to transactions involving milestones relating to research and development deliverables. ASU 2010-17 also includes enhanced disclosure requirements about each arrangement, individual milestones and related contingent consideration, information about substantive milestones, and factors considered in the determination. ASU 2010-17 is effective on a prospective basis for milestones achieved in fiscal years, and interim periods within those years, beginning on or after June 15, 2010, with early adoption permitted. The adoption of this standard did not have any impact on the Company’s consolidated financial statements.</w:t>
      </w:r>
    </w:p>
    <w:p>
      <w:pPr>
        <w:spacing w:after="0" w:line="9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 xml:space="preserve">In March 2010, the FASB issued ASU No. 2010-11,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Topic 815): Scope Exception Related to Credit Derivatives, or ASU 2010-11. ASU 2010-11 clarifies that embedded credit-derivative features related only to the transfer of credit risk in the form of subordination of one financial instrument to another are not subject to potential bifurcation and separate accounting. ASU 2010-11 also provides guidance on whether embedded credit-derivative features in financial instruments issued by structures such as collateralized debt obligations are subject to bifurcations and separate accounting. ASU 2010-11 is effective at the beginning of a company’s first fiscal quarter beginning after June 15, 2010, with early adoption permitted. The adoption of this guidance did not have any impact on the Company’s consolidated financial statements.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In June 2011, the Financial Accounting Standards Board (“FASB”) issued ASU No. 2011-05,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(Topic 220): Presentation of Comprehensive Income, or ASU 2011-05. The amendments in this ASU require an entity to present the total of comprehensive income, the components of net income, and the components of other comprehensive income either in a single continuous statement of comprehensive income or in two separate but consecutive statements. ASU 2011-05 eliminates the option to present the components of other comprehensive income as part of the statement of equity. ASU 2011-05 is effective for fiscal years, and interim periods within those fiscal years, beginning on or after December 15, 2011, with early adoption permitted. The Company does not expect the adoption of ASU 2011-05 to have a material impact on its consolidated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1" w:right="239" w:bottom="1440" w:gutter="0" w:footer="0" w:header="0"/>
        </w:sectPr>
      </w:pPr>
    </w:p>
    <w:bookmarkStart w:id="156" w:name="page157"/>
    <w:bookmarkEnd w:id="156"/>
    <w:p>
      <w:pPr>
        <w:ind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December 2010, the FASB issued ASU 2010-29,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805): Disclosure of Supplementary Pro Forma Information for Business Combinations. This ASU reflects the decision reached in EITF Issue No. 10-G. The amendments in this ASU affect any public entity, as defined by Topic 805 Business Combinations, that enters into business combinations that are material on an individual or aggregate basis. The amendments in this ASU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 amendments also expand the supplemental pro forma disclosures to include a description of the nature and amount of material, nonrecurring pro forma adjustments directly attributable to the business combination included in the reported pro forma revenue and earnings. The amendments are effective prospectively for business combinations for which the acquisition date is on or after the beginning of the first annual reporting period beginning on or after December 15, 2010. The Company does not expect the adoption of this ASU will have a material effect on its consolidated financial statements.</w:t>
      </w:r>
    </w:p>
    <w:p>
      <w:pPr>
        <w:spacing w:after="0" w:line="1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In December 2010, the FASB issued ASU No. 2010-28,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350): When to Perform Step 2 of the Goodwill Impairment Test for Reporting Units with Zero or Negative Carrying Amounts. This ASU reflects the decision reached in EITF Issue No. 10-A. The amendments in this ASU modify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qualitative factors are consistent with the existing guidance and examples, which require that goodwill of a reporting unit be tested for impairment between annual tests if an event occurs or circumstances change that would more likely than not reduce the fair value of a reporting unit below its carrying amount. The amendments in this ASU are effective for fiscal years, and interim periods within those years, beginning after December 15, 2010. The Company does not expect the adoption of this ASU will have a material effect on its consolidated financial statements.</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July 2011, the FASB issued ASU 2011-07, </w:t>
      </w:r>
      <w:r>
        <w:rPr>
          <w:rFonts w:ascii="Arial" w:cs="Arial" w:eastAsia="Arial" w:hAnsi="Arial"/>
          <w:sz w:val="18"/>
          <w:szCs w:val="18"/>
          <w:i w:val="1"/>
          <w:iCs w:val="1"/>
          <w:color w:val="auto"/>
        </w:rPr>
        <w:t>Healthcare Entities (Topic 954),</w:t>
      </w:r>
      <w:r>
        <w:rPr>
          <w:rFonts w:ascii="Arial" w:cs="Arial" w:eastAsia="Arial" w:hAnsi="Arial"/>
          <w:sz w:val="18"/>
          <w:szCs w:val="18"/>
          <w:color w:val="auto"/>
        </w:rPr>
        <w:t xml:space="preserve"> which requires healthcare organizations that perform services for patients for which the ultimate collection of all or a portion of the amounts billed or billable cannot be determined at the time services are rendered to present all bad debt expense associated with patient service revenue as an offset to the patient service revenue line item in the statement of operations. The ASU also requires qualitative disclosures about the Company’s policy for recognizing revenue and bad debt expense for patient service transactions and quantitative information about the effects of changes in the assessment of collectibility of patient service revenue. This ASU is effective for fiscal years beginning after December 15, 2011, and will be adopted by the Company in the first quarter of 2013. The Company is currently assessing the potential impact the adoption of this ASU will have on its consolidated results of operations and consolidated financial position.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B—NOTE RECEIVABLE</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November 13, 2010, the Company, through its subsidiary, Detroit Behavioral Institute, Inc., d/b/a Capstone Academy, a wholly owned subsidiary of the Company (“Capstone Academy”), purchased the rights under certain identified notes (the “Notes”) held by Bank of America and secured by the property leased by Capstone Academy for $1,250,000. The Notes were in default at the time of the purchase and the Company has initiated foreclosure proceedings in the courts. The Notes were purchased using cash flow from operations. The Company has recorded the value of the Notes in other receivables, current of $1,124,240, in the accompanying consolidated financial statements. The Company believes the value of the Notes are fully recoverable based on the current value of the property securing the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C—OTHER EXPENSE</w:t>
      </w:r>
    </w:p>
    <w:p>
      <w:pPr>
        <w:spacing w:after="0" w:line="7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the current fiscal year, the Company identified a failure with respect to prior year Average Deferral Percentage (“ADP”) and Actual Contribution Percentage (“ACP”) testing in the 401(k) plan. The Company does not consider this to be a material operational failure and is correcting by filing under the IRS’ Employee Plans Compliance Resolution Program (Rev Proc 2008-50), with the assistance of counsel. During the fiscal year 2011, the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3" w:right="239" w:bottom="1440" w:gutter="0" w:footer="0" w:header="0"/>
        </w:sectPr>
      </w:pPr>
    </w:p>
    <w:bookmarkStart w:id="157" w:name="page158"/>
    <w:bookmarkEnd w:id="157"/>
    <w:p>
      <w:pPr>
        <w:ind w:right="6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that approximately $185,000 will be the non-voluntary contribution to the 401(k) plan required by the IRS in connection with this compliance failure and recorded this expense as other expense in the accompanying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D—PROPERTY AND EQUIPMENT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composed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69,259</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69,259</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1,136,963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1,136,963</w:t>
            </w:r>
          </w:p>
        </w:tc>
        <w:tc>
          <w:tcPr>
            <w:tcW w:w="100" w:type="dxa"/>
            <w:vAlign w:val="bottom"/>
          </w:tcPr>
          <w:p>
            <w:pPr>
              <w:spacing w:after="0"/>
              <w:rPr>
                <w:sz w:val="17"/>
                <w:szCs w:val="17"/>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4,285,785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3,913,670</w:t>
            </w:r>
          </w:p>
        </w:tc>
        <w:tc>
          <w:tcPr>
            <w:tcW w:w="100" w:type="dxa"/>
            <w:vAlign w:val="bottom"/>
            <w:shd w:val="clear" w:color="auto" w:fill="CCEEFF"/>
          </w:tcPr>
          <w:p>
            <w:pPr>
              <w:spacing w:after="0"/>
              <w:rPr>
                <w:sz w:val="17"/>
                <w:szCs w:val="17"/>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Motor vehicles</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173,492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152,964</w:t>
            </w:r>
          </w:p>
        </w:tc>
        <w:tc>
          <w:tcPr>
            <w:tcW w:w="100" w:type="dxa"/>
            <w:vAlign w:val="bottom"/>
          </w:tcPr>
          <w:p>
            <w:pPr>
              <w:spacing w:after="0"/>
              <w:rPr>
                <w:sz w:val="17"/>
                <w:szCs w:val="17"/>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5,020,183</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4,332,770</w:t>
            </w:r>
          </w:p>
        </w:tc>
        <w:tc>
          <w:tcPr>
            <w:tcW w:w="10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10,685,682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9,605,626</w:t>
            </w:r>
          </w:p>
        </w:tc>
        <w:tc>
          <w:tcPr>
            <w:tcW w:w="100" w:type="dxa"/>
            <w:vAlign w:val="bottom"/>
          </w:tcPr>
          <w:p>
            <w:pPr>
              <w:spacing w:after="0"/>
              <w:rPr>
                <w:sz w:val="18"/>
                <w:szCs w:val="18"/>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5,972,550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5,078,250</w:t>
            </w:r>
          </w:p>
        </w:tc>
        <w:tc>
          <w:tcPr>
            <w:tcW w:w="10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4,713,132</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4,527,376</w:t>
            </w:r>
          </w:p>
        </w:tc>
        <w:tc>
          <w:tcPr>
            <w:tcW w:w="10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Total depreciation and amortization expenses related to property and equipment were $895,650 and $907,746 for the fiscal years ended June 30, 2011 and 2010,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E—GOODWILL AND OTHER INTANGIBLE ASSETS:</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Goodwill and other intangible assets are initially created as a result of business combinations or acquisitions. Critical estimates and assumptions used in the initial valuation of goodwill and other intangible assets include, but are not limited to: (i) future expected cash flows from services to be provided, customer contracts and relationships, and (ii) the acquired market position. These estimates and assumptions may be incomplete or inaccurate because unanticipated events and circumstances may occur. If estimates and assumptions used to initially value goodwill and intangible assets prove to be inaccurate, ongoing reviews of the carrying values of such goodwill and intangible assets may indicate impairment which will require the Company to record an impairment charge in the period in which the Company identifies the impairment.</w:t>
      </w:r>
    </w:p>
    <w:p>
      <w:pPr>
        <w:spacing w:after="0" w:line="91"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ASC 350, “Goodwill and Other Intangible Assets” requires, among other things, that companies not amortize goodwill, but instead test goodwill for impairment at least annually. In addition, ASC 350 requires that the Company identify reporting units for the purpose of assessing potential future impairments of goodwill, reassess the useful lives of other existing recognized intangible assets, and cease amortization of intangible assets with an indefinite useful life.</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Company’s goodwill of $969,098 relating to the treatment services reporting unit of the Company was evaluated under ASC 350 as of June 30, 2011. As a result of the evaluation, the Company determined that no impairment exists related to the goodwill associated with the treatment services reporting unit. The Company will continue to test goodwill for impairment, at least annually, in accordance with the guidelines of ASC 350. There were no changes to the goodwill balance during fiscal 2011 or 2010.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F—OTHER ASSETS</w:t>
      </w:r>
    </w:p>
    <w:p>
      <w:pPr>
        <w:spacing w:after="0" w:line="7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Included in other assets are investments in unconsolidated subsidiaries. As of June 30, 2011, this includes the Company’s investment in Seven Hills Psych Center, LLC of $302,244 (this LLC holds the assets of the Seven Hills Hospital which is being leased by a subsidiary of the Company) and the Company’s investment in Behavioral Health Partners, LLC, of $687,972 (this LLC holds the assets of an out-patient clinic which is being leased by PHC of Nevada, Inc, the Company’s outpatient operations in Las Vegas, Nevada).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9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lists amounts included in other assets, net of any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2280" w:type="dxa"/>
            <w:vAlign w:val="bottom"/>
            <w:gridSpan w:val="5"/>
          </w:tcPr>
          <w:p>
            <w:pPr>
              <w:ind w:left="5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29"/>
        </w:trPr>
        <w:tc>
          <w:tcPr>
            <w:tcW w:w="90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Software development &amp; license fees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790,225</w:t>
            </w:r>
          </w:p>
        </w:tc>
        <w:tc>
          <w:tcPr>
            <w:tcW w:w="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947,358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20" w:type="dxa"/>
            <w:vAlign w:val="bottom"/>
            <w:gridSpan w:val="2"/>
          </w:tcPr>
          <w:p>
            <w:pPr>
              <w:spacing w:after="0" w:line="202" w:lineRule="exact"/>
              <w:rPr>
                <w:sz w:val="20"/>
                <w:szCs w:val="20"/>
                <w:color w:val="auto"/>
              </w:rPr>
            </w:pPr>
            <w:r>
              <w:rPr>
                <w:rFonts w:ascii="Arial" w:cs="Arial" w:eastAsia="Arial" w:hAnsi="Arial"/>
                <w:sz w:val="18"/>
                <w:szCs w:val="18"/>
                <w:color w:val="auto"/>
              </w:rPr>
              <w:t>Investment in unconsolidated subsidiary</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990,216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1,037,331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Deposits and other assets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188,221</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1,968,662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2,184,749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840"/>
        <w:spacing w:after="0" w:line="238" w:lineRule="auto"/>
        <w:rPr>
          <w:sz w:val="20"/>
          <w:szCs w:val="20"/>
          <w:color w:val="auto"/>
        </w:rPr>
      </w:pPr>
      <w:r>
        <w:rPr>
          <w:rFonts w:ascii="Arial" w:cs="Arial" w:eastAsia="Arial" w:hAnsi="Arial"/>
          <w:sz w:val="18"/>
          <w:szCs w:val="18"/>
          <w:color w:val="auto"/>
        </w:rPr>
        <w:t>Total accumulated amortization of software license fees was $1,016,291 and $806,962 as of June 30, 2011 and 2010, respectively. Total amortization expense related to software license fees was $209,599 and $248,823 for the fiscal years ended June 30, 2011 and 2010,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expected amortization expense of software licensure fees for the succeeding fiscal years and thereafter as of</w:t>
      </w:r>
    </w:p>
    <w:p>
      <w:pPr>
        <w:spacing w:after="0"/>
        <w:rPr>
          <w:sz w:val="20"/>
          <w:szCs w:val="20"/>
          <w:color w:val="auto"/>
        </w:rPr>
      </w:pPr>
      <w:r>
        <w:rPr>
          <w:rFonts w:ascii="Arial" w:cs="Arial" w:eastAsia="Arial" w:hAnsi="Arial"/>
          <w:sz w:val="18"/>
          <w:szCs w:val="18"/>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YEAR ENDING JUNE 30,</w:t>
            </w:r>
          </w:p>
        </w:tc>
        <w:tc>
          <w:tcPr>
            <w:tcW w:w="72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r>
      <w:tr>
        <w:trPr>
          <w:trHeight w:val="190"/>
        </w:trPr>
        <w:tc>
          <w:tcPr>
            <w:tcW w:w="1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2012</w:t>
            </w:r>
          </w:p>
        </w:tc>
        <w:tc>
          <w:tcPr>
            <w:tcW w:w="7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$183,943</w:t>
            </w:r>
          </w:p>
        </w:tc>
        <w:tc>
          <w:tcPr>
            <w:tcW w:w="100" w:type="dxa"/>
            <w:vAlign w:val="bottom"/>
            <w:shd w:val="clear" w:color="auto" w:fill="CCEEFF"/>
          </w:tcPr>
          <w:p>
            <w:pPr>
              <w:spacing w:after="0"/>
              <w:rPr>
                <w:sz w:val="16"/>
                <w:szCs w:val="16"/>
                <w:color w:val="auto"/>
              </w:rPr>
            </w:pP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172,389</w:t>
            </w:r>
          </w:p>
        </w:tc>
        <w:tc>
          <w:tcPr>
            <w:tcW w:w="100" w:type="dxa"/>
            <w:vAlign w:val="bottom"/>
          </w:tcPr>
          <w:p>
            <w:pPr>
              <w:spacing w:after="0"/>
              <w:rPr>
                <w:sz w:val="17"/>
                <w:szCs w:val="17"/>
                <w:color w:val="auto"/>
              </w:rPr>
            </w:pPr>
          </w:p>
        </w:tc>
      </w:tr>
      <w:tr>
        <w:trPr>
          <w:trHeight w:val="203"/>
        </w:trPr>
        <w:tc>
          <w:tcPr>
            <w:tcW w:w="1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169,327</w:t>
            </w:r>
          </w:p>
        </w:tc>
        <w:tc>
          <w:tcPr>
            <w:tcW w:w="100" w:type="dxa"/>
            <w:vAlign w:val="bottom"/>
            <w:shd w:val="clear" w:color="auto" w:fill="CCEEFF"/>
          </w:tcPr>
          <w:p>
            <w:pPr>
              <w:spacing w:after="0"/>
              <w:rPr>
                <w:sz w:val="17"/>
                <w:szCs w:val="17"/>
                <w:color w:val="auto"/>
              </w:rPr>
            </w:pP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48,274</w:t>
            </w:r>
          </w:p>
        </w:tc>
      </w:tr>
      <w:tr>
        <w:trPr>
          <w:trHeight w:val="203"/>
        </w:trPr>
        <w:tc>
          <w:tcPr>
            <w:tcW w:w="1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7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7"/>
                <w:szCs w:val="17"/>
                <w:color w:val="auto"/>
              </w:rPr>
            </w:pPr>
          </w:p>
        </w:tc>
      </w:tr>
      <w:tr>
        <w:trPr>
          <w:trHeight w:val="210"/>
        </w:trPr>
        <w:tc>
          <w:tcPr>
            <w:tcW w:w="890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213,970</w:t>
            </w:r>
          </w:p>
        </w:tc>
        <w:tc>
          <w:tcPr>
            <w:tcW w:w="100" w:type="dxa"/>
            <w:vAlign w:val="bottom"/>
          </w:tcPr>
          <w:p>
            <w:pPr>
              <w:spacing w:after="0"/>
              <w:rPr>
                <w:sz w:val="18"/>
                <w:szCs w:val="18"/>
                <w:color w:val="auto"/>
              </w:rPr>
            </w:pPr>
          </w:p>
        </w:tc>
      </w:tr>
      <w:tr>
        <w:trPr>
          <w:trHeight w:val="203"/>
        </w:trPr>
        <w:tc>
          <w:tcPr>
            <w:tcW w:w="1620" w:type="dxa"/>
            <w:vAlign w:val="bottom"/>
            <w:shd w:val="clear" w:color="auto" w:fill="CCEEFF"/>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790,225</w:t>
            </w:r>
          </w:p>
        </w:tc>
        <w:tc>
          <w:tcPr>
            <w:tcW w:w="100" w:type="dxa"/>
            <w:vAlign w:val="bottom"/>
            <w:shd w:val="clear" w:color="auto" w:fill="CCEEFF"/>
          </w:tcPr>
          <w:p>
            <w:pPr>
              <w:spacing w:after="0"/>
              <w:rPr>
                <w:sz w:val="17"/>
                <w:szCs w:val="17"/>
                <w:color w:val="auto"/>
              </w:rPr>
            </w:pPr>
          </w:p>
        </w:tc>
      </w:tr>
      <w:tr>
        <w:trPr>
          <w:trHeight w:val="20"/>
        </w:trPr>
        <w:tc>
          <w:tcPr>
            <w:tcW w:w="8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900" w:type="dxa"/>
            <w:vAlign w:val="bottom"/>
            <w:tcBorders>
              <w:bottom w:val="single" w:sz="8" w:color="auto"/>
            </w:tcBorders>
            <w:gridSpan w:val="2"/>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r>
        <w:trPr>
          <w:trHeight w:val="370"/>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NOTE G—NOTES PAYABLE AND LONG-TERM DEBT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8900" w:type="dxa"/>
            <w:vAlign w:val="bottom"/>
            <w:gridSpan w:val="2"/>
          </w:tcPr>
          <w:p>
            <w:pPr>
              <w:spacing w:after="0"/>
              <w:rPr>
                <w:sz w:val="20"/>
                <w:szCs w:val="20"/>
                <w:color w:val="auto"/>
              </w:rPr>
            </w:pPr>
            <w:r>
              <w:rPr>
                <w:rFonts w:ascii="Arial" w:cs="Arial" w:eastAsia="Arial" w:hAnsi="Arial"/>
                <w:sz w:val="18"/>
                <w:szCs w:val="18"/>
                <w:color w:val="auto"/>
              </w:rPr>
              <w:t>Notes payable and long-term debt is summarized as follows: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4"/>
        </w:trPr>
        <w:tc>
          <w:tcPr>
            <w:tcW w:w="16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ind w:left="48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1620" w:type="dxa"/>
            <w:vAlign w:val="bottom"/>
            <w:tcBorders>
              <w:bottom w:val="single" w:sz="8" w:color="CCEEFF"/>
            </w:tcBorders>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2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86"/>
        </w:trPr>
        <w:tc>
          <w:tcPr>
            <w:tcW w:w="8900" w:type="dxa"/>
            <w:vAlign w:val="bottom"/>
            <w:gridSpan w:val="2"/>
            <w:shd w:val="clear" w:color="auto" w:fill="CCEEFF"/>
          </w:tcPr>
          <w:p>
            <w:pPr>
              <w:spacing w:after="0" w:line="186" w:lineRule="exact"/>
              <w:rPr>
                <w:sz w:val="20"/>
                <w:szCs w:val="20"/>
                <w:color w:val="auto"/>
              </w:rPr>
            </w:pPr>
            <w:r>
              <w:rPr>
                <w:rFonts w:ascii="Arial" w:cs="Arial" w:eastAsia="Arial" w:hAnsi="Arial"/>
                <w:sz w:val="18"/>
                <w:szCs w:val="18"/>
                <w:color w:val="auto"/>
                <w:w w:val="99"/>
              </w:rPr>
              <w:t>Term mortgage note payable with monthly principal installments of $50,000 beginning July 1, 2007 increasing to</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89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$62,500 July 1, 2009 until the loan terminates. The note bears interest at prime (3.25% at June 30,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2011) plus 0.75% but not less than 6.25% and is collateralized by all of the assets of the Company and its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900" w:type="dxa"/>
            <w:vAlign w:val="bottom"/>
            <w:gridSpan w:val="2"/>
            <w:shd w:val="clear" w:color="auto" w:fill="CCEEFF"/>
          </w:tcPr>
          <w:p>
            <w:pPr>
              <w:ind w:left="320"/>
              <w:spacing w:after="0" w:line="200" w:lineRule="exact"/>
              <w:rPr>
                <w:sz w:val="20"/>
                <w:szCs w:val="20"/>
                <w:color w:val="auto"/>
              </w:rPr>
            </w:pPr>
            <w:r>
              <w:rPr>
                <w:rFonts w:ascii="Arial" w:cs="Arial" w:eastAsia="Arial" w:hAnsi="Arial"/>
                <w:sz w:val="18"/>
                <w:szCs w:val="18"/>
                <w:color w:val="auto"/>
              </w:rPr>
              <w:t>material subsidiaries</w:t>
            </w:r>
          </w:p>
        </w:tc>
        <w:tc>
          <w:tcPr>
            <w:tcW w:w="3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297,500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935,000</w:t>
            </w:r>
          </w:p>
        </w:tc>
        <w:tc>
          <w:tcPr>
            <w:tcW w:w="100" w:type="dxa"/>
            <w:vAlign w:val="bottom"/>
            <w:shd w:val="clear" w:color="auto" w:fill="CCEEFF"/>
          </w:tcPr>
          <w:p>
            <w:pPr>
              <w:spacing w:after="0"/>
              <w:rPr>
                <w:sz w:val="17"/>
                <w:szCs w:val="17"/>
                <w:color w:val="auto"/>
              </w:rPr>
            </w:pPr>
          </w:p>
        </w:tc>
      </w:tr>
      <w:tr>
        <w:trPr>
          <w:trHeight w:val="206"/>
        </w:trPr>
        <w:tc>
          <w:tcPr>
            <w:tcW w:w="8900" w:type="dxa"/>
            <w:vAlign w:val="bottom"/>
            <w:gridSpan w:val="2"/>
          </w:tcPr>
          <w:p>
            <w:pPr>
              <w:spacing w:after="0" w:line="206" w:lineRule="exact"/>
              <w:rPr>
                <w:sz w:val="20"/>
                <w:szCs w:val="20"/>
                <w:color w:val="auto"/>
              </w:rPr>
            </w:pPr>
            <w:r>
              <w:rPr>
                <w:rFonts w:ascii="Arial" w:cs="Arial" w:eastAsia="Arial" w:hAnsi="Arial"/>
                <w:sz w:val="18"/>
                <w:szCs w:val="18"/>
                <w:color w:val="auto"/>
              </w:rPr>
              <w:t>Mortgage note due in monthly installments of $4,850 including interest at 9% through July 1, 2012, when the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9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remaining principal balance is payable, collateralized by a first mortgage on the PHC of Virginia, Inc, 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900" w:type="dxa"/>
            <w:vAlign w:val="bottom"/>
            <w:gridSpan w:val="2"/>
          </w:tcPr>
          <w:p>
            <w:pPr>
              <w:ind w:left="320"/>
              <w:spacing w:after="0" w:line="200" w:lineRule="exact"/>
              <w:rPr>
                <w:sz w:val="20"/>
                <w:szCs w:val="20"/>
                <w:color w:val="auto"/>
              </w:rPr>
            </w:pPr>
            <w:r>
              <w:rPr>
                <w:rFonts w:ascii="Arial" w:cs="Arial" w:eastAsia="Arial" w:hAnsi="Arial"/>
                <w:sz w:val="18"/>
                <w:szCs w:val="18"/>
                <w:color w:val="auto"/>
              </w:rPr>
              <w:t>Regis Center facility</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5"/>
              </w:rPr>
              <w:t>107,283</w:t>
            </w:r>
          </w:p>
        </w:tc>
        <w:tc>
          <w:tcPr>
            <w:tcW w:w="5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153,526</w:t>
            </w:r>
          </w:p>
        </w:tc>
        <w:tc>
          <w:tcPr>
            <w:tcW w:w="100" w:type="dxa"/>
            <w:vAlign w:val="bottom"/>
          </w:tcPr>
          <w:p>
            <w:pPr>
              <w:spacing w:after="0"/>
              <w:rPr>
                <w:sz w:val="17"/>
                <w:szCs w:val="17"/>
                <w:color w:val="auto"/>
              </w:rPr>
            </w:pPr>
          </w:p>
        </w:tc>
      </w:tr>
      <w:tr>
        <w:trPr>
          <w:trHeight w:val="203"/>
        </w:trPr>
        <w:tc>
          <w:tcPr>
            <w:tcW w:w="89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404,783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1,088,526</w:t>
            </w:r>
          </w:p>
        </w:tc>
        <w:tc>
          <w:tcPr>
            <w:tcW w:w="100" w:type="dxa"/>
            <w:vAlign w:val="bottom"/>
            <w:shd w:val="clear" w:color="auto" w:fill="CCEEFF"/>
          </w:tcPr>
          <w:p>
            <w:pPr>
              <w:spacing w:after="0"/>
              <w:rPr>
                <w:sz w:val="17"/>
                <w:szCs w:val="17"/>
                <w:color w:val="auto"/>
              </w:rPr>
            </w:pPr>
          </w:p>
        </w:tc>
      </w:tr>
      <w:tr>
        <w:trPr>
          <w:trHeight w:val="210"/>
        </w:trPr>
        <w:tc>
          <w:tcPr>
            <w:tcW w:w="890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348,081</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796,244</w:t>
            </w:r>
          </w:p>
        </w:tc>
        <w:tc>
          <w:tcPr>
            <w:tcW w:w="100" w:type="dxa"/>
            <w:vAlign w:val="bottom"/>
          </w:tcPr>
          <w:p>
            <w:pPr>
              <w:spacing w:after="0"/>
              <w:rPr>
                <w:sz w:val="18"/>
                <w:szCs w:val="18"/>
                <w:color w:val="auto"/>
              </w:rPr>
            </w:pPr>
          </w:p>
        </w:tc>
      </w:tr>
      <w:tr>
        <w:trPr>
          <w:trHeight w:val="203"/>
        </w:trPr>
        <w:tc>
          <w:tcPr>
            <w:tcW w:w="8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portion</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56,702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292,282</w:t>
            </w:r>
          </w:p>
        </w:tc>
        <w:tc>
          <w:tcPr>
            <w:tcW w:w="100" w:type="dxa"/>
            <w:vAlign w:val="bottom"/>
            <w:shd w:val="clear" w:color="auto" w:fill="CCEEFF"/>
          </w:tcPr>
          <w:p>
            <w:pPr>
              <w:spacing w:after="0"/>
              <w:rPr>
                <w:sz w:val="17"/>
                <w:szCs w:val="17"/>
                <w:color w:val="auto"/>
              </w:rPr>
            </w:pPr>
          </w:p>
        </w:tc>
      </w:tr>
      <w:tr>
        <w:trPr>
          <w:trHeight w:val="20"/>
        </w:trPr>
        <w:tc>
          <w:tcPr>
            <w:tcW w:w="8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900" w:type="dxa"/>
            <w:vAlign w:val="bottom"/>
            <w:tcBorders>
              <w:bottom w:val="single" w:sz="8" w:color="auto"/>
            </w:tcBorders>
            <w:gridSpan w:val="2"/>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r>
        <w:trPr>
          <w:trHeight w:val="383"/>
        </w:trPr>
        <w:tc>
          <w:tcPr>
            <w:tcW w:w="8900" w:type="dxa"/>
            <w:vAlign w:val="bottom"/>
            <w:gridSpan w:val="2"/>
          </w:tcPr>
          <w:p>
            <w:pPr>
              <w:ind w:left="56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92"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Maturities of notes payable and long-term debt are as follows as of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YEAR ENDING JUNE 30,</w:t>
            </w:r>
          </w:p>
        </w:tc>
        <w:tc>
          <w:tcPr>
            <w:tcW w:w="894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190"/>
        </w:trPr>
        <w:tc>
          <w:tcPr>
            <w:tcW w:w="16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2012</w:t>
            </w:r>
          </w:p>
        </w:tc>
        <w:tc>
          <w:tcPr>
            <w:tcW w:w="89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$348,081</w:t>
            </w:r>
          </w:p>
        </w:tc>
        <w:tc>
          <w:tcPr>
            <w:tcW w:w="100" w:type="dxa"/>
            <w:vAlign w:val="bottom"/>
            <w:tcBorders>
              <w:top w:val="single" w:sz="8" w:color="CCEEFF"/>
            </w:tcBorders>
            <w:shd w:val="clear" w:color="auto" w:fill="CCEEFF"/>
          </w:tcPr>
          <w:p>
            <w:pPr>
              <w:spacing w:after="0"/>
              <w:rPr>
                <w:sz w:val="16"/>
                <w:szCs w:val="16"/>
                <w:color w:val="auto"/>
              </w:rPr>
            </w:pPr>
          </w:p>
        </w:tc>
      </w:tr>
      <w:tr>
        <w:trPr>
          <w:trHeight w:val="210"/>
        </w:trPr>
        <w:tc>
          <w:tcPr>
            <w:tcW w:w="16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89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56,702</w:t>
            </w:r>
          </w:p>
        </w:tc>
        <w:tc>
          <w:tcPr>
            <w:tcW w:w="100" w:type="dxa"/>
            <w:vAlign w:val="bottom"/>
          </w:tcPr>
          <w:p>
            <w:pPr>
              <w:spacing w:after="0"/>
              <w:rPr>
                <w:sz w:val="18"/>
                <w:szCs w:val="18"/>
                <w:color w:val="auto"/>
              </w:rPr>
            </w:pPr>
          </w:p>
        </w:tc>
      </w:tr>
      <w:tr>
        <w:trPr>
          <w:trHeight w:val="203"/>
        </w:trPr>
        <w:tc>
          <w:tcPr>
            <w:tcW w:w="1620" w:type="dxa"/>
            <w:vAlign w:val="bottom"/>
            <w:shd w:val="clear" w:color="auto" w:fill="CCEEFF"/>
          </w:tcPr>
          <w:p>
            <w:pPr>
              <w:spacing w:after="0"/>
              <w:rPr>
                <w:sz w:val="17"/>
                <w:szCs w:val="17"/>
                <w:color w:val="auto"/>
              </w:rPr>
            </w:pPr>
          </w:p>
        </w:tc>
        <w:tc>
          <w:tcPr>
            <w:tcW w:w="9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404,783</w:t>
            </w:r>
          </w:p>
        </w:tc>
        <w:tc>
          <w:tcPr>
            <w:tcW w:w="100" w:type="dxa"/>
            <w:vAlign w:val="bottom"/>
            <w:shd w:val="clear" w:color="auto" w:fill="CCEEFF"/>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Company’s amended revolving credit note allows the Company to borrow a maximum of $3,500,000. The outstanding balance on this note was $1,814,877 and $1,336,025 at June 30, 2011 and 2010, respectively. This agreement was amended on June 13, 2007 to modify the terms of the agreement. Advances are available based on a percentage of accounts receivable and the payment of principal is payable upon receipt of proceeds of the accounts receivable. Interest is payable monthly at prime (3.25% at June 30, 2011) plus 0.25%, but not less than 4.75%. The average interest rate paid during the fiscal year ended June 30, 2011 was 7.56%, which includes the amortization of deferred financing costs related to the initial financing. The amended term of the agreement is for two years, renewable for two additional one year terms. The Agreement was automatically renewed June 13, 2010 to effect the term through June 13, 2011. This agreement was not renewed. On July 1, 2011, in connection with the Company’s purchase of MeadowWood Behavioral Health (See Note P), all of the Company’s outstanding long-term debt and revolving credit facility were repaid. The revolving credit note is collateralized by substantially all of the assets of the Company’s subsidiaries and guaranteed by PHC.</w:t>
      </w:r>
    </w:p>
    <w:p>
      <w:pPr>
        <w:spacing w:after="0" w:line="12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As of June 30, 2011, the Company was in compliance with all of its financial covenants under the revolving line of credit note. These covenants include only a debt coverage ratio and a minimum EBITDA.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H—CAPITAL LEASE OBLIGATION</w:t>
      </w:r>
    </w:p>
    <w:p>
      <w:pPr>
        <w:spacing w:after="0" w:line="72" w:lineRule="exact"/>
        <w:rPr>
          <w:sz w:val="20"/>
          <w:szCs w:val="20"/>
          <w:color w:val="auto"/>
        </w:rPr>
      </w:pPr>
    </w:p>
    <w:p>
      <w:pPr>
        <w:ind w:right="960"/>
        <w:spacing w:after="0" w:line="239" w:lineRule="auto"/>
        <w:rPr>
          <w:sz w:val="20"/>
          <w:szCs w:val="20"/>
          <w:color w:val="auto"/>
        </w:rPr>
      </w:pPr>
      <w:r>
        <w:rPr>
          <w:rFonts w:ascii="Arial" w:cs="Arial" w:eastAsia="Arial" w:hAnsi="Arial"/>
          <w:sz w:val="18"/>
          <w:szCs w:val="18"/>
          <w:color w:val="auto"/>
        </w:rPr>
        <w:t>At June 30, 2011, the Company was obligated under various capital leases for equipment providing for aggregate monthly payments of approximately $7,157 and terms expiring through June 2014.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assets under capital leases included in property and equipment and other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140" w:type="dxa"/>
            <w:vAlign w:val="bottom"/>
          </w:tcPr>
          <w:p>
            <w:pPr>
              <w:spacing w:after="0"/>
              <w:rPr>
                <w:sz w:val="14"/>
                <w:szCs w:val="14"/>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9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Equipment and software</w:t>
            </w:r>
          </w:p>
        </w:tc>
        <w:tc>
          <w:tcPr>
            <w:tcW w:w="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$ 321,348</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$ 338,936</w:t>
            </w:r>
          </w:p>
        </w:tc>
        <w:tc>
          <w:tcPr>
            <w:tcW w:w="100" w:type="dxa"/>
            <w:vAlign w:val="bottom"/>
            <w:shd w:val="clear" w:color="auto" w:fill="CCEEFF"/>
          </w:tcPr>
          <w:p>
            <w:pPr>
              <w:spacing w:after="0"/>
              <w:rPr>
                <w:sz w:val="17"/>
                <w:szCs w:val="17"/>
                <w:color w:val="auto"/>
              </w:rPr>
            </w:pPr>
          </w:p>
        </w:tc>
      </w:tr>
      <w:tr>
        <w:trPr>
          <w:trHeight w:val="210"/>
        </w:trPr>
        <w:tc>
          <w:tcPr>
            <w:tcW w:w="9140" w:type="dxa"/>
            <w:vAlign w:val="bottom"/>
          </w:tcPr>
          <w:p>
            <w:pPr>
              <w:spacing w:after="0" w:line="202" w:lineRule="exact"/>
              <w:rPr>
                <w:sz w:val="20"/>
                <w:szCs w:val="20"/>
                <w:color w:val="auto"/>
              </w:rPr>
            </w:pPr>
            <w:r>
              <w:rPr>
                <w:rFonts w:ascii="Arial" w:cs="Arial" w:eastAsia="Arial" w:hAnsi="Arial"/>
                <w:sz w:val="18"/>
                <w:szCs w:val="18"/>
                <w:color w:val="auto"/>
              </w:rPr>
              <w:t>Less accumulated amortization and depreciation</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(183,627)</w:t>
            </w:r>
          </w:p>
        </w:tc>
        <w:tc>
          <w:tcPr>
            <w:tcW w:w="1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(153,774)</w:t>
            </w:r>
          </w:p>
        </w:tc>
      </w:tr>
      <w:tr>
        <w:trPr>
          <w:trHeight w:val="203"/>
        </w:trPr>
        <w:tc>
          <w:tcPr>
            <w:tcW w:w="9140" w:type="dxa"/>
            <w:vAlign w:val="bottom"/>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$ 137,721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$ 185,162</w:t>
            </w:r>
          </w:p>
        </w:tc>
        <w:tc>
          <w:tcPr>
            <w:tcW w:w="100" w:type="dxa"/>
            <w:vAlign w:val="bottom"/>
            <w:shd w:val="clear" w:color="auto" w:fill="CCEEFF"/>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Amortization and depreciation expense related to these assets for the years ended June 30, 2011 and 2010 was $45,906 and $48,977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remaining balance of the Company’s obligations under capital lease of $19,558 is due in fiscal 2012.</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91"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I—ACCRUED EXPENSES AND OTHER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long-term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96"/>
        </w:trPr>
        <w:tc>
          <w:tcPr>
            <w:tcW w:w="9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Accrued contract expenses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702,054</w:t>
            </w:r>
          </w:p>
        </w:tc>
        <w:tc>
          <w:tcPr>
            <w:tcW w:w="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503,636</w:t>
            </w: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Accrued legal and accounting</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1,127,623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313,313</w:t>
            </w: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1,251,601</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806,491</w:t>
            </w:r>
          </w:p>
        </w:tc>
        <w:tc>
          <w:tcPr>
            <w:tcW w:w="120" w:type="dxa"/>
            <w:vAlign w:val="bottom"/>
            <w:shd w:val="clear" w:color="auto" w:fill="CCEEFF"/>
          </w:tcPr>
          <w:p>
            <w:pPr>
              <w:spacing w:after="0"/>
              <w:rPr>
                <w:sz w:val="17"/>
                <w:szCs w:val="17"/>
                <w:color w:val="auto"/>
              </w:rPr>
            </w:pPr>
          </w:p>
        </w:tc>
      </w:tr>
      <w:tr>
        <w:trPr>
          <w:trHeight w:val="210"/>
        </w:trPr>
        <w:tc>
          <w:tcPr>
            <w:tcW w:w="902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3,081,278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1,623,440</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long-term accrued expenses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843,296</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582,953</w:t>
            </w:r>
          </w:p>
        </w:tc>
        <w:tc>
          <w:tcPr>
            <w:tcW w:w="120" w:type="dxa"/>
            <w:vAlign w:val="bottom"/>
            <w:shd w:val="clear" w:color="auto" w:fill="CCEEFF"/>
          </w:tcPr>
          <w:p>
            <w:pPr>
              <w:spacing w:after="0"/>
              <w:rPr>
                <w:sz w:val="17"/>
                <w:szCs w:val="17"/>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Accrued expenses 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2,237,982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1,040,487</w:t>
            </w:r>
          </w:p>
        </w:tc>
        <w:tc>
          <w:tcPr>
            <w:tcW w:w="12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includes the long-term portion of rent obligations associated with the Company’s leases at certain locations.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J—INCOME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deferred tax assets included in the accompanying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YEARS ENDED JUNE 30,</w:t>
            </w:r>
          </w:p>
        </w:tc>
      </w:tr>
      <w:tr>
        <w:trPr>
          <w:trHeight w:val="142"/>
        </w:trPr>
        <w:tc>
          <w:tcPr>
            <w:tcW w:w="9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020" w:type="dxa"/>
            <w:vAlign w:val="bottom"/>
          </w:tcPr>
          <w:p>
            <w:pPr>
              <w:ind w:left="320"/>
              <w:spacing w:after="0" w:line="202" w:lineRule="exact"/>
              <w:rPr>
                <w:sz w:val="20"/>
                <w:szCs w:val="20"/>
                <w:color w:val="auto"/>
              </w:rPr>
            </w:pPr>
            <w:r>
              <w:rPr>
                <w:rFonts w:ascii="Arial" w:cs="Arial" w:eastAsia="Arial" w:hAnsi="Arial"/>
                <w:sz w:val="18"/>
                <w:szCs w:val="18"/>
                <w:color w:val="auto"/>
              </w:rPr>
              <w:t>Stock based compensation</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37,800</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33,382</w:t>
            </w: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1,918,939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1,140,871</w:t>
            </w: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ind w:left="320"/>
              <w:spacing w:after="0" w:line="202" w:lineRule="exact"/>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193,791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446,825</w:t>
            </w: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ind w:left="320"/>
              <w:spacing w:after="0" w:line="202" w:lineRule="exact"/>
              <w:rPr>
                <w:sz w:val="20"/>
                <w:szCs w:val="20"/>
                <w:color w:val="auto"/>
              </w:rPr>
            </w:pPr>
            <w:r>
              <w:rPr>
                <w:rFonts w:ascii="Arial" w:cs="Arial" w:eastAsia="Arial" w:hAnsi="Arial"/>
                <w:sz w:val="18"/>
                <w:szCs w:val="18"/>
                <w:color w:val="auto"/>
              </w:rPr>
              <w:t>Difference between book and tax bases of intangible assets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391,325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855,786</w:t>
            </w: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Credits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210,186</w:t>
            </w:r>
          </w:p>
        </w:tc>
        <w:tc>
          <w:tcPr>
            <w:tcW w:w="120" w:type="dxa"/>
            <w:vAlign w:val="bottom"/>
            <w:shd w:val="clear" w:color="auto" w:fill="CCEEFF"/>
          </w:tcPr>
          <w:p>
            <w:pPr>
              <w:spacing w:after="0"/>
              <w:rPr>
                <w:sz w:val="17"/>
                <w:szCs w:val="17"/>
                <w:color w:val="auto"/>
              </w:rPr>
            </w:pPr>
          </w:p>
        </w:tc>
      </w:tr>
      <w:tr>
        <w:trPr>
          <w:trHeight w:val="203"/>
        </w:trPr>
        <w:tc>
          <w:tcPr>
            <w:tcW w:w="9020" w:type="dxa"/>
            <w:vAlign w:val="bottom"/>
          </w:tcPr>
          <w:p>
            <w:pPr>
              <w:ind w:left="320"/>
              <w:spacing w:after="0" w:line="202" w:lineRule="exact"/>
              <w:rPr>
                <w:sz w:val="20"/>
                <w:szCs w:val="20"/>
                <w:color w:val="auto"/>
              </w:rPr>
            </w:pPr>
            <w:r>
              <w:rPr>
                <w:rFonts w:ascii="Arial" w:cs="Arial" w:eastAsia="Arial" w:hAnsi="Arial"/>
                <w:sz w:val="18"/>
                <w:szCs w:val="18"/>
                <w:color w:val="auto"/>
              </w:rPr>
              <w:t>Operating loss carryforward</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99,068</w:t>
            </w: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spacing w:after="0"/>
              <w:rPr>
                <w:sz w:val="17"/>
                <w:szCs w:val="17"/>
                <w:color w:val="auto"/>
              </w:rPr>
            </w:pPr>
          </w:p>
        </w:tc>
      </w:tr>
      <w:tr>
        <w:trPr>
          <w:trHeight w:val="217"/>
        </w:trPr>
        <w:tc>
          <w:tcPr>
            <w:tcW w:w="9020" w:type="dxa"/>
            <w:vAlign w:val="bottom"/>
          </w:tcPr>
          <w:p>
            <w:pPr>
              <w:ind w:left="640"/>
              <w:spacing w:after="0"/>
              <w:rPr>
                <w:sz w:val="20"/>
                <w:szCs w:val="20"/>
                <w:color w:val="auto"/>
              </w:rPr>
            </w:pPr>
            <w:r>
              <w:rPr>
                <w:rFonts w:ascii="Arial" w:cs="Arial" w:eastAsia="Arial" w:hAnsi="Arial"/>
                <w:sz w:val="18"/>
                <w:szCs w:val="18"/>
                <w:color w:val="auto"/>
              </w:rPr>
              <w:t>Gross deferred tax asset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2,567,178</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2,790,989</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(150,103)</w:t>
            </w:r>
          </w:p>
        </w:tc>
      </w:tr>
      <w:tr>
        <w:trPr>
          <w:trHeight w:val="210"/>
        </w:trPr>
        <w:tc>
          <w:tcPr>
            <w:tcW w:w="9020" w:type="dxa"/>
            <w:vAlign w:val="bottom"/>
          </w:tcPr>
          <w:p>
            <w:pPr>
              <w:ind w:left="64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2,567,178</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2,640,886</w:t>
            </w:r>
          </w:p>
        </w:tc>
        <w:tc>
          <w:tcPr>
            <w:tcW w:w="12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9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329"/>
        </w:trPr>
        <w:tc>
          <w:tcPr>
            <w:tcW w:w="9020" w:type="dxa"/>
            <w:vAlign w:val="bottom"/>
          </w:tcPr>
          <w:p>
            <w:pPr>
              <w:spacing w:after="0"/>
              <w:rPr>
                <w:sz w:val="20"/>
                <w:szCs w:val="20"/>
                <w:color w:val="auto"/>
              </w:rPr>
            </w:pPr>
            <w:r>
              <w:rPr>
                <w:rFonts w:ascii="Arial" w:cs="Arial" w:eastAsia="Arial" w:hAnsi="Arial"/>
                <w:sz w:val="18"/>
                <w:szCs w:val="18"/>
                <w:color w:val="auto"/>
              </w:rPr>
              <w:t>These amounts are shown on the accompanying consolidated balance sheets as follows: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4"/>
        </w:trPr>
        <w:tc>
          <w:tcPr>
            <w:tcW w:w="9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YEARS ENDED JUNE 30,</w:t>
            </w:r>
          </w:p>
        </w:tc>
      </w:tr>
      <w:tr>
        <w:trPr>
          <w:trHeight w:val="142"/>
        </w:trPr>
        <w:tc>
          <w:tcPr>
            <w:tcW w:w="9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deferred tax asset: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020" w:type="dxa"/>
            <w:vAlign w:val="bottom"/>
          </w:tcPr>
          <w:p>
            <w:pPr>
              <w:ind w:left="320"/>
              <w:spacing w:after="0" w:line="202" w:lineRule="exact"/>
              <w:rPr>
                <w:sz w:val="20"/>
                <w:szCs w:val="20"/>
                <w:color w:val="auto"/>
              </w:rPr>
            </w:pPr>
            <w:r>
              <w:rPr>
                <w:rFonts w:ascii="Arial" w:cs="Arial" w:eastAsia="Arial" w:hAnsi="Arial"/>
                <w:sz w:val="18"/>
                <w:szCs w:val="18"/>
                <w:color w:val="auto"/>
              </w:rPr>
              <w:t>Current portion</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1,919,435</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1,145,742</w:t>
            </w: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Long-term portion</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647,743</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1,495,144</w:t>
            </w:r>
          </w:p>
        </w:tc>
        <w:tc>
          <w:tcPr>
            <w:tcW w:w="120" w:type="dxa"/>
            <w:vAlign w:val="bottom"/>
            <w:shd w:val="clear" w:color="auto" w:fill="CCEEFF"/>
          </w:tcPr>
          <w:p>
            <w:pPr>
              <w:spacing w:after="0"/>
              <w:rPr>
                <w:sz w:val="17"/>
                <w:szCs w:val="17"/>
                <w:color w:val="auto"/>
              </w:rPr>
            </w:pPr>
          </w:p>
        </w:tc>
      </w:tr>
      <w:tr>
        <w:trPr>
          <w:trHeight w:val="210"/>
        </w:trPr>
        <w:tc>
          <w:tcPr>
            <w:tcW w:w="9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2,567,178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2,640,886</w:t>
            </w:r>
          </w:p>
        </w:tc>
        <w:tc>
          <w:tcPr>
            <w:tcW w:w="12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9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the Company believes that all deferred tax assets are more likely than not to be realized.</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components of the income tax provision (benefit) for the years ended June 30, 2011 and 2010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2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183"/>
        </w:trPr>
        <w:tc>
          <w:tcPr>
            <w:tcW w:w="5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3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320" w:type="dxa"/>
            <w:vAlign w:val="bottom"/>
          </w:tcPr>
          <w:p>
            <w:pPr>
              <w:ind w:left="320"/>
              <w:spacing w:after="0" w:line="202" w:lineRule="exact"/>
              <w:rPr>
                <w:sz w:val="20"/>
                <w:szCs w:val="20"/>
                <w:color w:val="auto"/>
              </w:rPr>
            </w:pPr>
            <w:r>
              <w:rPr>
                <w:rFonts w:ascii="Arial" w:cs="Arial" w:eastAsia="Arial" w:hAnsi="Arial"/>
                <w:sz w:val="18"/>
                <w:szCs w:val="18"/>
                <w:color w:val="auto"/>
              </w:rPr>
              <w:t>Federal</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772,611</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313,232</w:t>
            </w: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State</w:t>
            </w:r>
          </w:p>
        </w:tc>
        <w:tc>
          <w:tcPr>
            <w:tcW w:w="3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561,617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607,775</w:t>
            </w:r>
          </w:p>
        </w:tc>
        <w:tc>
          <w:tcPr>
            <w:tcW w:w="120" w:type="dxa"/>
            <w:vAlign w:val="bottom"/>
            <w:shd w:val="clear" w:color="auto" w:fill="CCEEFF"/>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1,334,228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921,007</w:t>
            </w:r>
          </w:p>
        </w:tc>
        <w:tc>
          <w:tcPr>
            <w:tcW w:w="120" w:type="dxa"/>
            <w:vAlign w:val="bottom"/>
          </w:tcPr>
          <w:p>
            <w:pPr>
              <w:spacing w:after="0"/>
              <w:rPr>
                <w:sz w:val="18"/>
                <w:szCs w:val="18"/>
                <w:color w:val="auto"/>
              </w:rPr>
            </w:pPr>
          </w:p>
        </w:tc>
      </w:tr>
      <w:tr>
        <w:trPr>
          <w:trHeight w:val="115"/>
        </w:trPr>
        <w:tc>
          <w:tcPr>
            <w:tcW w:w="53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320"/>
              <w:spacing w:after="0" w:line="202" w:lineRule="exact"/>
              <w:rPr>
                <w:sz w:val="20"/>
                <w:szCs w:val="20"/>
                <w:color w:val="auto"/>
              </w:rPr>
            </w:pPr>
            <w:r>
              <w:rPr>
                <w:rFonts w:ascii="Arial" w:cs="Arial" w:eastAsia="Arial" w:hAnsi="Arial"/>
                <w:sz w:val="18"/>
                <w:szCs w:val="18"/>
                <w:color w:val="auto"/>
              </w:rPr>
              <w:t>Federal</w:t>
            </w: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(62,768)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330,222</w:t>
            </w: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State</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136,476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(145,129)</w:t>
            </w:r>
          </w:p>
        </w:tc>
      </w:tr>
      <w:tr>
        <w:trPr>
          <w:trHeight w:val="217"/>
        </w:trPr>
        <w:tc>
          <w:tcPr>
            <w:tcW w:w="53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185,093</w:t>
            </w:r>
          </w:p>
        </w:tc>
        <w:tc>
          <w:tcPr>
            <w:tcW w:w="120" w:type="dxa"/>
            <w:vAlign w:val="bottom"/>
          </w:tcPr>
          <w:p>
            <w:pPr>
              <w:spacing w:after="0"/>
              <w:rPr>
                <w:sz w:val="18"/>
                <w:szCs w:val="18"/>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1,407,936</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1,106,100</w:t>
            </w:r>
          </w:p>
        </w:tc>
        <w:tc>
          <w:tcPr>
            <w:tcW w:w="120" w:type="dxa"/>
            <w:vAlign w:val="bottom"/>
            <w:shd w:val="clear" w:color="auto" w:fill="CCEEFF"/>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statutory rate to the Company’s effective tax rate for the years ended June 30, 2011 and 2010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4"/>
                <w:szCs w:val="14"/>
                <w:color w:val="auto"/>
              </w:rPr>
            </w:pPr>
          </w:p>
        </w:tc>
      </w:tr>
      <w:tr>
        <w:trPr>
          <w:trHeight w:val="196"/>
        </w:trPr>
        <w:tc>
          <w:tcPr>
            <w:tcW w:w="9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tax provision at federal statutory rate</w:t>
            </w:r>
          </w:p>
        </w:tc>
        <w:tc>
          <w:tcPr>
            <w:tcW w:w="9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34.0%</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34.0%</w:t>
            </w: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Increase (decrease) in tax resulting from:</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9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State tax provision, net of federal benefit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23.16</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7"/>
                <w:szCs w:val="17"/>
                <w:color w:val="auto"/>
              </w:rPr>
            </w:pPr>
          </w:p>
        </w:tc>
      </w:tr>
      <w:tr>
        <w:trPr>
          <w:trHeight w:val="203"/>
        </w:trPr>
        <w:tc>
          <w:tcPr>
            <w:tcW w:w="9780" w:type="dxa"/>
            <w:vAlign w:val="bottom"/>
          </w:tcPr>
          <w:p>
            <w:pPr>
              <w:ind w:left="320"/>
              <w:spacing w:after="0" w:line="202" w:lineRule="exact"/>
              <w:rPr>
                <w:sz w:val="20"/>
                <w:szCs w:val="20"/>
                <w:color w:val="auto"/>
              </w:rPr>
            </w:pPr>
            <w:r>
              <w:rPr>
                <w:rFonts w:ascii="Arial" w:cs="Arial" w:eastAsia="Arial" w:hAnsi="Arial"/>
                <w:sz w:val="18"/>
                <w:szCs w:val="18"/>
                <w:color w:val="auto"/>
              </w:rPr>
              <w:t>Non-deductible expenses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4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220" w:type="dxa"/>
            <w:vAlign w:val="bottom"/>
          </w:tcPr>
          <w:p>
            <w:pPr>
              <w:spacing w:after="0"/>
              <w:rPr>
                <w:sz w:val="17"/>
                <w:szCs w:val="17"/>
                <w:color w:val="auto"/>
              </w:rPr>
            </w:pPr>
          </w:p>
        </w:tc>
      </w:tr>
      <w:tr>
        <w:trPr>
          <w:trHeight w:val="203"/>
        </w:trPr>
        <w:tc>
          <w:tcPr>
            <w:tcW w:w="9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Transaction costs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18.77</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7"/>
                <w:szCs w:val="17"/>
                <w:color w:val="auto"/>
              </w:rPr>
            </w:pPr>
          </w:p>
        </w:tc>
      </w:tr>
      <w:tr>
        <w:trPr>
          <w:trHeight w:val="203"/>
        </w:trPr>
        <w:tc>
          <w:tcPr>
            <w:tcW w:w="9780" w:type="dxa"/>
            <w:vAlign w:val="bottom"/>
          </w:tcPr>
          <w:p>
            <w:pPr>
              <w:ind w:left="320"/>
              <w:spacing w:after="0" w:line="202" w:lineRule="exact"/>
              <w:rPr>
                <w:sz w:val="20"/>
                <w:szCs w:val="20"/>
                <w:color w:val="auto"/>
              </w:rPr>
            </w:pPr>
            <w:r>
              <w:rPr>
                <w:rFonts w:ascii="Arial" w:cs="Arial" w:eastAsia="Arial" w:hAnsi="Arial"/>
                <w:sz w:val="18"/>
                <w:szCs w:val="18"/>
                <w:color w:val="auto"/>
              </w:rPr>
              <w:t>Change in valuation allowance</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(7.55)</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0.35</w:t>
            </w:r>
          </w:p>
        </w:tc>
        <w:tc>
          <w:tcPr>
            <w:tcW w:w="220" w:type="dxa"/>
            <w:vAlign w:val="bottom"/>
          </w:tcPr>
          <w:p>
            <w:pPr>
              <w:spacing w:after="0"/>
              <w:rPr>
                <w:sz w:val="17"/>
                <w:szCs w:val="17"/>
                <w:color w:val="auto"/>
              </w:rPr>
            </w:pPr>
          </w:p>
        </w:tc>
      </w:tr>
      <w:tr>
        <w:trPr>
          <w:trHeight w:val="203"/>
        </w:trPr>
        <w:tc>
          <w:tcPr>
            <w:tcW w:w="97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Prior year refunds</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(0.62)</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(8.49)</w:t>
            </w:r>
          </w:p>
        </w:tc>
      </w:tr>
      <w:tr>
        <w:trPr>
          <w:trHeight w:val="210"/>
        </w:trPr>
        <w:tc>
          <w:tcPr>
            <w:tcW w:w="9780" w:type="dxa"/>
            <w:vAlign w:val="bottom"/>
          </w:tcPr>
          <w:p>
            <w:pPr>
              <w:ind w:left="320"/>
              <w:spacing w:after="0" w:line="202" w:lineRule="exact"/>
              <w:rPr>
                <w:sz w:val="20"/>
                <w:szCs w:val="20"/>
                <w:color w:val="auto"/>
              </w:rPr>
            </w:pPr>
            <w:r>
              <w:rPr>
                <w:rFonts w:ascii="Arial" w:cs="Arial" w:eastAsia="Arial" w:hAnsi="Arial"/>
                <w:sz w:val="18"/>
                <w:szCs w:val="18"/>
                <w:color w:val="auto"/>
              </w:rPr>
              <w:t>Other, net</w:t>
            </w: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w:t>
            </w:r>
          </w:p>
        </w:tc>
        <w:tc>
          <w:tcPr>
            <w:tcW w:w="420" w:type="dxa"/>
            <w:vAlign w:val="bottom"/>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r>
      <w:tr>
        <w:trPr>
          <w:trHeight w:val="203"/>
        </w:trPr>
        <w:tc>
          <w:tcPr>
            <w:tcW w:w="9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70.80%</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43.77%</w:t>
            </w:r>
          </w:p>
        </w:tc>
      </w:tr>
      <w:tr>
        <w:trPr>
          <w:trHeight w:val="20"/>
        </w:trPr>
        <w:tc>
          <w:tcPr>
            <w:tcW w:w="9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9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During fiscal 2011, the Company incurred approximately $1,607,700 of transaction costs associated with the MeadowWood acquisition and the Acadia merger (See Note P). The Company has disallowed these costs for tax purposes.</w:t>
      </w:r>
    </w:p>
    <w:p>
      <w:pPr>
        <w:spacing w:after="0" w:line="11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Company adopted certain provisions of ASC 740 “Income Taxes” on July 1, 2007 as it relates to uncertain tax positions. As a result of the implementation of ASC 740, the Company recognized no material adjustment in the liability for unrecognized tax benefits.</w:t>
      </w:r>
    </w:p>
    <w:p>
      <w:pPr>
        <w:spacing w:after="0" w:line="114"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The Company recognizes interest and penalties related to uncertain tax positions in general and administrative expense. As of June 30, 2011, the Company has not recorded any provisions for uncertain tax positions or for accrued interest and penalties related to uncertain tax positions.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Tax years 2006-2010 remain open to examination by the major taxing authorities to which the Company is subject.</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91"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K—COMMITMENTS AND CONTINGENT LIABILITIES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7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leases office and treatment facilities, furniture and equipment under operating leases expiring on various dates through June 2019. Rent expense for the years ended June 30, 2011 and 2010 was $3,449,016 and $3,650,278, respectively. Rent expense includes certain short-term rentals. Minimum future rental payments under non-cancelable operating leases, having remaining terms in excess of one year as of June 30,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YEAR ENDING JUNE 30,</w:t>
            </w:r>
          </w:p>
        </w:tc>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2012</w:t>
            </w:r>
          </w:p>
        </w:tc>
        <w:tc>
          <w:tcPr>
            <w:tcW w:w="8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20" w:type="dxa"/>
            <w:vAlign w:val="bottom"/>
            <w:vMerge w:val="continue"/>
            <w:shd w:val="clear" w:color="auto" w:fill="CCEEFF"/>
          </w:tcPr>
          <w:p>
            <w:pPr>
              <w:spacing w:after="0"/>
              <w:rPr>
                <w:sz w:val="16"/>
                <w:szCs w:val="16"/>
                <w:color w:val="auto"/>
              </w:rPr>
            </w:pPr>
          </w:p>
        </w:tc>
        <w:tc>
          <w:tcPr>
            <w:tcW w:w="87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3,480,838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3,066,926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8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2,831,549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2,533,014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8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2,379,368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8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5,279,168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spacing w:after="0"/>
              <w:rPr>
                <w:sz w:val="17"/>
                <w:szCs w:val="17"/>
                <w:color w:val="auto"/>
              </w:rPr>
            </w:pPr>
          </w:p>
        </w:tc>
        <w:tc>
          <w:tcPr>
            <w:tcW w:w="8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19,570,863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7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During the current fiscal year, the Michigan Court of Appeals upheld an appeal involving the company and a terminated employee requiring the Company to pay $446,320, which included accrued interest, to the terminated employee to satisfy this judgment. This amount is shown as a legal settlement expense in the accompanying statements of income for the year ended June 30, 2011.</w:t>
      </w:r>
    </w:p>
    <w:p>
      <w:pPr>
        <w:spacing w:after="0" w:line="11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On June 2, 2011, a putative stockholder class action lawsuit was filed in Massachusetts state court, MAZ Partners LP v. Bruce A. Shear, et al., C.A. No. 11-1041, against the Company, the members of the Company’s board of directors, and Acadia Healthcare Company, Inc. The MAZ Partners complaint asserts that the members of the Company’s board of directors breached their fiduciary duties by causing the Company to enter into the merger agreement and further asserts that Acadia aided and abetted those alleged breaches of fiduciary duty. Specifically, the MAZ Partners complaint alleged that the process by which the merger agreement was entered into was unfair and that the agreement itself is unfair in that, according to the plaintiff, the compensation to be paid to the Company’s Class A shareholders is inadequate, particularly in light of the proposed cash payment to be paid to Class B shareholders and the anticipated pre-closing payment of a dividend to Arcadia shareholders and the anticipated level of debt to be held by the merged entity. The complaint sought, among other relief, an order enjoining the consummation of the merger and rescinding the merger agreement.</w:t>
      </w:r>
    </w:p>
    <w:p>
      <w:pPr>
        <w:spacing w:after="0" w:line="12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On June 13, 2011, a second lawsuit was filed in federal district court in Massachusetts, Blakeslee v. PHC, Inc., et al., No. 11-cv-11049, making essentially the same allegations against the same defendants. On June 21, 2011, the Company removed the MAZ Partners case to federal court (11-cv-11099). On July 7, 2011, the parties to the MAZ Partners case moved to consolidate that action with the Blakeslee case and asked the court to approve a schedule for discovery and a potential hearing on plaintiff’s motion for a preliminary injunction.</w:t>
      </w:r>
    </w:p>
    <w:p>
      <w:pPr>
        <w:spacing w:after="0" w:line="1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August 11, 2011, the plaintiffs in the MAZ Partners case filed an amended class action complaint. Like the original complaint, the amended complaint asserts claims of breach of fiduciary duty against the Company, members of the Company’s board of directors, and claims of aiding and abetting those alleged breaches of fiduciary duty against Acadia. The amended complaint alleges that both the merger process and the provisions of the merger are unfair, that the directors and executive officers of the Company have conflicts of interests with regard to the merger, that the dividend to be paid to Acadia shareholders is inappropriate, that a special committee or independent director should have been appointed to represent the interest of the Class A shareholders, that the merger consideration is grossly inadequate and the exchange ratio is unfair, and that the preliminary proxy filed by the Company contains material misstatements and omissions. The amended complaint also seeks, among other things, an order enjoining the consummation of the merger and rescinding the merger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163" w:name="page164"/>
    <w:bookmarkEnd w:id="163"/>
    <w:p>
      <w:pPr>
        <w:ind w:right="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PHC and Acadia believe the claims are without merit and intend to defend against them vigorously. PHC and Acadia have recently filed motions to dismiss in each case. Regardless of the disposition of the motions to dismiss, PHC and Acadia do not anticipate the outcome to have a material impact on the progress of the merger.</w:t>
      </w:r>
    </w:p>
    <w:p>
      <w:pPr>
        <w:spacing w:after="0" w:line="114"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Additionally, the Company is subject to various claims and legal action that arise in the ordinary course of business. In the opinion of management, the Company is not currently a party to any proceeding that would have a material adverse effect on its financial condition or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L—STOCKHOLDERS’ EQUITY AND STOCK PLANS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4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Board of Directors is authorized, without further action of the shareholders, to issue up to 1,000,000 shares in one or more classes or series and to determine, with respect to any series so established, the preferences, voting powers, qualifications and special or relative rights of the established class or series, which rights may be in preference to the rights of common stock. No shares of the Company’s preferred stock are currently issued.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4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Company has authorized two classes of common stock, the Class A Common Stock and the Class B Common Stock. Subject to preferential rights in favor of the holders of the Preferred Stock, the holders of the common stock are entitled to dividends when, as and if declared by the Company’s Board of Directors. Holders of the Class A Common Stock and the Class B Common Stock are entitled to share equally in such dividends, except that stock dividends (which shall be at the same rate) shall be payable only in Class A Common Stock to holders of Class A Common Stock and only in Class B Common Stock to holders of Class B Common Stock.</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4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Class A Common Stock is entitled to one vote per share with respect to all matters on which shareholders are entitled to vote, except as otherwise required by law and except that the holders of the Class A Common Stock are entitled to elect two members to the Company’s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Class A Common Stock is non-redeemable and non-convertible and has no pre-emptive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Class A Common Stock are fully paid and nonassessable.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4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Class B Common Stock is entitled to five votes per share with respect to all matters on which shareholders are entitled to vote, except as otherwise required by law and except that the holders of the Class A Common Stock are entitled to elect two members to the Company’s Board of Directors. The holders of the Class B Common Stock are entitled to elect all of the remaining members of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Class B Common Stock is non-redeemable and has no pre-emptive rights.</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share of Class B Common Stock is convertible, at the option of its holder, into a share of Class A Common Stock. In addition, each share of Class B Common Stock is automatically convertible into one fully-paid and non-assessable share of Class A Common Stock (i) upon its sale, gift or transfer to a person who is not an affiliate of the initial holder thereof or (ii) if transferred to such an affiliate, upon its subsequent sale, gift or other transfer to a person who is not an affiliate of the initial holder. Shares of Class B Common Stock that are converted into Class A Common Stock will be retired and cancelled and shall not be reissued.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Class B Common Stock are fully paid and nonassessable.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4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Company has three active stock plans: a stock option plan, an employee stock purchase plan and a non-employee directors’ stock option plan, and three expired plans, the 1993 Employee and Directors Stock Option plan, the 1995 Non-employee Directors’ stock option plan and the 1995 Employee Stock Purchase Plan.</w:t>
      </w:r>
    </w:p>
    <w:p>
      <w:pPr>
        <w:spacing w:after="0" w:line="114"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The stock option plan, dated December 2003 and expiring in December 2013, as amended in October 2007, provides for the issuance of a maximum of 1,900,000 shares of Class A Common Stock of the Company pursuant to the grant of incentive stock options to employees or nonqualified stock options to employees, directors, consultants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92" w:right="239" w:bottom="1440" w:gutter="0" w:footer="0" w:header="0"/>
        </w:sectPr>
      </w:pPr>
    </w:p>
    <w:bookmarkStart w:id="164" w:name="page165"/>
    <w:bookmarkEnd w:id="164"/>
    <w:p>
      <w:pPr>
        <w:ind w:right="2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others whose efforts are important to the success of the Company. Subject to the provisions of this plan, the compensation committee of the Board of Directors has the authority to select the optionees and determine the terms of the options including: (i) the number of shares, (ii) option exercise terms, (iii) the exercise or purchase price (which in the case of an incentive stock option will not be less than the market price of the Class A Common Stock as of the date of grant), (iv) type and duration of transfer or other restrictions and (v) the time and form of payment for restricted stock upon exercise of options. As of June 30, 2011, 1,714,500 options were granted under this plan, of which 754,563 expired leaving 940,063 options available for grant under this plan.</w:t>
      </w:r>
    </w:p>
    <w:p>
      <w:pPr>
        <w:spacing w:after="0" w:line="116"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On October 18, 1995, the Board of Directors voted to provide employees who work in excess of 20 hours per week and more than five months per year rights to elect to participate in an Employee Stock Purchase Plan (the “Plan”), which became effective February 1, 1996. The price per share shall be the lesser of 85% of the average of the bid and ask price on the first day of the plan period or the last day of the plan period to encourage stock ownership by all eligible employees. The plan was amended on December 19, 2001 and December 19, 2002 to allow for a total of</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500,000 shares of Class A Common Stock to be issued under the plan. Before its expiration on October 18, 2005, 157,034 shares were issued under the plan. On January 31, 2006 the stockholders approved a replacement Employee Stock Purchase Plan to replace the 1995 plan. A maximum of 500,000 shares may be issued under the January 2006 plan (the “2006 Plan”). The new plan is identical to the old plan and expires on January 31, 2016. As of June 30, 2011, 71,936 shares have been issued under this plan. During fiscal 2008, the Board of Directors authorized a new offering for a six month contribution term instead of the former one year term. At June 30, 2011, there were 428,064 shares available for issue under the 2006 Plan.</w:t>
      </w:r>
    </w:p>
    <w:p>
      <w:pPr>
        <w:spacing w:after="0" w:line="11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non-employee directors’ stock option plan provides for the grant of non-statutory stock options automatically at the time of each annual meeting of the Board. Under this plan, a maximum of 950,000 shares may be issued. Each outside director is granted an option to purchase 20,000 shares of Class A Common Stock annually at fair market value on the date of grant, vesting 25% immediately and 25% on each of the first three anniversaries of the grant and expiring ten years from the grant date. As of June 30, 2011, a total of 420,000 options were issued under the plan and there were 530,000 options available for grant under this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activity in its stock option plans for fiscal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NUMBER OF</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4"/>
          </w:tcPr>
          <w:p>
            <w:pPr>
              <w:ind w:left="540"/>
              <w:spacing w:after="0"/>
              <w:rPr>
                <w:sz w:val="20"/>
                <w:szCs w:val="20"/>
                <w:color w:val="auto"/>
              </w:rPr>
            </w:pPr>
            <w:r>
              <w:rPr>
                <w:rFonts w:ascii="Arial" w:cs="Arial" w:eastAsia="Arial" w:hAnsi="Arial"/>
                <w:sz w:val="14"/>
                <w:szCs w:val="14"/>
                <w:b w:val="1"/>
                <w:bCs w:val="1"/>
                <w:color w:val="auto"/>
              </w:rPr>
              <w:t>WEIGHTED-AVERAGE</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00"/>
              <w:spacing w:after="0" w:line="119" w:lineRule="exact"/>
              <w:rPr>
                <w:sz w:val="20"/>
                <w:szCs w:val="20"/>
                <w:color w:val="auto"/>
              </w:rPr>
            </w:pPr>
            <w:r>
              <w:rPr>
                <w:rFonts w:ascii="Arial" w:cs="Arial" w:eastAsia="Arial" w:hAnsi="Arial"/>
                <w:sz w:val="12"/>
                <w:szCs w:val="12"/>
                <w:b w:val="1"/>
                <w:bCs w:val="1"/>
                <w:color w:val="auto"/>
              </w:rPr>
              <w:t>EXERCISE</w:t>
            </w:r>
          </w:p>
        </w:tc>
        <w:tc>
          <w:tcPr>
            <w:tcW w:w="1460" w:type="dxa"/>
            <w:vAlign w:val="bottom"/>
            <w:tcBorders>
              <w:top w:val="single" w:sz="8" w:color="auto"/>
            </w:tcBorders>
          </w:tcPr>
          <w:p>
            <w:pPr>
              <w:jc w:val="right"/>
              <w:ind w:right="261"/>
              <w:spacing w:after="0" w:line="119" w:lineRule="exact"/>
              <w:rPr>
                <w:sz w:val="20"/>
                <w:szCs w:val="20"/>
                <w:color w:val="auto"/>
              </w:rPr>
            </w:pPr>
            <w:r>
              <w:rPr>
                <w:rFonts w:ascii="Arial" w:cs="Arial" w:eastAsia="Arial" w:hAnsi="Arial"/>
                <w:sz w:val="12"/>
                <w:szCs w:val="12"/>
                <w:b w:val="1"/>
                <w:bCs w:val="1"/>
                <w:color w:val="auto"/>
              </w:rPr>
              <w:t>REMAINING</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77"/>
              <w:spacing w:after="0" w:line="119" w:lineRule="exact"/>
              <w:rPr>
                <w:sz w:val="20"/>
                <w:szCs w:val="20"/>
                <w:color w:val="auto"/>
              </w:rPr>
            </w:pPr>
            <w:r>
              <w:rPr>
                <w:rFonts w:ascii="Arial" w:cs="Arial" w:eastAsia="Arial" w:hAnsi="Arial"/>
                <w:sz w:val="12"/>
                <w:szCs w:val="12"/>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3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3"/>
              </w:rPr>
              <w:t>PRICE</w:t>
            </w:r>
          </w:p>
        </w:tc>
        <w:tc>
          <w:tcPr>
            <w:tcW w:w="6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CONTRACTUAL TERM</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balance—June 30, 2009</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1,544,250</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w:t>
            </w:r>
          </w:p>
        </w:tc>
        <w:tc>
          <w:tcPr>
            <w:tcW w:w="6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235,000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c>
          <w:tcPr>
            <w:tcW w:w="6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Expired</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(218,750)</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balance—June 30, 2010</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1,558,500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c>
          <w:tcPr>
            <w:tcW w:w="6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112,000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(95,000)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6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98,560</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Expired</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(288,250)</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balance—June 30, 2011</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1,287,250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3.83 years</w:t>
            </w:r>
          </w:p>
        </w:tc>
        <w:tc>
          <w:tcPr>
            <w:tcW w:w="4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1,887,125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tcPr>
          <w:p>
            <w:pPr>
              <w:spacing w:after="0" w:line="196" w:lineRule="exact"/>
              <w:rPr>
                <w:sz w:val="20"/>
                <w:szCs w:val="20"/>
                <w:color w:val="auto"/>
              </w:rPr>
            </w:pPr>
            <w:r>
              <w:rPr>
                <w:rFonts w:ascii="Arial" w:cs="Arial" w:eastAsia="Arial" w:hAnsi="Arial"/>
                <w:sz w:val="18"/>
                <w:szCs w:val="18"/>
                <w:color w:val="auto"/>
              </w:rPr>
              <w:t>Exercisable at June 30, 2011</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1,034,186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1.96</w:t>
            </w:r>
          </w:p>
        </w:tc>
        <w:tc>
          <w:tcPr>
            <w:tcW w:w="600" w:type="dxa"/>
            <w:vAlign w:val="bottom"/>
          </w:tcPr>
          <w:p>
            <w:pPr>
              <w:spacing w:after="0"/>
              <w:rPr>
                <w:sz w:val="17"/>
                <w:szCs w:val="17"/>
                <w:color w:val="auto"/>
              </w:rPr>
            </w:pPr>
          </w:p>
        </w:tc>
        <w:tc>
          <w:tcPr>
            <w:tcW w:w="17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3.29 years</w:t>
            </w:r>
          </w:p>
        </w:tc>
        <w:tc>
          <w:tcPr>
            <w:tcW w:w="420" w:type="dxa"/>
            <w:vAlign w:val="bottom"/>
            <w:gridSpan w:val="2"/>
          </w:tcPr>
          <w:p>
            <w:pPr>
              <w:ind w:left="30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1,388,225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June 30, 2010</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1,189,372</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6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3.02 years</w:t>
            </w:r>
          </w:p>
        </w:tc>
        <w:tc>
          <w:tcPr>
            <w:tcW w:w="42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58,773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538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outstanding options under the Company’s stock plans, the Company has the following warrants outstanding at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DATE OF</w:t>
            </w:r>
          </w:p>
        </w:tc>
        <w:tc>
          <w:tcPr>
            <w:tcW w:w="3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6"/>
              </w:rPr>
              <w:t>NUMBER OF</w:t>
            </w:r>
          </w:p>
        </w:tc>
        <w:tc>
          <w:tcPr>
            <w:tcW w:w="5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EXPIRATION</w:t>
            </w:r>
          </w:p>
        </w:tc>
      </w:tr>
      <w:tr>
        <w:trPr>
          <w:trHeight w:val="149"/>
        </w:trPr>
        <w:tc>
          <w:tcPr>
            <w:tcW w:w="12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ISSUANCE</w:t>
            </w:r>
          </w:p>
        </w:tc>
        <w:tc>
          <w:tcPr>
            <w:tcW w:w="300" w:type="dxa"/>
            <w:vAlign w:val="bottom"/>
          </w:tcPr>
          <w:p>
            <w:pPr>
              <w:spacing w:after="0"/>
              <w:rPr>
                <w:sz w:val="12"/>
                <w:szCs w:val="12"/>
                <w:color w:val="auto"/>
              </w:rPr>
            </w:pPr>
          </w:p>
        </w:tc>
        <w:tc>
          <w:tcPr>
            <w:tcW w:w="5940" w:type="dxa"/>
            <w:vAlign w:val="bottom"/>
            <w:gridSpan w:val="2"/>
          </w:tcPr>
          <w:p>
            <w:pPr>
              <w:ind w:left="2300"/>
              <w:spacing w:after="0" w:line="129" w:lineRule="exact"/>
              <w:rPr>
                <w:sz w:val="20"/>
                <w:szCs w:val="20"/>
                <w:color w:val="auto"/>
              </w:rPr>
            </w:pPr>
            <w:r>
              <w:rPr>
                <w:rFonts w:ascii="Arial" w:cs="Arial" w:eastAsia="Arial" w:hAnsi="Arial"/>
                <w:sz w:val="14"/>
                <w:szCs w:val="14"/>
                <w:b w:val="1"/>
                <w:bCs w:val="1"/>
                <w:color w:val="auto"/>
              </w:rPr>
              <w:t>DESCRIPTION</w:t>
            </w:r>
          </w:p>
        </w:tc>
        <w:tc>
          <w:tcPr>
            <w:tcW w:w="84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PER SHARE</w:t>
            </w:r>
          </w:p>
        </w:tc>
        <w:tc>
          <w:tcPr>
            <w:tcW w:w="9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DATE</w:t>
            </w:r>
          </w:p>
        </w:tc>
      </w:tr>
      <w:tr>
        <w:trPr>
          <w:trHeight w:val="20"/>
        </w:trPr>
        <w:tc>
          <w:tcPr>
            <w:tcW w:w="70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6"/>
        </w:trPr>
        <w:tc>
          <w:tcPr>
            <w:tcW w:w="1200" w:type="dxa"/>
            <w:vAlign w:val="bottom"/>
            <w:gridSpan w:val="2"/>
            <w:shd w:val="clear" w:color="auto" w:fill="CCEEFF"/>
          </w:tcPr>
          <w:p>
            <w:pPr>
              <w:spacing w:after="0" w:line="186" w:lineRule="exact"/>
              <w:rPr>
                <w:sz w:val="20"/>
                <w:szCs w:val="20"/>
                <w:color w:val="auto"/>
              </w:rPr>
            </w:pPr>
            <w:r>
              <w:rPr>
                <w:rFonts w:ascii="Arial" w:cs="Arial" w:eastAsia="Arial" w:hAnsi="Arial"/>
                <w:sz w:val="18"/>
                <w:szCs w:val="18"/>
                <w:color w:val="auto"/>
              </w:rPr>
              <w:t>06/13/2007</w:t>
            </w:r>
          </w:p>
        </w:tc>
        <w:tc>
          <w:tcPr>
            <w:tcW w:w="6240" w:type="dxa"/>
            <w:vAlign w:val="bottom"/>
            <w:gridSpan w:val="3"/>
            <w:shd w:val="clear" w:color="auto" w:fill="CCEEFF"/>
          </w:tcPr>
          <w:p>
            <w:pPr>
              <w:ind w:left="300"/>
              <w:spacing w:after="0" w:line="186" w:lineRule="exact"/>
              <w:rPr>
                <w:sz w:val="20"/>
                <w:szCs w:val="20"/>
                <w:color w:val="auto"/>
              </w:rPr>
            </w:pPr>
            <w:r>
              <w:rPr>
                <w:rFonts w:ascii="Arial" w:cs="Arial" w:eastAsia="Arial" w:hAnsi="Arial"/>
                <w:sz w:val="18"/>
                <w:szCs w:val="18"/>
                <w:color w:val="auto"/>
              </w:rPr>
              <w:t>Warrants issued in conjunction with long-term debt transaction,</w:t>
            </w: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$456,880 recorded as deferred financing costs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250,000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3.09</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June 2017</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09/01/2007</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$7,400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Sept 2012</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10/01/2007</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$6,268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Oct 2012</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11/01/2007</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$6,013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Nov 2012</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12/01/2007</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$6,216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Dec 2012</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01/01/2008</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$7,048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Jan 2013</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02/01/2008</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$5,222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Feb 2013</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03/01/2008</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$6,216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Mar 2013</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04/01/2008</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$5,931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Apr 2013</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05/01/2008</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$6,420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May 2013</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06/01/2008</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$6,215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June 2013</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07/01/2008</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$5,458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Jul 2013</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08/01/2008</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$4,914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Aug 2013</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09/01/2008</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$5,776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6,000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Sep 2013</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10/01/2008</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$2,603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Oct 2013</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11/01/2008</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$1,772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3,000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Nov 2013</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12/01/2008</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$780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Dec 2013</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01/01/2009</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$725 charged to professional</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3,000</w:t>
            </w: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Jan 2014</w:t>
            </w:r>
          </w:p>
        </w:tc>
      </w:tr>
      <w:tr>
        <w:trPr>
          <w:trHeight w:val="206"/>
        </w:trPr>
        <w:tc>
          <w:tcPr>
            <w:tcW w:w="12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02/01/2009</w:t>
            </w:r>
          </w:p>
        </w:tc>
        <w:tc>
          <w:tcPr>
            <w:tcW w:w="6240" w:type="dxa"/>
            <w:vAlign w:val="bottom"/>
            <w:gridSpan w:val="3"/>
            <w:shd w:val="clear" w:color="auto" w:fill="CCEEFF"/>
          </w:tcPr>
          <w:p>
            <w:pPr>
              <w:ind w:left="300"/>
              <w:spacing w:after="0" w:line="206" w:lineRule="exact"/>
              <w:rPr>
                <w:sz w:val="20"/>
                <w:szCs w:val="20"/>
                <w:color w:val="auto"/>
              </w:rPr>
            </w:pPr>
            <w:r>
              <w:rPr>
                <w:rFonts w:ascii="Arial" w:cs="Arial" w:eastAsia="Arial" w:hAnsi="Arial"/>
                <w:sz w:val="18"/>
                <w:szCs w:val="18"/>
                <w:color w:val="auto"/>
              </w:rPr>
              <w:t>Warrants issued for consulting services $639 charged to professional</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40" w:type="dxa"/>
            <w:vAlign w:val="bottom"/>
            <w:gridSpan w:val="3"/>
            <w:shd w:val="clear" w:color="auto" w:fill="CCEEFF"/>
          </w:tcPr>
          <w:p>
            <w:pPr>
              <w:ind w:left="300"/>
              <w:spacing w:after="0" w:line="200" w:lineRule="exact"/>
              <w:rPr>
                <w:sz w:val="20"/>
                <w:szCs w:val="20"/>
                <w:color w:val="auto"/>
              </w:rPr>
            </w:pPr>
            <w:r>
              <w:rPr>
                <w:rFonts w:ascii="Arial" w:cs="Arial" w:eastAsia="Arial" w:hAnsi="Arial"/>
                <w:sz w:val="18"/>
                <w:szCs w:val="18"/>
                <w:color w:val="auto"/>
              </w:rPr>
              <w:t>fees</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3,000</w:t>
            </w:r>
          </w:p>
        </w:tc>
        <w:tc>
          <w:tcPr>
            <w:tcW w:w="6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Feb 2014</w:t>
            </w:r>
          </w:p>
        </w:tc>
      </w:tr>
      <w:tr>
        <w:trPr>
          <w:trHeight w:val="206"/>
        </w:trPr>
        <w:tc>
          <w:tcPr>
            <w:tcW w:w="1200" w:type="dxa"/>
            <w:vAlign w:val="bottom"/>
            <w:gridSpan w:val="2"/>
          </w:tcPr>
          <w:p>
            <w:pPr>
              <w:spacing w:after="0" w:line="206" w:lineRule="exact"/>
              <w:rPr>
                <w:sz w:val="20"/>
                <w:szCs w:val="20"/>
                <w:color w:val="auto"/>
              </w:rPr>
            </w:pPr>
            <w:r>
              <w:rPr>
                <w:rFonts w:ascii="Arial" w:cs="Arial" w:eastAsia="Arial" w:hAnsi="Arial"/>
                <w:sz w:val="18"/>
                <w:szCs w:val="18"/>
                <w:color w:val="auto"/>
              </w:rPr>
              <w:t>08/16/2010</w:t>
            </w:r>
          </w:p>
        </w:tc>
        <w:tc>
          <w:tcPr>
            <w:tcW w:w="6240" w:type="dxa"/>
            <w:vAlign w:val="bottom"/>
            <w:gridSpan w:val="3"/>
          </w:tcPr>
          <w:p>
            <w:pPr>
              <w:ind w:left="300"/>
              <w:spacing w:after="0" w:line="206" w:lineRule="exact"/>
              <w:rPr>
                <w:sz w:val="20"/>
                <w:szCs w:val="20"/>
                <w:color w:val="auto"/>
              </w:rPr>
            </w:pPr>
            <w:r>
              <w:rPr>
                <w:rFonts w:ascii="Arial" w:cs="Arial" w:eastAsia="Arial" w:hAnsi="Arial"/>
                <w:sz w:val="18"/>
                <w:szCs w:val="18"/>
                <w:color w:val="auto"/>
              </w:rPr>
              <w:t>Warrants issued for consulting services $11,626 charged to</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40" w:type="dxa"/>
            <w:vAlign w:val="bottom"/>
            <w:gridSpan w:val="3"/>
          </w:tcPr>
          <w:p>
            <w:pPr>
              <w:ind w:left="300"/>
              <w:spacing w:after="0"/>
              <w:rPr>
                <w:sz w:val="20"/>
                <w:szCs w:val="20"/>
                <w:color w:val="auto"/>
              </w:rPr>
            </w:pPr>
            <w:r>
              <w:rPr>
                <w:rFonts w:ascii="Arial" w:cs="Arial" w:eastAsia="Arial" w:hAnsi="Arial"/>
                <w:sz w:val="18"/>
                <w:szCs w:val="18"/>
                <w:color w:val="auto"/>
              </w:rPr>
              <w:t>professional fees</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Aug 2013</w:t>
            </w:r>
          </w:p>
        </w:tc>
      </w:tr>
      <w:tr>
        <w:trPr>
          <w:trHeight w:val="513"/>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gridSpan w:val="2"/>
          </w:tcPr>
          <w:p>
            <w:pPr>
              <w:ind w:left="442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had the following warrant activity during fiscal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balance—June 30,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343,000</w:t>
            </w:r>
          </w:p>
        </w:tc>
        <w:tc>
          <w:tcPr>
            <w:tcW w:w="120" w:type="dxa"/>
            <w:vAlign w:val="bottom"/>
            <w:shd w:val="clear" w:color="auto" w:fill="CCEEFF"/>
          </w:tcPr>
          <w:p>
            <w:pPr>
              <w:spacing w:after="0"/>
              <w:rPr>
                <w:sz w:val="17"/>
                <w:szCs w:val="17"/>
                <w:color w:val="auto"/>
              </w:rPr>
            </w:pPr>
          </w:p>
        </w:tc>
      </w:tr>
      <w:tr>
        <w:trPr>
          <w:trHeight w:val="203"/>
        </w:trPr>
        <w:tc>
          <w:tcPr>
            <w:tcW w:w="10600" w:type="dxa"/>
            <w:vAlign w:val="bottom"/>
          </w:tcPr>
          <w:p>
            <w:pPr>
              <w:spacing w:after="0" w:line="202" w:lineRule="exact"/>
              <w:rPr>
                <w:sz w:val="20"/>
                <w:szCs w:val="20"/>
                <w:color w:val="auto"/>
              </w:rPr>
            </w:pPr>
            <w:r>
              <w:rPr>
                <w:rFonts w:ascii="Arial" w:cs="Arial" w:eastAsia="Arial" w:hAnsi="Arial"/>
                <w:sz w:val="18"/>
                <w:szCs w:val="18"/>
                <w:color w:val="auto"/>
              </w:rPr>
              <w:t>Warrants issued</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10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10600" w:type="dxa"/>
            <w:vAlign w:val="bottom"/>
          </w:tcPr>
          <w:p>
            <w:pPr>
              <w:spacing w:after="0" w:line="202" w:lineRule="exact"/>
              <w:rPr>
                <w:sz w:val="20"/>
                <w:szCs w:val="20"/>
                <w:color w:val="auto"/>
              </w:rPr>
            </w:pPr>
            <w:r>
              <w:rPr>
                <w:rFonts w:ascii="Arial" w:cs="Arial" w:eastAsia="Arial" w:hAnsi="Arial"/>
                <w:sz w:val="18"/>
                <w:szCs w:val="18"/>
                <w:color w:val="auto"/>
              </w:rPr>
              <w:t>Expired</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10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balance—June 30, 2010</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343,000</w:t>
            </w:r>
          </w:p>
        </w:tc>
        <w:tc>
          <w:tcPr>
            <w:tcW w:w="120" w:type="dxa"/>
            <w:vAlign w:val="bottom"/>
            <w:shd w:val="clear" w:color="auto" w:fill="CCEEFF"/>
          </w:tcPr>
          <w:p>
            <w:pPr>
              <w:spacing w:after="0"/>
              <w:rPr>
                <w:sz w:val="17"/>
                <w:szCs w:val="17"/>
                <w:color w:val="auto"/>
              </w:rPr>
            </w:pPr>
          </w:p>
        </w:tc>
      </w:tr>
      <w:tr>
        <w:trPr>
          <w:trHeight w:val="203"/>
        </w:trPr>
        <w:tc>
          <w:tcPr>
            <w:tcW w:w="10600" w:type="dxa"/>
            <w:vAlign w:val="bottom"/>
          </w:tcPr>
          <w:p>
            <w:pPr>
              <w:spacing w:after="0" w:line="202" w:lineRule="exact"/>
              <w:rPr>
                <w:sz w:val="20"/>
                <w:szCs w:val="20"/>
                <w:color w:val="auto"/>
              </w:rPr>
            </w:pPr>
            <w:r>
              <w:rPr>
                <w:rFonts w:ascii="Arial" w:cs="Arial" w:eastAsia="Arial" w:hAnsi="Arial"/>
                <w:sz w:val="18"/>
                <w:szCs w:val="18"/>
                <w:color w:val="auto"/>
              </w:rPr>
              <w:t>Warrants issued</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7"/>
                <w:szCs w:val="17"/>
                <w:color w:val="auto"/>
              </w:rPr>
            </w:pPr>
          </w:p>
        </w:tc>
      </w:tr>
      <w:tr>
        <w:trPr>
          <w:trHeight w:val="203"/>
        </w:trPr>
        <w:tc>
          <w:tcPr>
            <w:tcW w:w="10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10600" w:type="dxa"/>
            <w:vAlign w:val="bottom"/>
          </w:tcPr>
          <w:p>
            <w:pPr>
              <w:spacing w:after="0" w:line="202" w:lineRule="exact"/>
              <w:rPr>
                <w:sz w:val="20"/>
                <w:szCs w:val="20"/>
                <w:color w:val="auto"/>
              </w:rPr>
            </w:pPr>
            <w:r>
              <w:rPr>
                <w:rFonts w:ascii="Arial" w:cs="Arial" w:eastAsia="Arial" w:hAnsi="Arial"/>
                <w:sz w:val="18"/>
                <w:szCs w:val="18"/>
                <w:color w:val="auto"/>
              </w:rPr>
              <w:t>Expired</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10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balance—June 30, 2011</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363,000</w:t>
            </w:r>
          </w:p>
        </w:tc>
        <w:tc>
          <w:tcPr>
            <w:tcW w:w="120" w:type="dxa"/>
            <w:vAlign w:val="bottom"/>
            <w:shd w:val="clear" w:color="auto" w:fill="CCEEFF"/>
          </w:tcPr>
          <w:p>
            <w:pPr>
              <w:spacing w:after="0"/>
              <w:rPr>
                <w:sz w:val="17"/>
                <w:szCs w:val="17"/>
                <w:color w:val="auto"/>
              </w:rPr>
            </w:pPr>
          </w:p>
        </w:tc>
      </w:tr>
      <w:tr>
        <w:trPr>
          <w:trHeight w:val="20"/>
        </w:trPr>
        <w:tc>
          <w:tcPr>
            <w:tcW w:w="10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During fiscal 2011, the Company issued warrants to purchase 20,000 shares of Class A common stock as part of a consulting agreement for marketing services. The fair value of these warrants of $11,626 was recorded as professional fees when each warrant was issued as reflected in the table above. No warrants were issued in fiscal 2010.</w:t>
      </w:r>
    </w:p>
    <w:p>
      <w:pPr>
        <w:spacing w:after="0" w:line="1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During the fiscal year ended June 30, 2011, the Company acquired 173,495 shares of Class A common stock for $215,327 under Board approved plans.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M—BUSINESS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BEHAVIORAL</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HEALTH</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TREATMENT</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SERVICES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SERVICES</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83"/>
        </w:trPr>
        <w:tc>
          <w:tcPr>
            <w:tcW w:w="3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For the year ended June 30, 2011</w:t>
            </w:r>
          </w:p>
        </w:tc>
        <w:tc>
          <w:tcPr>
            <w:tcW w:w="4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Revenues—external customers</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$ 57,495,735</w:t>
            </w: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$4,512,144</w:t>
            </w:r>
          </w:p>
        </w:tc>
        <w:tc>
          <w:tcPr>
            <w:tcW w:w="300" w:type="dxa"/>
            <w:vAlign w:val="bottom"/>
          </w:tcPr>
          <w:p>
            <w:pPr>
              <w:spacing w:after="0"/>
              <w:rPr>
                <w:sz w:val="17"/>
                <w:szCs w:val="17"/>
                <w:color w:val="auto"/>
              </w:rPr>
            </w:pPr>
          </w:p>
        </w:tc>
        <w:tc>
          <w:tcPr>
            <w:tcW w:w="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3"/>
              </w:rPr>
              <w:t>$ 62,007,879</w:t>
            </w:r>
          </w:p>
        </w:tc>
        <w:tc>
          <w:tcPr>
            <w:tcW w:w="100" w:type="dxa"/>
            <w:vAlign w:val="bottom"/>
          </w:tcPr>
          <w:p>
            <w:pPr>
              <w:spacing w:after="0"/>
              <w:rPr>
                <w:sz w:val="17"/>
                <w:szCs w:val="17"/>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Revenues—intersegment</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4,175,005</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5,193,356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5"/>
              </w:rPr>
              <w:t>(9,368,361)</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Segment net income (loss)</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7,392,658</w:t>
            </w: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915,754</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(7,728,407)</w:t>
            </w: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580,005</w:t>
            </w:r>
          </w:p>
        </w:tc>
        <w:tc>
          <w:tcPr>
            <w:tcW w:w="100" w:type="dxa"/>
            <w:vAlign w:val="bottom"/>
          </w:tcPr>
          <w:p>
            <w:pPr>
              <w:spacing w:after="0"/>
              <w:rPr>
                <w:sz w:val="17"/>
                <w:szCs w:val="17"/>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19,523,739</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1,250,903</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7,507,348</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28,281,990</w:t>
            </w:r>
          </w:p>
        </w:tc>
        <w:tc>
          <w:tcPr>
            <w:tcW w:w="100" w:type="dxa"/>
            <w:vAlign w:val="bottom"/>
            <w:shd w:val="clear" w:color="auto" w:fill="CCEEFF"/>
          </w:tcPr>
          <w:p>
            <w:pPr>
              <w:spacing w:after="0"/>
              <w:rPr>
                <w:sz w:val="17"/>
                <w:szCs w:val="17"/>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852,359</w:t>
            </w: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215,089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14,362</w:t>
            </w: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1,081,810</w:t>
            </w:r>
          </w:p>
        </w:tc>
        <w:tc>
          <w:tcPr>
            <w:tcW w:w="100" w:type="dxa"/>
            <w:vAlign w:val="bottom"/>
          </w:tcPr>
          <w:p>
            <w:pPr>
              <w:spacing w:after="0"/>
              <w:rPr>
                <w:sz w:val="17"/>
                <w:szCs w:val="17"/>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&amp; amortization</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856,220</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92,615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156,413</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1,105,248</w:t>
            </w:r>
          </w:p>
        </w:tc>
        <w:tc>
          <w:tcPr>
            <w:tcW w:w="100" w:type="dxa"/>
            <w:vAlign w:val="bottom"/>
            <w:shd w:val="clear" w:color="auto" w:fill="CCEEFF"/>
          </w:tcPr>
          <w:p>
            <w:pPr>
              <w:spacing w:after="0"/>
              <w:rPr>
                <w:sz w:val="17"/>
                <w:szCs w:val="17"/>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969,098</w:t>
            </w:r>
          </w:p>
        </w:tc>
        <w:tc>
          <w:tcPr>
            <w:tcW w:w="620" w:type="dxa"/>
            <w:vAlign w:val="bottom"/>
          </w:tcPr>
          <w:p>
            <w:pPr>
              <w:spacing w:after="0"/>
              <w:rPr>
                <w:sz w:val="17"/>
                <w:szCs w:val="17"/>
                <w:color w:val="auto"/>
              </w:rPr>
            </w:pPr>
          </w:p>
        </w:tc>
        <w:tc>
          <w:tcPr>
            <w:tcW w:w="11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969,098</w:t>
            </w:r>
          </w:p>
        </w:tc>
        <w:tc>
          <w:tcPr>
            <w:tcW w:w="100" w:type="dxa"/>
            <w:vAlign w:val="bottom"/>
          </w:tcPr>
          <w:p>
            <w:pPr>
              <w:spacing w:after="0"/>
              <w:rPr>
                <w:sz w:val="17"/>
                <w:szCs w:val="17"/>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155,926</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154,747</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310,673</w:t>
            </w:r>
          </w:p>
        </w:tc>
        <w:tc>
          <w:tcPr>
            <w:tcW w:w="100" w:type="dxa"/>
            <w:vAlign w:val="bottom"/>
            <w:shd w:val="clear" w:color="auto" w:fill="CCEEFF"/>
          </w:tcPr>
          <w:p>
            <w:pPr>
              <w:spacing w:after="0"/>
              <w:rPr>
                <w:sz w:val="17"/>
                <w:szCs w:val="17"/>
                <w:color w:val="auto"/>
              </w:rPr>
            </w:pPr>
          </w:p>
        </w:tc>
      </w:tr>
      <w:tr>
        <w:trPr>
          <w:trHeight w:val="206"/>
        </w:trPr>
        <w:tc>
          <w:tcPr>
            <w:tcW w:w="3460" w:type="dxa"/>
            <w:vAlign w:val="bottom"/>
          </w:tcPr>
          <w:p>
            <w:pPr>
              <w:spacing w:after="0" w:line="206" w:lineRule="exact"/>
              <w:rPr>
                <w:sz w:val="20"/>
                <w:szCs w:val="20"/>
                <w:color w:val="auto"/>
              </w:rPr>
            </w:pPr>
            <w:r>
              <w:rPr>
                <w:rFonts w:ascii="Arial" w:cs="Arial" w:eastAsia="Arial" w:hAnsi="Arial"/>
                <w:sz w:val="18"/>
                <w:szCs w:val="18"/>
                <w:color w:val="auto"/>
              </w:rPr>
              <w:t>Net income (loss) from equity method</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460" w:type="dxa"/>
            <w:vAlign w:val="bottom"/>
          </w:tcPr>
          <w:p>
            <w:pPr>
              <w:ind w:left="320"/>
              <w:spacing w:after="0" w:line="200" w:lineRule="exact"/>
              <w:rPr>
                <w:sz w:val="20"/>
                <w:szCs w:val="20"/>
                <w:color w:val="auto"/>
              </w:rPr>
            </w:pPr>
            <w:r>
              <w:rPr>
                <w:rFonts w:ascii="Arial" w:cs="Arial" w:eastAsia="Arial" w:hAnsi="Arial"/>
                <w:sz w:val="18"/>
                <w:szCs w:val="18"/>
                <w:color w:val="auto"/>
              </w:rPr>
              <w:t>investments</w:t>
            </w:r>
          </w:p>
        </w:tc>
        <w:tc>
          <w:tcPr>
            <w:tcW w:w="14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7,340</w:t>
            </w:r>
          </w:p>
        </w:tc>
        <w:tc>
          <w:tcPr>
            <w:tcW w:w="620" w:type="dxa"/>
            <w:vAlign w:val="bottom"/>
          </w:tcPr>
          <w:p>
            <w:pPr>
              <w:spacing w:after="0"/>
              <w:rPr>
                <w:sz w:val="17"/>
                <w:szCs w:val="17"/>
                <w:color w:val="auto"/>
              </w:rPr>
            </w:pPr>
          </w:p>
        </w:tc>
        <w:tc>
          <w:tcPr>
            <w:tcW w:w="118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600"/>
              <w:spacing w:after="0" w:line="200" w:lineRule="exact"/>
              <w:rPr>
                <w:sz w:val="20"/>
                <w:szCs w:val="20"/>
                <w:color w:val="auto"/>
              </w:rPr>
            </w:pPr>
            <w:r>
              <w:rPr>
                <w:rFonts w:ascii="Arial" w:cs="Arial" w:eastAsia="Arial" w:hAnsi="Arial"/>
                <w:sz w:val="18"/>
                <w:szCs w:val="18"/>
                <w:color w:val="auto"/>
              </w:rPr>
              <w:t>18,524</w:t>
            </w: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0"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25,864</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from equity method investments</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72,980</w:t>
            </w:r>
          </w:p>
        </w:tc>
        <w:tc>
          <w:tcPr>
            <w:tcW w:w="6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72,980</w:t>
            </w: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1,407,936</w:t>
            </w: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1,407,936</w:t>
            </w:r>
          </w:p>
        </w:tc>
        <w:tc>
          <w:tcPr>
            <w:tcW w:w="100" w:type="dxa"/>
            <w:vAlign w:val="bottom"/>
          </w:tcPr>
          <w:p>
            <w:pPr>
              <w:spacing w:after="0"/>
              <w:rPr>
                <w:sz w:val="18"/>
                <w:szCs w:val="18"/>
                <w:color w:val="auto"/>
              </w:rPr>
            </w:pPr>
          </w:p>
        </w:tc>
      </w:tr>
      <w:tr>
        <w:trPr>
          <w:trHeight w:val="124"/>
        </w:trPr>
        <w:tc>
          <w:tcPr>
            <w:tcW w:w="3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383"/>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475"/>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BEHAVIORAL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HEALTH</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TREATMENT</w:t>
            </w:r>
          </w:p>
        </w:tc>
        <w:tc>
          <w:tcPr>
            <w:tcW w:w="260" w:type="dxa"/>
            <w:vAlign w:val="bottom"/>
          </w:tcPr>
          <w:p>
            <w:pPr>
              <w:spacing w:after="0"/>
              <w:rPr>
                <w:sz w:val="12"/>
                <w:szCs w:val="12"/>
                <w:color w:val="auto"/>
              </w:rPr>
            </w:pP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CONTRACT</w:t>
            </w: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SERVICES</w:t>
            </w:r>
          </w:p>
        </w:tc>
        <w:tc>
          <w:tcPr>
            <w:tcW w:w="26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SERVICES</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83"/>
        </w:trPr>
        <w:tc>
          <w:tcPr>
            <w:tcW w:w="4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For the year ended June 30, 2010</w:t>
            </w: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Revenues—external customers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3"/>
              </w:rPr>
              <w:t>$ 49,647,395</w:t>
            </w:r>
          </w:p>
        </w:tc>
        <w:tc>
          <w:tcPr>
            <w:tcW w:w="28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$3,429,831</w:t>
            </w:r>
          </w:p>
        </w:tc>
        <w:tc>
          <w:tcPr>
            <w:tcW w:w="5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3"/>
              </w:rPr>
              <w:t>$ 53,077,226</w:t>
            </w:r>
          </w:p>
        </w:tc>
        <w:tc>
          <w:tcPr>
            <w:tcW w:w="10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Revenues—intersegment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4,002,558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4,999,992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5"/>
              </w:rPr>
              <w:t>(9,002,550)</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Segment net income (loss)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6,607,215</w:t>
            </w:r>
          </w:p>
        </w:tc>
        <w:tc>
          <w:tcPr>
            <w:tcW w:w="28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465,297</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(5,652,850)</w:t>
            </w:r>
          </w:p>
        </w:tc>
        <w:tc>
          <w:tcPr>
            <w:tcW w:w="120" w:type="dxa"/>
            <w:vAlign w:val="bottom"/>
          </w:tcPr>
          <w:p>
            <w:pPr>
              <w:spacing w:after="0"/>
              <w:rPr>
                <w:sz w:val="17"/>
                <w:szCs w:val="17"/>
                <w:color w:val="auto"/>
              </w:rPr>
            </w:pP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1,419,662</w:t>
            </w:r>
          </w:p>
        </w:tc>
        <w:tc>
          <w:tcPr>
            <w:tcW w:w="10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16,214,982</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630,558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8,804,430</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25,649,970</w:t>
            </w:r>
          </w:p>
        </w:tc>
        <w:tc>
          <w:tcPr>
            <w:tcW w:w="100" w:type="dxa"/>
            <w:vAlign w:val="bottom"/>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630,867</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19,128</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101,848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751,843</w:t>
            </w:r>
          </w:p>
        </w:tc>
        <w:tc>
          <w:tcPr>
            <w:tcW w:w="10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&amp; amortization</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827,811</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79,835</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248,923</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1,156,569</w:t>
            </w:r>
          </w:p>
        </w:tc>
        <w:tc>
          <w:tcPr>
            <w:tcW w:w="100" w:type="dxa"/>
            <w:vAlign w:val="bottom"/>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969,098</w:t>
            </w:r>
          </w:p>
        </w:tc>
        <w:tc>
          <w:tcPr>
            <w:tcW w:w="260" w:type="dxa"/>
            <w:vAlign w:val="bottom"/>
          </w:tcPr>
          <w:p>
            <w:pPr>
              <w:spacing w:after="0"/>
              <w:rPr>
                <w:sz w:val="17"/>
                <w:szCs w:val="17"/>
                <w:color w:val="auto"/>
              </w:rPr>
            </w:pPr>
          </w:p>
        </w:tc>
        <w:tc>
          <w:tcPr>
            <w:tcW w:w="14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969,098</w:t>
            </w:r>
          </w:p>
        </w:tc>
        <w:tc>
          <w:tcPr>
            <w:tcW w:w="10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161,065</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165,517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326,582</w:t>
            </w:r>
          </w:p>
        </w:tc>
        <w:tc>
          <w:tcPr>
            <w:tcW w:w="100" w:type="dxa"/>
            <w:vAlign w:val="bottom"/>
            <w:shd w:val="clear" w:color="auto" w:fill="CCEEFF"/>
          </w:tcPr>
          <w:p>
            <w:pPr>
              <w:spacing w:after="0"/>
              <w:rPr>
                <w:sz w:val="17"/>
                <w:szCs w:val="17"/>
                <w:color w:val="auto"/>
              </w:rPr>
            </w:pPr>
          </w:p>
        </w:tc>
      </w:tr>
      <w:tr>
        <w:trPr>
          <w:trHeight w:val="206"/>
        </w:trPr>
        <w:tc>
          <w:tcPr>
            <w:tcW w:w="4200" w:type="dxa"/>
            <w:vAlign w:val="bottom"/>
          </w:tcPr>
          <w:p>
            <w:pPr>
              <w:spacing w:after="0" w:line="206" w:lineRule="exact"/>
              <w:rPr>
                <w:sz w:val="20"/>
                <w:szCs w:val="20"/>
                <w:color w:val="auto"/>
              </w:rPr>
            </w:pPr>
            <w:r>
              <w:rPr>
                <w:rFonts w:ascii="Arial" w:cs="Arial" w:eastAsia="Arial" w:hAnsi="Arial"/>
                <w:sz w:val="18"/>
                <w:szCs w:val="18"/>
                <w:color w:val="auto"/>
              </w:rPr>
              <w:t>Net income (loss) from equity method</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4200" w:type="dxa"/>
            <w:vAlign w:val="bottom"/>
          </w:tcPr>
          <w:p>
            <w:pPr>
              <w:ind w:left="320"/>
              <w:spacing w:after="0" w:line="200" w:lineRule="exact"/>
              <w:rPr>
                <w:sz w:val="20"/>
                <w:szCs w:val="20"/>
                <w:color w:val="auto"/>
              </w:rPr>
            </w:pPr>
            <w:r>
              <w:rPr>
                <w:rFonts w:ascii="Arial" w:cs="Arial" w:eastAsia="Arial" w:hAnsi="Arial"/>
                <w:sz w:val="18"/>
                <w:szCs w:val="18"/>
                <w:color w:val="auto"/>
              </w:rPr>
              <w:t>investments</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4,484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54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0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13,078</w:t>
            </w:r>
          </w:p>
        </w:tc>
        <w:tc>
          <w:tcPr>
            <w:tcW w:w="120" w:type="dxa"/>
            <w:vAlign w:val="bottom"/>
          </w:tcPr>
          <w:p>
            <w:pPr>
              <w:spacing w:after="0"/>
              <w:rPr>
                <w:sz w:val="17"/>
                <w:szCs w:val="17"/>
                <w:color w:val="auto"/>
              </w:rPr>
            </w:pPr>
          </w:p>
        </w:tc>
        <w:tc>
          <w:tcPr>
            <w:tcW w:w="1380" w:type="dxa"/>
            <w:vAlign w:val="bottom"/>
            <w:gridSpan w:val="2"/>
          </w:tcPr>
          <w:p>
            <w:pPr>
              <w:jc w:val="right"/>
              <w:ind w:right="540"/>
              <w:spacing w:after="0" w:line="200"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17,562</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from equity method investments</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33,528</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33,528</w:t>
            </w:r>
          </w:p>
        </w:tc>
      </w:tr>
      <w:tr>
        <w:trPr>
          <w:trHeight w:val="214"/>
        </w:trPr>
        <w:tc>
          <w:tcPr>
            <w:tcW w:w="4200" w:type="dxa"/>
            <w:vAlign w:val="bottom"/>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1,106,100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1,106,100</w:t>
            </w:r>
          </w:p>
        </w:tc>
        <w:tc>
          <w:tcPr>
            <w:tcW w:w="100" w:type="dxa"/>
            <w:vAlign w:val="bottom"/>
          </w:tcPr>
          <w:p>
            <w:pPr>
              <w:spacing w:after="0"/>
              <w:rPr>
                <w:sz w:val="18"/>
                <w:szCs w:val="18"/>
                <w:color w:val="auto"/>
              </w:rPr>
            </w:pPr>
          </w:p>
        </w:tc>
      </w:tr>
    </w:tbl>
    <w:p>
      <w:pPr>
        <w:spacing w:after="0" w:line="248"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All revenues from contract services provided for the treatment services segment and treatment services provided to other facilities included in the treatment services segment are eliminated in the consolidation and shown on the table above under the heading “Revenues intersegment”.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N—QUARTERLY INFORMATION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selected quarterly financial data for each of the quarters in the years ended June 30,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2011</w:t>
            </w:r>
          </w:p>
        </w:tc>
        <w:tc>
          <w:tcPr>
            <w:tcW w:w="5920" w:type="dxa"/>
            <w:vAlign w:val="bottom"/>
          </w:tcPr>
          <w:p>
            <w:pPr>
              <w:spacing w:after="0"/>
              <w:rPr>
                <w:sz w:val="21"/>
                <w:szCs w:val="21"/>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1</w:t>
            </w:r>
            <w:r>
              <w:rPr>
                <w:rFonts w:ascii="Arial" w:cs="Arial" w:eastAsia="Arial" w:hAnsi="Arial"/>
                <w:sz w:val="22"/>
                <w:szCs w:val="22"/>
                <w:b w:val="1"/>
                <w:bCs w:val="1"/>
                <w:color w:val="auto"/>
                <w:w w:val="94"/>
                <w:vertAlign w:val="superscript"/>
              </w:rPr>
              <w:t>ST</w:t>
            </w:r>
            <w:r>
              <w:rPr>
                <w:rFonts w:ascii="Arial" w:cs="Arial" w:eastAsia="Arial" w:hAnsi="Arial"/>
                <w:sz w:val="14"/>
                <w:szCs w:val="14"/>
                <w:b w:val="1"/>
                <w:bCs w:val="1"/>
                <w:color w:val="auto"/>
                <w:w w:val="94"/>
              </w:rPr>
              <w:t xml:space="preserve"> QUARTER</w:t>
            </w: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2</w:t>
            </w:r>
            <w:r>
              <w:rPr>
                <w:rFonts w:ascii="Arial" w:cs="Arial" w:eastAsia="Arial" w:hAnsi="Arial"/>
                <w:sz w:val="22"/>
                <w:szCs w:val="22"/>
                <w:b w:val="1"/>
                <w:bCs w:val="1"/>
                <w:color w:val="auto"/>
                <w:w w:val="94"/>
                <w:vertAlign w:val="superscript"/>
              </w:rPr>
              <w:t>ND</w:t>
            </w:r>
            <w:r>
              <w:rPr>
                <w:rFonts w:ascii="Arial" w:cs="Arial" w:eastAsia="Arial" w:hAnsi="Arial"/>
                <w:sz w:val="14"/>
                <w:szCs w:val="14"/>
                <w:b w:val="1"/>
                <w:bCs w:val="1"/>
                <w:color w:val="auto"/>
                <w:w w:val="94"/>
              </w:rPr>
              <w:t xml:space="preserve"> QUARTER</w:t>
            </w:r>
          </w:p>
        </w:tc>
        <w:tc>
          <w:tcPr>
            <w:tcW w:w="3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3</w:t>
            </w:r>
            <w:r>
              <w:rPr>
                <w:rFonts w:ascii="Arial" w:cs="Arial" w:eastAsia="Arial" w:hAnsi="Arial"/>
                <w:sz w:val="22"/>
                <w:szCs w:val="22"/>
                <w:b w:val="1"/>
                <w:bCs w:val="1"/>
                <w:color w:val="auto"/>
                <w:w w:val="94"/>
                <w:vertAlign w:val="superscript"/>
              </w:rPr>
              <w:t>RD</w:t>
            </w:r>
            <w:r>
              <w:rPr>
                <w:rFonts w:ascii="Arial" w:cs="Arial" w:eastAsia="Arial" w:hAnsi="Arial"/>
                <w:sz w:val="14"/>
                <w:szCs w:val="14"/>
                <w:b w:val="1"/>
                <w:bCs w:val="1"/>
                <w:color w:val="auto"/>
                <w:w w:val="94"/>
              </w:rPr>
              <w:t xml:space="preserve"> QUARTER</w:t>
            </w:r>
          </w:p>
        </w:tc>
        <w:tc>
          <w:tcPr>
            <w:tcW w:w="18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4</w:t>
            </w:r>
            <w:r>
              <w:rPr>
                <w:rFonts w:ascii="Arial" w:cs="Arial" w:eastAsia="Arial" w:hAnsi="Arial"/>
                <w:sz w:val="22"/>
                <w:szCs w:val="22"/>
                <w:b w:val="1"/>
                <w:bCs w:val="1"/>
                <w:color w:val="auto"/>
                <w:w w:val="93"/>
                <w:vertAlign w:val="superscript"/>
              </w:rPr>
              <w:t>TH</w:t>
            </w:r>
            <w:r>
              <w:rPr>
                <w:rFonts w:ascii="Arial" w:cs="Arial" w:eastAsia="Arial" w:hAnsi="Arial"/>
                <w:sz w:val="14"/>
                <w:szCs w:val="14"/>
                <w:b w:val="1"/>
                <w:bCs w:val="1"/>
                <w:color w:val="auto"/>
                <w:w w:val="93"/>
              </w:rPr>
              <w:t xml:space="preserve"> QUARTER</w:t>
            </w:r>
          </w:p>
        </w:tc>
        <w:tc>
          <w:tcPr>
            <w:tcW w:w="0" w:type="dxa"/>
            <w:vAlign w:val="bottom"/>
          </w:tcPr>
          <w:p>
            <w:pPr>
              <w:spacing w:after="0"/>
              <w:rPr>
                <w:sz w:val="1"/>
                <w:szCs w:val="1"/>
                <w:color w:val="auto"/>
              </w:rPr>
            </w:pPr>
          </w:p>
        </w:tc>
      </w:tr>
      <w:tr>
        <w:trPr>
          <w:trHeight w:val="20"/>
        </w:trPr>
        <w:tc>
          <w:tcPr>
            <w:tcW w:w="6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15,071,420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14,631,938</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$ 15,455,635</w:t>
            </w:r>
          </w:p>
        </w:tc>
        <w:tc>
          <w:tcPr>
            <w:tcW w:w="1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16,848,886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1,236,392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728,522</w:t>
            </w:r>
          </w:p>
        </w:tc>
        <w:tc>
          <w:tcPr>
            <w:tcW w:w="14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529,882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(398,473)</w:t>
            </w:r>
          </w:p>
        </w:tc>
        <w:tc>
          <w:tcPr>
            <w:tcW w:w="0" w:type="dxa"/>
            <w:vAlign w:val="bottom"/>
          </w:tcPr>
          <w:p>
            <w:pPr>
              <w:spacing w:after="0"/>
              <w:rPr>
                <w:sz w:val="1"/>
                <w:szCs w:val="1"/>
                <w:color w:val="auto"/>
              </w:rPr>
            </w:pPr>
          </w:p>
        </w:tc>
      </w:tr>
      <w:tr>
        <w:trPr>
          <w:trHeight w:val="203"/>
        </w:trPr>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557,027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251,270</w:t>
            </w:r>
          </w:p>
        </w:tc>
        <w:tc>
          <w:tcPr>
            <w:tcW w:w="14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299,266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300,373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available to common shareholders</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678,615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502,986</w:t>
            </w:r>
          </w:p>
        </w:tc>
        <w:tc>
          <w:tcPr>
            <w:tcW w:w="14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64,525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(666,121)*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common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5"/>
              </w:rPr>
              <w:t>19,532,095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5"/>
              </w:rPr>
              <w:t>19,462,818</w:t>
            </w: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19,500,873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19,524,104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Fully diluted net income per common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tcPr>
          <w:p>
            <w:pPr>
              <w:spacing w:after="0" w:line="196" w:lineRule="exact"/>
              <w:rPr>
                <w:sz w:val="20"/>
                <w:szCs w:val="20"/>
                <w:color w:val="auto"/>
              </w:rPr>
            </w:pPr>
            <w:r>
              <w:rPr>
                <w:rFonts w:ascii="Arial" w:cs="Arial" w:eastAsia="Arial" w:hAnsi="Arial"/>
                <w:sz w:val="18"/>
                <w:szCs w:val="18"/>
                <w:color w:val="auto"/>
              </w:rPr>
              <w:t>Fully diluted weighted average number of shares outstanding</w:t>
            </w: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5"/>
              </w:rPr>
              <w:t>19,603,138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5"/>
              </w:rPr>
              <w:t>19,593,689</w:t>
            </w: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19,872,067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19,524,104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ind w:left="220" w:right="340" w:hanging="212"/>
        <w:spacing w:after="0" w:line="231" w:lineRule="auto"/>
        <w:tabs>
          <w:tab w:leader="none" w:pos="2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During the quarter ended June 30, 2011, the Company incurred approximately $1,607,700 of transaction costs associated with the MeadowWood acquisition and Acadia merger (See Note P).</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35"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5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2010</w:t>
            </w:r>
          </w:p>
        </w:tc>
        <w:tc>
          <w:tcPr>
            <w:tcW w:w="4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1</w:t>
            </w:r>
            <w:r>
              <w:rPr>
                <w:rFonts w:ascii="Arial" w:cs="Arial" w:eastAsia="Arial" w:hAnsi="Arial"/>
                <w:sz w:val="22"/>
                <w:szCs w:val="22"/>
                <w:b w:val="1"/>
                <w:bCs w:val="1"/>
                <w:color w:val="auto"/>
                <w:w w:val="94"/>
                <w:vertAlign w:val="superscript"/>
              </w:rPr>
              <w:t>ST</w:t>
            </w:r>
            <w:r>
              <w:rPr>
                <w:rFonts w:ascii="Arial" w:cs="Arial" w:eastAsia="Arial" w:hAnsi="Arial"/>
                <w:sz w:val="14"/>
                <w:szCs w:val="14"/>
                <w:b w:val="1"/>
                <w:bCs w:val="1"/>
                <w:color w:val="auto"/>
                <w:w w:val="94"/>
              </w:rPr>
              <w:t xml:space="preserve"> QUARTER</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22"/>
                <w:szCs w:val="22"/>
                <w:b w:val="1"/>
                <w:bCs w:val="1"/>
                <w:color w:val="auto"/>
                <w:vertAlign w:val="superscript"/>
              </w:rPr>
              <w:t>ND</w:t>
            </w:r>
            <w:r>
              <w:rPr>
                <w:rFonts w:ascii="Arial" w:cs="Arial" w:eastAsia="Arial" w:hAnsi="Arial"/>
                <w:sz w:val="14"/>
                <w:szCs w:val="14"/>
                <w:b w:val="1"/>
                <w:bCs w:val="1"/>
                <w:color w:val="auto"/>
              </w:rPr>
              <w:t xml:space="preserve"> QUARTER</w:t>
            </w:r>
          </w:p>
        </w:tc>
        <w:tc>
          <w:tcPr>
            <w:tcW w:w="22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22"/>
                <w:szCs w:val="22"/>
                <w:b w:val="1"/>
                <w:bCs w:val="1"/>
                <w:color w:val="auto"/>
                <w:vertAlign w:val="superscript"/>
              </w:rPr>
              <w:t>RD</w:t>
            </w:r>
            <w:r>
              <w:rPr>
                <w:rFonts w:ascii="Arial" w:cs="Arial" w:eastAsia="Arial" w:hAnsi="Arial"/>
                <w:sz w:val="14"/>
                <w:szCs w:val="14"/>
                <w:b w:val="1"/>
                <w:bCs w:val="1"/>
                <w:color w:val="auto"/>
              </w:rPr>
              <w:t xml:space="preserve"> QUARTER</w:t>
            </w:r>
          </w:p>
        </w:tc>
        <w:tc>
          <w:tcPr>
            <w:tcW w:w="22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QUARTER</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gridSpan w:val="2"/>
            <w:vMerge w:val="continue"/>
            <w:shd w:val="clear" w:color="auto" w:fill="CCEEFF"/>
          </w:tcPr>
          <w:p>
            <w:pPr>
              <w:spacing w:after="0"/>
              <w:rPr>
                <w:sz w:val="16"/>
                <w:szCs w:val="16"/>
                <w:color w:val="auto"/>
              </w:rPr>
            </w:pPr>
          </w:p>
        </w:tc>
        <w:tc>
          <w:tcPr>
            <w:tcW w:w="1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$ 12,647,428</w:t>
            </w: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$ 12,864,563</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$ 13,532,174</w:t>
            </w: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$ 14,033,061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Income from operations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355,898</w:t>
            </w:r>
          </w:p>
        </w:tc>
        <w:tc>
          <w:tcPr>
            <w:tcW w:w="44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513,705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781,440</w:t>
            </w:r>
          </w:p>
        </w:tc>
        <w:tc>
          <w:tcPr>
            <w:tcW w:w="22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921,704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133,431</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248,619</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289,031</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435,019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Net income available to common shareholders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223,604</w:t>
            </w:r>
          </w:p>
        </w:tc>
        <w:tc>
          <w:tcPr>
            <w:tcW w:w="44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288,239</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469,172</w:t>
            </w:r>
          </w:p>
        </w:tc>
        <w:tc>
          <w:tcPr>
            <w:tcW w:w="22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438,647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common share</w:t>
            </w:r>
          </w:p>
        </w:tc>
        <w:tc>
          <w:tcPr>
            <w:tcW w:w="5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0.01</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0.01</w:t>
            </w:r>
          </w:p>
        </w:tc>
        <w:tc>
          <w:tcPr>
            <w:tcW w:w="148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0.02</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19,997,549</w:t>
            </w:r>
          </w:p>
        </w:tc>
        <w:tc>
          <w:tcPr>
            <w:tcW w:w="4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19,800,509</w:t>
            </w:r>
          </w:p>
        </w:tc>
        <w:tc>
          <w:tcPr>
            <w:tcW w:w="22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19,762,241</w:t>
            </w:r>
          </w:p>
        </w:tc>
        <w:tc>
          <w:tcPr>
            <w:tcW w:w="22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19,692,391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Fully diluted net income per common share</w:t>
            </w:r>
          </w:p>
        </w:tc>
        <w:tc>
          <w:tcPr>
            <w:tcW w:w="5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0.01</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0.01</w:t>
            </w:r>
          </w:p>
        </w:tc>
        <w:tc>
          <w:tcPr>
            <w:tcW w:w="148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0.02</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tcPr>
          <w:p>
            <w:pPr>
              <w:spacing w:after="0" w:line="196" w:lineRule="exact"/>
              <w:rPr>
                <w:sz w:val="20"/>
                <w:szCs w:val="20"/>
                <w:color w:val="auto"/>
              </w:rPr>
            </w:pPr>
            <w:r>
              <w:rPr>
                <w:rFonts w:ascii="Arial" w:cs="Arial" w:eastAsia="Arial" w:hAnsi="Arial"/>
                <w:sz w:val="18"/>
                <w:szCs w:val="18"/>
                <w:color w:val="auto"/>
              </w:rPr>
              <w:t>Fully diluted weighted average number of shares outstanding</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20,141,989</w:t>
            </w:r>
          </w:p>
        </w:tc>
        <w:tc>
          <w:tcPr>
            <w:tcW w:w="4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19,855,419</w:t>
            </w:r>
          </w:p>
        </w:tc>
        <w:tc>
          <w:tcPr>
            <w:tcW w:w="22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19,861,449</w:t>
            </w:r>
          </w:p>
        </w:tc>
        <w:tc>
          <w:tcPr>
            <w:tcW w:w="22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19,766,855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O—EMPLOYEE RETIREMENT PLAN</w:t>
      </w:r>
    </w:p>
    <w:p>
      <w:pPr>
        <w:spacing w:after="0" w:line="72"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The PHC 401 (k) RETIREMENT SAVINGS PLAN (the “401(k) Plan”) is a qualified defined contribution plan in accordance with Section 401(k) of the Internal Revenue Code (the “code”). All eligible employees over the age of 21 may begin contributing on the first day of the month following their completion of two full months of employment or any time thereafter. Eligible employees can make pretax contributions up to the maximum allowable by Code Section 401(k). The Company may make matching contributions equal to a discretionary percentage of the employee’s salary reductions, to be determined by the Company. During the years ended June 30, 2011 and 2010 the Company made no matching contributions.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P—SUBSEQUENT EVENTS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MeadowWood Acquisition</w:t>
      </w:r>
    </w:p>
    <w:p>
      <w:pPr>
        <w:spacing w:after="0" w:line="5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July 1, 2011, the Company completed the acquisition of MeadowWood Behavioral Health, a behavioral health facility located in New Castle, Delaware (“MeadowWood”) from Universal Health Services, Inc. (the “Seller”) pursuant to the terms of an Asset Purchase Agreement, dated as of March 15, 2011, between the Company and the Seller (the “Purchase Agreement”). In accordance with the Purchase Agreement, PHC MeadowWood, Inc., a Delaware corporation and subsidiary of the Company (“PHC MeadowWood”) acquired substantially all of the operating assets (other than cash) and assumed certain liabilities associated with MeadowWood. The purchase price was $21,500,000, and is subject to a working capital adjustment. At closing, PHC MeadowWood hired Seller’s employees currently employed at MeadowWood and assumed certain obligations with respect to those transferred employees. Also at closing, PHC MeadowWood and the Seller entered into a transition services agreement to facilitate the transition of the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59" w:right="239" w:bottom="1440" w:gutter="0" w:footer="0" w:header="0"/>
        </w:sectPr>
      </w:pPr>
    </w:p>
    <w:bookmarkStart w:id="169" w:name="page170"/>
    <w:bookmarkEnd w:id="169"/>
    <w:p>
      <w:pPr>
        <w:ind w:right="7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assets acquired and liabilities assumed will be recorded based on their relative fair values as of the closing date of the MeadowWood acquisition. The estimated purchase price and fair values of assets acquired and liabilities assumed are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Calculation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purchase price (subject to adjustment)</w:t>
            </w:r>
          </w:p>
        </w:tc>
        <w:tc>
          <w:tcPr>
            <w:tcW w:w="3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21,500,000</w:t>
            </w:r>
          </w:p>
        </w:tc>
        <w:tc>
          <w:tcPr>
            <w:tcW w:w="120" w:type="dxa"/>
            <w:vAlign w:val="bottom"/>
            <w:shd w:val="clear" w:color="auto" w:fill="CCEEFF"/>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20" w:type="dxa"/>
            <w:vAlign w:val="bottom"/>
          </w:tcPr>
          <w:p>
            <w:pPr>
              <w:spacing w:after="0" w:line="196" w:lineRule="exact"/>
              <w:rPr>
                <w:sz w:val="20"/>
                <w:szCs w:val="20"/>
                <w:color w:val="auto"/>
              </w:rPr>
            </w:pPr>
            <w:r>
              <w:rPr>
                <w:rFonts w:ascii="Arial" w:cs="Arial" w:eastAsia="Arial" w:hAnsi="Arial"/>
                <w:sz w:val="18"/>
                <w:szCs w:val="18"/>
                <w:color w:val="auto"/>
              </w:rPr>
              <w:t>Accounts Receivables (net)</w:t>
            </w:r>
          </w:p>
        </w:tc>
        <w:tc>
          <w:tcPr>
            <w:tcW w:w="3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1,796,781</w:t>
            </w:r>
          </w:p>
        </w:tc>
        <w:tc>
          <w:tcPr>
            <w:tcW w:w="120" w:type="dxa"/>
            <w:vAlign w:val="bottom"/>
          </w:tcPr>
          <w:p>
            <w:pPr>
              <w:spacing w:after="0"/>
              <w:rPr>
                <w:sz w:val="17"/>
                <w:szCs w:val="17"/>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97,134</w:t>
            </w:r>
          </w:p>
        </w:tc>
        <w:tc>
          <w:tcPr>
            <w:tcW w:w="120" w:type="dxa"/>
            <w:vAlign w:val="bottom"/>
            <w:shd w:val="clear" w:color="auto" w:fill="CCEEFF"/>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1,420,000</w:t>
            </w:r>
          </w:p>
        </w:tc>
        <w:tc>
          <w:tcPr>
            <w:tcW w:w="120" w:type="dxa"/>
            <w:vAlign w:val="bottom"/>
          </w:tcPr>
          <w:p>
            <w:pPr>
              <w:spacing w:after="0"/>
              <w:rPr>
                <w:sz w:val="17"/>
                <w:szCs w:val="17"/>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 and Improvements</w:t>
            </w:r>
          </w:p>
        </w:tc>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7,700,300</w:t>
            </w:r>
          </w:p>
        </w:tc>
        <w:tc>
          <w:tcPr>
            <w:tcW w:w="120" w:type="dxa"/>
            <w:vAlign w:val="bottom"/>
            <w:shd w:val="clear" w:color="auto" w:fill="CCEEFF"/>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553,763</w:t>
            </w:r>
          </w:p>
        </w:tc>
        <w:tc>
          <w:tcPr>
            <w:tcW w:w="120" w:type="dxa"/>
            <w:vAlign w:val="bottom"/>
          </w:tcPr>
          <w:p>
            <w:pPr>
              <w:spacing w:after="0"/>
              <w:rPr>
                <w:sz w:val="17"/>
                <w:szCs w:val="17"/>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Licenses</w:t>
            </w:r>
          </w:p>
        </w:tc>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9,541,046</w:t>
            </w:r>
          </w:p>
        </w:tc>
        <w:tc>
          <w:tcPr>
            <w:tcW w:w="120" w:type="dxa"/>
            <w:vAlign w:val="bottom"/>
          </w:tcPr>
          <w:p>
            <w:pPr>
              <w:spacing w:after="0"/>
              <w:rPr>
                <w:sz w:val="17"/>
                <w:szCs w:val="17"/>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(157,484)</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(151,540)</w:t>
            </w:r>
          </w:p>
        </w:tc>
      </w:tr>
      <w:tr>
        <w:trPr>
          <w:trHeight w:val="27"/>
        </w:trPr>
        <w:tc>
          <w:tcPr>
            <w:tcW w:w="6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20" w:type="dxa"/>
            <w:vAlign w:val="bottom"/>
            <w:shd w:val="clear" w:color="auto" w:fill="CCEEFF"/>
          </w:tcPr>
          <w:p>
            <w:pPr>
              <w:spacing w:after="0"/>
              <w:rPr>
                <w:sz w:val="17"/>
                <w:szCs w:val="17"/>
                <w:color w:val="auto"/>
              </w:rPr>
            </w:pPr>
          </w:p>
        </w:tc>
        <w:tc>
          <w:tcPr>
            <w:tcW w:w="3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21,500,000</w:t>
            </w:r>
          </w:p>
        </w:tc>
        <w:tc>
          <w:tcPr>
            <w:tcW w:w="120" w:type="dxa"/>
            <w:vAlign w:val="bottom"/>
            <w:shd w:val="clear" w:color="auto" w:fill="CCEEFF"/>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fair values of assets acquired and liabilities assumed are based on management’s best preliminary estimates. The actual fair values of assets acquired and liabilities assumed may differ from those reflected.</w:t>
      </w:r>
    </w:p>
    <w:p>
      <w:pPr>
        <w:spacing w:after="0" w:line="114"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The following presents the pro forma net income and net income per common share for the years ended June 30, 2011 and 2010 of the Company’s acquisition of MeadowWood assuming the acquisition occurred as of July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YEAR ENDED JUNE 30,</w:t>
      </w:r>
    </w:p>
    <w:p>
      <w:pPr>
        <w:jc w:val="center"/>
        <w:ind w:left="8660"/>
        <w:spacing w:after="0" w:line="227"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Revenues</w:t>
            </w: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76,621,243</w:t>
            </w:r>
          </w:p>
        </w:tc>
        <w:tc>
          <w:tcPr>
            <w:tcW w:w="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66,820,062</w:t>
            </w:r>
          </w:p>
        </w:tc>
        <w:tc>
          <w:tcPr>
            <w:tcW w:w="120" w:type="dxa"/>
            <w:vAlign w:val="bottom"/>
            <w:shd w:val="clear" w:color="auto" w:fill="CCEEFF"/>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3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1,019,112</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2,104,228</w:t>
            </w:r>
          </w:p>
        </w:tc>
        <w:tc>
          <w:tcPr>
            <w:tcW w:w="12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common share</w:t>
            </w:r>
          </w:p>
        </w:tc>
        <w:tc>
          <w:tcPr>
            <w:tcW w:w="2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340" w:type="dxa"/>
            <w:vAlign w:val="bottom"/>
          </w:tcPr>
          <w:p>
            <w:pPr>
              <w:spacing w:after="0" w:line="196" w:lineRule="exact"/>
              <w:rPr>
                <w:sz w:val="20"/>
                <w:szCs w:val="20"/>
                <w:color w:val="auto"/>
              </w:rPr>
            </w:pPr>
            <w:r>
              <w:rPr>
                <w:rFonts w:ascii="Arial" w:cs="Arial" w:eastAsia="Arial" w:hAnsi="Arial"/>
                <w:sz w:val="18"/>
                <w:szCs w:val="18"/>
                <w:color w:val="auto"/>
              </w:rPr>
              <w:t>Fully diluted weighted average shares outstanding</w:t>
            </w:r>
          </w:p>
        </w:tc>
        <w:tc>
          <w:tcPr>
            <w:tcW w:w="2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19,787,461</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19,914,954</w:t>
            </w:r>
          </w:p>
        </w:tc>
        <w:tc>
          <w:tcPr>
            <w:tcW w:w="12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3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pacing w:after="0" w:line="125"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This unaudited pro forma condensed combined financial information is not necessarily indicative of the results of operations that would have been achieved had the acquisition actually taken place at the dates indicated and do not purport to be indicative of future position or operating results.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Also on July 1, 2011 (the “Closing Date”), and concurrently with the closing under the Purchase Agreement, the Company and its subsidiaries entered into a Credit Agreement with the lenders party thereto (the “Lenders”), Jefferies Finance LLC, as administrative agent, arranger, book manager, collateral agent, and documentation agent for the Lenders, and as syndication agent and swingline lender, and Jefferies Group, Inc., as issuing bank (the “Credit Agreement”). The terms of the Credit Agreement provide for (i) a $23,500,000 senior secured term loan facility (the “Term Loan Facility”) and (ii) up to $3,000,000 senior secured revolving credit facility (the “Revolving Credit Facility”), both of which were fully borrowed on the Closing Date in order to finance the MeadowWood purchase, to pay off the Company’s existing loan facility with CapitalSource Finance LLC, for miscellaneous costs, fees and expenses related to the Credit Agreement and the MeadowWood purchase, and for general working capital purposes.</w:t>
      </w:r>
    </w:p>
    <w:p>
      <w:pPr>
        <w:spacing w:after="0" w:line="11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Term Loan Facility and Revolving Credit Facility mature on July 1, 2014, and 0.25% of the principal amount of the Term Loan Facility will be required to be repaid each quarter during the term. The Company’s current and future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91" w:right="239" w:bottom="1440" w:gutter="0" w:footer="0" w:header="0"/>
        </w:sectPr>
      </w:pPr>
    </w:p>
    <w:bookmarkStart w:id="170" w:name="page171"/>
    <w:bookmarkEnd w:id="170"/>
    <w:p>
      <w:pPr>
        <w:ind w:right="4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are required to jointly and severally guarantee the Company’s obligations under the Credit Agreement, and the Company and its subsidiaries’ obligations under the Credit Agreement are secured by substantially all of their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Acadia Merger</w:t>
      </w:r>
    </w:p>
    <w:p>
      <w:pPr>
        <w:spacing w:after="0" w:line="11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on May 23, 2011, the Company entered into an Agreement and Plan of Merger (the “Merger Agreement”) with Acadia Healthcare Company, Inc., a Delaware corporation (“Acadia”), and Acadia Merger Sub, LLC, a Delaware limited liability company and wholly-owned subsidiary of Acadia (“Merger Sub”), pursuant to which, subject to the satisfaction or waiver of the conditions therein, the Company will merge with and into Merger Sub, with Merger Sub continuing as the surviving company (the “Merger”). Upon the completion of the Merger, Acadia stockholders will own approximately 77.5% of the combined company and PHC’s stockholders will own approximately 22.5% of the combined company. The Merger is intended to qualify for federal income tax purposes as a reorganization under the provisions of Section 368 of the Internal Revenue Code of 1986, as amended. Acadia operates a network of 19 behavioral health facilities with more than 1,700 beds in 13 states. (For additional information regarding this transaction, please see our report on Form 8-K, filed with the Securities and Exchange Commission on May 25, 2011 and our preliminary proxy statement filed with the Securities and Exchange Commission on July 13, 2011).</w:t>
      </w:r>
    </w:p>
    <w:p>
      <w:pPr>
        <w:spacing w:after="0" w:line="12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Subsequent to year end, in connection with the proposed transaction, Acadia filed with the SEC a registration statement that containing the proxy statement concurrently filed by PHC which will constitute an Acadia prospectus.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91" w:right="25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99.7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AUDITORS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Parent of HHC Delaware, Inc.</w:t>
      </w:r>
    </w:p>
    <w:p>
      <w:pPr>
        <w:spacing w:after="0" w:line="11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audited the accompanying consolidated balance sheets of HHC Delaware, Inc. and Subsidiary (the Company) as of December 31, 2010 and December 31, 2009 (Predecessor), and the related consolidated statements of operations, invested equity (deficit), and cash flows for the period from November 16, 2010 to December 31, 2010 and for the period from January 1, 2010 to November 15, 2010 and the year ended December 31, 2009 (Predecessor periods). These financial statements are the responsibility of the Company’s management. Our responsibility is to express an opinion on these financial statements based on our audits.</w:t>
      </w:r>
    </w:p>
    <w:p>
      <w:pPr>
        <w:spacing w:after="0" w:line="11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conducted our audits in accordance with the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HHC Delaware, Inc. and Subsidiary at December 31, 2010 and December 31, 2009 (Predecessor), and the consolidated results of operations and cash flows for the period from November 16, 2010 to December 31, 2010 and for the period from January 1, 2010 to November 15, 2010 and the year ended December 31, 2009 (Predecessor periods) in conformity with U.S. generally accepted accounting principles.</w:t>
      </w:r>
    </w:p>
    <w:p>
      <w:pPr>
        <w:spacing w:after="0" w:line="11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rPr>
          <w:sz w:val="20"/>
          <w:szCs w:val="20"/>
          <w:color w:val="auto"/>
        </w:rPr>
      </w:pPr>
      <w:r>
        <w:rPr>
          <w:rFonts w:ascii="Arial" w:cs="Arial" w:eastAsia="Arial" w:hAnsi="Arial"/>
          <w:sz w:val="18"/>
          <w:szCs w:val="18"/>
          <w:color w:val="auto"/>
        </w:rPr>
        <w:t>June 24, 2011, except for Note 8 as to which the date is August 18, 2011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HHC DELAWARE, INC. AND SUBSIDIARY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JUNE 30,</w:t>
            </w:r>
          </w:p>
        </w:tc>
        <w:tc>
          <w:tcPr>
            <w:tcW w:w="0" w:type="dxa"/>
            <w:vAlign w:val="bottom"/>
          </w:tcPr>
          <w:p>
            <w:pPr>
              <w:spacing w:after="0"/>
              <w:rPr>
                <w:sz w:val="1"/>
                <w:szCs w:val="1"/>
                <w:color w:val="auto"/>
              </w:rPr>
            </w:pPr>
          </w:p>
        </w:tc>
      </w:tr>
      <w:tr>
        <w:trPr>
          <w:trHeight w:val="125"/>
        </w:trPr>
        <w:tc>
          <w:tcPr>
            <w:tcW w:w="6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top w:val="single" w:sz="8" w:color="auto"/>
            </w:tcBorders>
            <w:gridSpan w:val="2"/>
          </w:tcPr>
          <w:p>
            <w:pPr>
              <w:ind w:left="4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5300"/>
              <w:spacing w:after="0" w:line="202" w:lineRule="exact"/>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197,197</w:t>
            </w:r>
          </w:p>
        </w:tc>
        <w:tc>
          <w:tcPr>
            <w:tcW w:w="3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240,642</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60" w:type="dxa"/>
            <w:vAlign w:val="bottom"/>
          </w:tcPr>
          <w:p>
            <w:pPr>
              <w:ind w:left="320"/>
              <w:spacing w:after="0" w:line="206" w:lineRule="exact"/>
              <w:rPr>
                <w:sz w:val="20"/>
                <w:szCs w:val="20"/>
                <w:color w:val="auto"/>
              </w:rPr>
            </w:pPr>
            <w:r>
              <w:rPr>
                <w:rFonts w:ascii="Arial" w:cs="Arial" w:eastAsia="Arial" w:hAnsi="Arial"/>
                <w:sz w:val="18"/>
                <w:szCs w:val="18"/>
                <w:color w:val="auto"/>
              </w:rPr>
              <w:t>Accounts receivable, less allowance for doubtful accounts of $1,137,478 ,</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640"/>
              <w:spacing w:after="0" w:line="200" w:lineRule="exact"/>
              <w:rPr>
                <w:sz w:val="20"/>
                <w:szCs w:val="20"/>
                <w:color w:val="auto"/>
              </w:rPr>
            </w:pPr>
            <w:r>
              <w:rPr>
                <w:rFonts w:ascii="Arial" w:cs="Arial" w:eastAsia="Arial" w:hAnsi="Arial"/>
                <w:sz w:val="18"/>
                <w:szCs w:val="18"/>
                <w:color w:val="auto"/>
              </w:rPr>
              <w:t>$1,459,521 and $1,406,143 (unaudited), respectively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1,371,276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1,835,603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1,481,772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Third party settlements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505,988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795,151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315,009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20"/>
              <w:spacing w:after="0" w:line="202" w:lineRule="exact"/>
              <w:rPr>
                <w:sz w:val="20"/>
                <w:szCs w:val="20"/>
                <w:color w:val="auto"/>
              </w:rPr>
            </w:pPr>
            <w:r>
              <w:rPr>
                <w:rFonts w:ascii="Arial" w:cs="Arial" w:eastAsia="Arial" w:hAnsi="Arial"/>
                <w:sz w:val="18"/>
                <w:szCs w:val="18"/>
                <w:color w:val="auto"/>
              </w:rPr>
              <w:t>Deferred tax assets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558,057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655,445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642,587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current assets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144,579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149,407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2,777,097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3,676,248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2,568,774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20"/>
              <w:spacing w:after="0" w:line="202" w:lineRule="exact"/>
              <w:rPr>
                <w:sz w:val="20"/>
                <w:szCs w:val="20"/>
                <w:color w:val="auto"/>
              </w:rPr>
            </w:pPr>
            <w:r>
              <w:rPr>
                <w:rFonts w:ascii="Arial" w:cs="Arial" w:eastAsia="Arial" w:hAnsi="Arial"/>
                <w:sz w:val="18"/>
                <w:szCs w:val="18"/>
                <w:color w:val="auto"/>
              </w:rPr>
              <w:t>Land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1,240,291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1,110,311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1,240,291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Buildings and improvements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6,899,017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6,253,181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7,104,910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20"/>
              <w:spacing w:after="0" w:line="202" w:lineRule="exact"/>
              <w:rPr>
                <w:sz w:val="20"/>
                <w:szCs w:val="20"/>
                <w:color w:val="auto"/>
              </w:rPr>
            </w:pPr>
            <w:r>
              <w:rPr>
                <w:rFonts w:ascii="Arial" w:cs="Arial" w:eastAsia="Arial" w:hAnsi="Arial"/>
                <w:sz w:val="18"/>
                <w:szCs w:val="18"/>
                <w:color w:val="auto"/>
              </w:rPr>
              <w:t>Equipment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635,229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471,149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692,158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Construction in progress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248,507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237,316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147,528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320"/>
              <w:spacing w:after="0" w:line="202" w:lineRule="exact"/>
              <w:rPr>
                <w:sz w:val="20"/>
                <w:szCs w:val="20"/>
                <w:color w:val="auto"/>
              </w:rPr>
            </w:pPr>
            <w:r>
              <w:rPr>
                <w:rFonts w:ascii="Arial" w:cs="Arial" w:eastAsia="Arial" w:hAnsi="Arial"/>
                <w:sz w:val="18"/>
                <w:szCs w:val="18"/>
                <w:color w:val="auto"/>
              </w:rPr>
              <w:t>Less accumulated depreciation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(903,869)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(595,965)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(1,077,096)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8,119,175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7,475,992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8,107,791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18,629,020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11,221,124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18,677,584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141,413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297,120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Total assets</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29,666,705</w:t>
            </w:r>
          </w:p>
        </w:tc>
        <w:tc>
          <w:tcPr>
            <w:tcW w:w="2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22,670,484</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29,354,149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560" w:type="dxa"/>
            <w:vAlign w:val="bottom"/>
            <w:gridSpan w:val="5"/>
            <w:shd w:val="clear" w:color="auto" w:fill="CCEEFF"/>
          </w:tcPr>
          <w:p>
            <w:pPr>
              <w:ind w:left="3700"/>
              <w:spacing w:after="0" w:line="202" w:lineRule="exact"/>
              <w:rPr>
                <w:sz w:val="20"/>
                <w:szCs w:val="20"/>
                <w:color w:val="auto"/>
              </w:rPr>
            </w:pPr>
            <w:r>
              <w:rPr>
                <w:rFonts w:ascii="Arial" w:cs="Arial" w:eastAsia="Arial" w:hAnsi="Arial"/>
                <w:sz w:val="18"/>
                <w:szCs w:val="18"/>
                <w:b w:val="1"/>
                <w:bCs w:val="1"/>
                <w:color w:val="auto"/>
              </w:rPr>
              <w:t>LIABILITIES AND INVESTED EQUITY (DEFICIT)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7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298,354</w:t>
            </w:r>
          </w:p>
        </w:tc>
        <w:tc>
          <w:tcPr>
            <w:tcW w:w="3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286,813</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157,484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20"/>
              <w:spacing w:after="0" w:line="202" w:lineRule="exact"/>
              <w:rPr>
                <w:sz w:val="20"/>
                <w:szCs w:val="20"/>
                <w:color w:val="auto"/>
              </w:rPr>
            </w:pPr>
            <w:r>
              <w:rPr>
                <w:rFonts w:ascii="Arial" w:cs="Arial" w:eastAsia="Arial" w:hAnsi="Arial"/>
                <w:sz w:val="18"/>
                <w:szCs w:val="18"/>
                <w:color w:val="auto"/>
              </w:rPr>
              <w:t>Salaries and benefits payable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398,571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360,090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634,970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Income taxes payable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193,975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45,357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419,915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20"/>
              <w:spacing w:after="0" w:line="202" w:lineRule="exact"/>
              <w:rPr>
                <w:sz w:val="20"/>
                <w:szCs w:val="20"/>
                <w:color w:val="auto"/>
              </w:rPr>
            </w:pPr>
            <w:r>
              <w:rPr>
                <w:rFonts w:ascii="Arial" w:cs="Arial" w:eastAsia="Arial" w:hAnsi="Arial"/>
                <w:sz w:val="18"/>
                <w:szCs w:val="18"/>
                <w:color w:val="auto"/>
              </w:rPr>
              <w:t>Other accrued liabilities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81,050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47,442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36,570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Current portion of long-term debt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140,153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114,614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1,112,103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854,316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1,301,102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6,648,128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6,706,683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902,248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712,055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953,476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Parent</w:t>
            </w: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21,028,879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14,277,002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26,789,900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29,691,358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22,550,056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29,097,761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Invested equity (deficit):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20"/>
              <w:spacing w:after="0" w:line="202" w:lineRule="exact"/>
              <w:rPr>
                <w:sz w:val="20"/>
                <w:szCs w:val="20"/>
                <w:color w:val="auto"/>
              </w:rPr>
            </w:pPr>
            <w:r>
              <w:rPr>
                <w:rFonts w:ascii="Arial" w:cs="Arial" w:eastAsia="Arial" w:hAnsi="Arial"/>
                <w:sz w:val="18"/>
                <w:szCs w:val="18"/>
                <w:color w:val="auto"/>
              </w:rPr>
              <w:t>Net investment by Parent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(24,653)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120,428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256,388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invested equity (deficit)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29,666,705</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22,670,484</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29,354,149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566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66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3" w:name="page174"/>
    <w:bookmarkEnd w:id="173"/>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HHC DELAWARE, INC. AND SUBSIDIARY</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CHANGES IN INVESTED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NOVEMBER 16, 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ind w:left="780"/>
              <w:spacing w:after="0"/>
              <w:rPr>
                <w:sz w:val="20"/>
                <w:szCs w:val="20"/>
                <w:color w:val="auto"/>
              </w:rPr>
            </w:pPr>
            <w:r>
              <w:rPr>
                <w:rFonts w:ascii="Arial" w:cs="Arial" w:eastAsia="Arial" w:hAnsi="Arial"/>
                <w:sz w:val="14"/>
                <w:szCs w:val="14"/>
                <w:b w:val="1"/>
                <w:bCs w:val="1"/>
                <w:color w:val="auto"/>
                <w:w w:val="94"/>
              </w:rPr>
              <w:t>PREDECESSOR</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SIX MONTHS</w:t>
            </w:r>
          </w:p>
        </w:tc>
        <w:tc>
          <w:tcPr>
            <w:tcW w:w="20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2"/>
          </w:tcPr>
          <w:p>
            <w:pPr>
              <w:jc w:val="right"/>
              <w:ind w:right="560"/>
              <w:spacing w:after="0" w:line="125" w:lineRule="exact"/>
              <w:rPr>
                <w:sz w:val="20"/>
                <w:szCs w:val="20"/>
                <w:color w:val="auto"/>
              </w:rPr>
            </w:pPr>
            <w:r>
              <w:rPr>
                <w:rFonts w:ascii="Arial" w:cs="Arial" w:eastAsia="Arial" w:hAnsi="Arial"/>
                <w:sz w:val="14"/>
                <w:szCs w:val="14"/>
                <w:b w:val="1"/>
                <w:bCs w:val="1"/>
                <w:color w:val="auto"/>
                <w:w w:val="94"/>
              </w:rPr>
              <w:t>JANUARY 1, 2010</w:t>
            </w:r>
          </w:p>
        </w:tc>
        <w:tc>
          <w:tcPr>
            <w:tcW w:w="100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4"/>
              <w:spacing w:after="0" w:line="125" w:lineRule="exact"/>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THROUGH</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ENDED JUNE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2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15, 2010</w:t>
            </w:r>
          </w:p>
        </w:tc>
        <w:tc>
          <w:tcPr>
            <w:tcW w:w="12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right"/>
              <w:ind w:right="814"/>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1,585,216</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12,715,648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13,831,469</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7,540,989</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7,228,489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line="206" w:lineRule="exact"/>
              <w:rPr>
                <w:sz w:val="20"/>
                <w:szCs w:val="20"/>
                <w:color w:val="auto"/>
              </w:rPr>
            </w:pPr>
            <w:r>
              <w:rPr>
                <w:rFonts w:ascii="Arial" w:cs="Arial" w:eastAsia="Arial" w:hAnsi="Arial"/>
                <w:sz w:val="18"/>
                <w:szCs w:val="18"/>
                <w:color w:val="auto"/>
              </w:rPr>
              <w:t>Salaries, wages and employee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shd w:val="clear" w:color="auto" w:fill="CCEEFF"/>
          </w:tcPr>
          <w:p>
            <w:pPr>
              <w:ind w:left="620"/>
              <w:spacing w:after="0" w:line="200" w:lineRule="exact"/>
              <w:rPr>
                <w:sz w:val="20"/>
                <w:szCs w:val="20"/>
                <w:color w:val="auto"/>
              </w:rPr>
            </w:pPr>
            <w:r>
              <w:rPr>
                <w:rFonts w:ascii="Arial" w:cs="Arial" w:eastAsia="Arial" w:hAnsi="Arial"/>
                <w:sz w:val="18"/>
                <w:szCs w:val="18"/>
                <w:color w:val="auto"/>
              </w:rPr>
              <w:t>benefits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1,074,916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7,775,193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8,359,494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4,746,244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4,420,813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300"/>
              <w:spacing w:after="0" w:line="202" w:lineRule="exact"/>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121,295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770,315</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914,722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454,048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433,722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Supplies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102,673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793,846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800,749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469,425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450,421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300"/>
              <w:spacing w:after="0" w:line="202" w:lineRule="exact"/>
              <w:rPr>
                <w:sz w:val="20"/>
                <w:szCs w:val="20"/>
                <w:color w:val="auto"/>
              </w:rPr>
            </w:pPr>
            <w:r>
              <w:rPr>
                <w:rFonts w:ascii="Arial" w:cs="Arial" w:eastAsia="Arial" w:hAnsi="Arial"/>
                <w:sz w:val="18"/>
                <w:szCs w:val="18"/>
                <w:color w:val="auto"/>
              </w:rPr>
              <w:t>Rentals and leases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1,545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19,145</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36,439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19,103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96,521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703,815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809,517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410,478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355,393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300"/>
              <w:spacing w:after="0" w:line="202" w:lineRule="exact"/>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75,483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436,249</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483,388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339,449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234,435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39,849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268,232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292,689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178,806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tcPr>
          <w:p>
            <w:pPr>
              <w:ind w:left="300"/>
              <w:spacing w:after="0" w:line="206" w:lineRule="exact"/>
              <w:rPr>
                <w:sz w:val="20"/>
                <w:szCs w:val="20"/>
                <w:color w:val="auto"/>
              </w:rPr>
            </w:pPr>
            <w:r>
              <w:rPr>
                <w:rFonts w:ascii="Arial" w:cs="Arial" w:eastAsia="Arial" w:hAnsi="Arial"/>
                <w:sz w:val="18"/>
                <w:szCs w:val="18"/>
                <w:color w:val="auto"/>
              </w:rPr>
              <w:t>Management fees allocated by the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Pr>
          <w:p>
            <w:pPr>
              <w:ind w:left="620"/>
              <w:spacing w:after="0" w:line="200" w:lineRule="exact"/>
              <w:rPr>
                <w:sz w:val="20"/>
                <w:szCs w:val="20"/>
                <w:color w:val="auto"/>
              </w:rPr>
            </w:pPr>
            <w:r>
              <w:rPr>
                <w:rFonts w:ascii="Arial" w:cs="Arial" w:eastAsia="Arial" w:hAnsi="Arial"/>
                <w:sz w:val="18"/>
                <w:szCs w:val="18"/>
                <w:color w:val="auto"/>
              </w:rPr>
              <w:t>Parent</w:t>
            </w:r>
          </w:p>
        </w:tc>
        <w:tc>
          <w:tcPr>
            <w:tcW w:w="22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47,556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460"/>
              <w:spacing w:after="0" w:line="200" w:lineRule="exact"/>
              <w:rPr>
                <w:sz w:val="20"/>
                <w:szCs w:val="20"/>
                <w:color w:val="auto"/>
              </w:rPr>
            </w:pPr>
            <w:r>
              <w:rPr>
                <w:rFonts w:ascii="Arial" w:cs="Arial" w:eastAsia="Arial" w:hAnsi="Arial"/>
                <w:sz w:val="18"/>
                <w:szCs w:val="18"/>
                <w:color w:val="auto"/>
              </w:rPr>
              <w:t>382,427</w:t>
            </w: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464,429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226,230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221,538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66,579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456,509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533,391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223,546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ind w:left="6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1,626,417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11,605,731</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12,694,818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7,067,309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(41,201)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1,109,917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1,136,651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473,680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7"/>
                <w:szCs w:val="17"/>
                <w:color w:val="auto"/>
              </w:rPr>
            </w:pP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(16,548)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452,747</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462,058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192,639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280,730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(24,653)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657,170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674,593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281,041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b w:val="1"/>
                <w:bCs w:val="1"/>
                <w:color w:val="auto"/>
              </w:rPr>
              <w:t>Invested equity (deficit):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777,598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120,428</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(554,165)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(24,653)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Elimination of predecessor invested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Pr>
          <w:p>
            <w:pPr>
              <w:ind w:left="300"/>
              <w:spacing w:after="0" w:line="200" w:lineRule="exact"/>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7"/>
                <w:szCs w:val="17"/>
                <w:color w:val="auto"/>
              </w:rPr>
            </w:pPr>
          </w:p>
        </w:tc>
        <w:tc>
          <w:tcPr>
            <w:tcW w:w="13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(777,598)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46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 of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(24,653)</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777,598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120,428</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256,388</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527,925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875"/>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HHC DELAWARE, INC. AND SUBSIDIARY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NOVEMBER 16, 2010</w:t>
            </w:r>
          </w:p>
        </w:tc>
        <w:tc>
          <w:tcPr>
            <w:tcW w:w="100" w:type="dxa"/>
            <w:vAlign w:val="bottom"/>
          </w:tcPr>
          <w:p>
            <w:pPr>
              <w:spacing w:after="0"/>
              <w:rPr>
                <w:sz w:val="14"/>
                <w:szCs w:val="14"/>
                <w:color w:val="auto"/>
              </w:rPr>
            </w:pPr>
          </w:p>
        </w:tc>
        <w:tc>
          <w:tcPr>
            <w:tcW w:w="2020" w:type="dxa"/>
            <w:vAlign w:val="bottom"/>
            <w:gridSpan w:val="3"/>
          </w:tcPr>
          <w:p>
            <w:pPr>
              <w:ind w:left="840"/>
              <w:spacing w:after="0"/>
              <w:rPr>
                <w:sz w:val="20"/>
                <w:szCs w:val="20"/>
                <w:color w:val="auto"/>
              </w:rPr>
            </w:pPr>
            <w:r>
              <w:rPr>
                <w:rFonts w:ascii="Arial" w:cs="Arial" w:eastAsia="Arial" w:hAnsi="Arial"/>
                <w:sz w:val="14"/>
                <w:szCs w:val="14"/>
                <w:b w:val="1"/>
                <w:bCs w:val="1"/>
                <w:color w:val="auto"/>
              </w:rPr>
              <w:t>PREDECESSOR</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8"/>
              </w:rPr>
              <w:t>SIX MONTHS</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2"/>
          </w:tcPr>
          <w:p>
            <w:pPr>
              <w:jc w:val="right"/>
              <w:ind w:right="680"/>
              <w:spacing w:after="0" w:line="125" w:lineRule="exact"/>
              <w:rPr>
                <w:sz w:val="20"/>
                <w:szCs w:val="20"/>
                <w:color w:val="auto"/>
              </w:rPr>
            </w:pPr>
            <w:r>
              <w:rPr>
                <w:rFonts w:ascii="Arial" w:cs="Arial" w:eastAsia="Arial" w:hAnsi="Arial"/>
                <w:sz w:val="14"/>
                <w:szCs w:val="14"/>
                <w:b w:val="1"/>
                <w:bCs w:val="1"/>
                <w:color w:val="auto"/>
                <w:w w:val="94"/>
              </w:rPr>
              <w:t>JANUARY 1, 2010</w:t>
            </w:r>
          </w:p>
        </w:tc>
        <w:tc>
          <w:tcPr>
            <w:tcW w:w="100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2"/>
              <w:spacing w:after="0" w:line="125" w:lineRule="exact"/>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THROUGH</w:t>
            </w:r>
          </w:p>
        </w:tc>
        <w:tc>
          <w:tcPr>
            <w:tcW w:w="100" w:type="dxa"/>
            <w:vAlign w:val="bottom"/>
          </w:tcPr>
          <w:p>
            <w:pPr>
              <w:spacing w:after="0"/>
              <w:rPr>
                <w:sz w:val="12"/>
                <w:szCs w:val="12"/>
                <w:color w:val="auto"/>
              </w:rPr>
            </w:pPr>
          </w:p>
        </w:tc>
        <w:tc>
          <w:tcPr>
            <w:tcW w:w="18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THROUGH</w:t>
            </w: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NOVEMBER 15, 2010</w:t>
            </w:r>
          </w:p>
        </w:tc>
        <w:tc>
          <w:tcPr>
            <w:tcW w:w="20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97"/>
              </w:rPr>
              <w:t>(Unaudited)</w:t>
            </w: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(24,653)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657,170</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674,593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281,041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407,497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Adjustments to reconcile net income (loss)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 net cash provided by continuing</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39,849</w:t>
            </w:r>
          </w:p>
        </w:tc>
        <w:tc>
          <w:tcPr>
            <w:tcW w:w="100" w:type="dxa"/>
            <w:vAlign w:val="bottom"/>
          </w:tcPr>
          <w:p>
            <w:pPr>
              <w:spacing w:after="0"/>
              <w:rPr>
                <w:sz w:val="12"/>
                <w:szCs w:val="12"/>
                <w:color w:val="auto"/>
              </w:rPr>
            </w:pPr>
          </w:p>
        </w:tc>
        <w:tc>
          <w:tcPr>
            <w:tcW w:w="18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268,232</w:t>
            </w:r>
          </w:p>
        </w:tc>
        <w:tc>
          <w:tcPr>
            <w:tcW w:w="20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292,689</w:t>
            </w:r>
          </w:p>
        </w:tc>
        <w:tc>
          <w:tcPr>
            <w:tcW w:w="10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178,806</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152,244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75,483</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436,249</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483,388</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339,449</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234,435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(131,664)</w:t>
            </w:r>
          </w:p>
        </w:tc>
        <w:tc>
          <w:tcPr>
            <w:tcW w:w="100" w:type="dxa"/>
            <w:vAlign w:val="bottom"/>
          </w:tcPr>
          <w:p>
            <w:pPr>
              <w:spacing w:after="0"/>
              <w:rPr>
                <w:sz w:val="12"/>
                <w:szCs w:val="12"/>
                <w:color w:val="auto"/>
              </w:rPr>
            </w:pPr>
          </w:p>
        </w:tc>
        <w:tc>
          <w:tcPr>
            <w:tcW w:w="18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419,245</w:t>
            </w:r>
          </w:p>
        </w:tc>
        <w:tc>
          <w:tcPr>
            <w:tcW w:w="20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416,701</w:t>
            </w:r>
          </w:p>
        </w:tc>
        <w:tc>
          <w:tcPr>
            <w:tcW w:w="10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(33,302)</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192,763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Changes in operating assets and</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liabilities, net of effect of acquisitions: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273,343</w:t>
            </w:r>
          </w:p>
        </w:tc>
        <w:tc>
          <w:tcPr>
            <w:tcW w:w="100" w:type="dxa"/>
            <w:vAlign w:val="bottom"/>
          </w:tcPr>
          <w:p>
            <w:pPr>
              <w:spacing w:after="0"/>
              <w:rPr>
                <w:sz w:val="12"/>
                <w:szCs w:val="12"/>
                <w:color w:val="auto"/>
              </w:rPr>
            </w:pPr>
          </w:p>
        </w:tc>
        <w:tc>
          <w:tcPr>
            <w:tcW w:w="18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(320,748)</w:t>
            </w:r>
          </w:p>
        </w:tc>
        <w:tc>
          <w:tcPr>
            <w:tcW w:w="2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(460,881)</w:t>
            </w:r>
          </w:p>
        </w:tc>
        <w:tc>
          <w:tcPr>
            <w:tcW w:w="10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(449,945)</w:t>
            </w:r>
          </w:p>
        </w:tc>
        <w:tc>
          <w:tcPr>
            <w:tcW w:w="1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(263,246)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Third party settlements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(22,650)</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311,813</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(416,735)</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190,979</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ind w:left="420"/>
              <w:spacing w:after="0" w:line="148" w:lineRule="exact"/>
              <w:rPr>
                <w:sz w:val="20"/>
                <w:szCs w:val="20"/>
                <w:color w:val="auto"/>
              </w:rPr>
            </w:pPr>
            <w:r>
              <w:rPr>
                <w:rFonts w:ascii="Arial" w:cs="Arial" w:eastAsia="Arial" w:hAnsi="Arial"/>
                <w:sz w:val="14"/>
                <w:szCs w:val="14"/>
                <w:color w:val="auto"/>
              </w:rPr>
              <w:t>Prepaid expenses and other current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640"/>
              <w:spacing w:after="0" w:line="149" w:lineRule="exact"/>
              <w:rPr>
                <w:sz w:val="20"/>
                <w:szCs w:val="20"/>
                <w:color w:val="auto"/>
              </w:rPr>
            </w:pPr>
            <w:r>
              <w:rPr>
                <w:rFonts w:ascii="Arial" w:cs="Arial" w:eastAsia="Arial" w:hAnsi="Arial"/>
                <w:sz w:val="14"/>
                <w:szCs w:val="14"/>
                <w:color w:val="auto"/>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35,402</w:t>
            </w:r>
          </w:p>
        </w:tc>
        <w:tc>
          <w:tcPr>
            <w:tcW w:w="100" w:type="dxa"/>
            <w:vAlign w:val="bottom"/>
          </w:tcPr>
          <w:p>
            <w:pPr>
              <w:spacing w:after="0"/>
              <w:rPr>
                <w:sz w:val="12"/>
                <w:szCs w:val="12"/>
                <w:color w:val="auto"/>
              </w:rPr>
            </w:pPr>
          </w:p>
        </w:tc>
        <w:tc>
          <w:tcPr>
            <w:tcW w:w="18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(30,574)</w:t>
            </w:r>
          </w:p>
        </w:tc>
        <w:tc>
          <w:tcPr>
            <w:tcW w:w="2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(35,513)</w:t>
            </w:r>
          </w:p>
        </w:tc>
        <w:tc>
          <w:tcPr>
            <w:tcW w:w="10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47,444</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(13,185)</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168,892</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50,807</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141,413</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ind w:left="420"/>
              <w:spacing w:after="0" w:line="148" w:lineRule="exact"/>
              <w:rPr>
                <w:sz w:val="20"/>
                <w:szCs w:val="20"/>
                <w:color w:val="auto"/>
              </w:rPr>
            </w:pPr>
            <w:r>
              <w:rPr>
                <w:rFonts w:ascii="Arial" w:cs="Arial" w:eastAsia="Arial" w:hAnsi="Arial"/>
                <w:sz w:val="14"/>
                <w:szCs w:val="14"/>
                <w:color w:val="auto"/>
              </w:rPr>
              <w:t>Accounts payable and accrued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640"/>
              <w:spacing w:after="0" w:line="149" w:lineRule="exact"/>
              <w:rPr>
                <w:sz w:val="20"/>
                <w:szCs w:val="20"/>
                <w:color w:val="auto"/>
              </w:rPr>
            </w:pPr>
            <w:r>
              <w:rPr>
                <w:rFonts w:ascii="Arial" w:cs="Arial" w:eastAsia="Arial" w:hAnsi="Arial"/>
                <w:sz w:val="14"/>
                <w:szCs w:val="14"/>
                <w:color w:val="auto"/>
              </w:rPr>
              <w:t>expenses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230,408</w:t>
            </w:r>
          </w:p>
        </w:tc>
        <w:tc>
          <w:tcPr>
            <w:tcW w:w="100" w:type="dxa"/>
            <w:vAlign w:val="bottom"/>
          </w:tcPr>
          <w:p>
            <w:pPr>
              <w:spacing w:after="0"/>
              <w:rPr>
                <w:sz w:val="12"/>
                <w:szCs w:val="12"/>
                <w:color w:val="auto"/>
              </w:rPr>
            </w:pPr>
          </w:p>
        </w:tc>
        <w:tc>
          <w:tcPr>
            <w:tcW w:w="18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(218,867)</w:t>
            </w:r>
          </w:p>
        </w:tc>
        <w:tc>
          <w:tcPr>
            <w:tcW w:w="20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206,737</w:t>
            </w:r>
          </w:p>
        </w:tc>
        <w:tc>
          <w:tcPr>
            <w:tcW w:w="10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(140,870)</w:t>
            </w:r>
          </w:p>
        </w:tc>
        <w:tc>
          <w:tcPr>
            <w:tcW w:w="1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115,116</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33,502</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45,357</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225,940</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20"/>
              <w:spacing w:after="0" w:line="149" w:lineRule="exact"/>
              <w:rPr>
                <w:sz w:val="20"/>
                <w:szCs w:val="20"/>
                <w:color w:val="auto"/>
              </w:rPr>
            </w:pPr>
            <w:r>
              <w:rPr>
                <w:rFonts w:ascii="Arial" w:cs="Arial" w:eastAsia="Arial" w:hAnsi="Arial"/>
                <w:sz w:val="14"/>
                <w:szCs w:val="14"/>
                <w:color w:val="auto"/>
              </w:rPr>
              <w:t>Salaries and benefits payable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(237,420)</w:t>
            </w:r>
          </w:p>
        </w:tc>
        <w:tc>
          <w:tcPr>
            <w:tcW w:w="100" w:type="dxa"/>
            <w:vAlign w:val="bottom"/>
          </w:tcPr>
          <w:p>
            <w:pPr>
              <w:spacing w:after="0"/>
              <w:rPr>
                <w:sz w:val="12"/>
                <w:szCs w:val="12"/>
                <w:color w:val="auto"/>
              </w:rPr>
            </w:pPr>
          </w:p>
        </w:tc>
        <w:tc>
          <w:tcPr>
            <w:tcW w:w="18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275,901</w:t>
            </w:r>
          </w:p>
        </w:tc>
        <w:tc>
          <w:tcPr>
            <w:tcW w:w="2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(227,230)</w:t>
            </w:r>
          </w:p>
        </w:tc>
        <w:tc>
          <w:tcPr>
            <w:tcW w:w="10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236,399</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271,923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43,363</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(9,755)</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(76,627)</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(44,480)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(6,905)</w:t>
            </w:r>
          </w:p>
        </w:tc>
        <w:tc>
          <w:tcPr>
            <w:tcW w:w="0" w:type="dxa"/>
            <w:vAlign w:val="bottom"/>
          </w:tcPr>
          <w:p>
            <w:pPr>
              <w:spacing w:after="0"/>
              <w:rPr>
                <w:sz w:val="1"/>
                <w:szCs w:val="1"/>
                <w:color w:val="auto"/>
              </w:rPr>
            </w:pPr>
          </w:p>
        </w:tc>
      </w:tr>
      <w:tr>
        <w:trPr>
          <w:trHeight w:val="155"/>
        </w:trPr>
        <w:tc>
          <w:tcPr>
            <w:tcW w:w="29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Arial" w:cs="Arial" w:eastAsia="Arial" w:hAnsi="Arial"/>
                <w:sz w:val="14"/>
                <w:szCs w:val="14"/>
                <w:color w:val="auto"/>
              </w:rPr>
              <w:t>activities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383,392</w:t>
            </w:r>
          </w:p>
        </w:tc>
        <w:tc>
          <w:tcPr>
            <w:tcW w:w="1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1,991,060</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953,286</w:t>
            </w:r>
          </w:p>
        </w:tc>
        <w:tc>
          <w:tcPr>
            <w:tcW w:w="10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972,874</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1,347,904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8" w:lineRule="exact"/>
              <w:rPr>
                <w:sz w:val="20"/>
                <w:szCs w:val="20"/>
                <w:color w:val="auto"/>
              </w:rPr>
            </w:pPr>
            <w:r>
              <w:rPr>
                <w:rFonts w:ascii="Arial" w:cs="Arial" w:eastAsia="Arial" w:hAnsi="Arial"/>
                <w:sz w:val="14"/>
                <w:szCs w:val="14"/>
                <w:color w:val="auto"/>
              </w:rPr>
              <w:t>Capital purchases of leasehold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Arial" w:cs="Arial" w:eastAsia="Arial" w:hAnsi="Arial"/>
                <w:sz w:val="14"/>
                <w:szCs w:val="14"/>
                <w:color w:val="auto"/>
              </w:rPr>
              <w:t>improvements and equipment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(310,380)</w:t>
            </w:r>
          </w:p>
        </w:tc>
        <w:tc>
          <w:tcPr>
            <w:tcW w:w="100" w:type="dxa"/>
            <w:vAlign w:val="bottom"/>
          </w:tcPr>
          <w:p>
            <w:pPr>
              <w:spacing w:after="0"/>
              <w:rPr>
                <w:sz w:val="12"/>
                <w:szCs w:val="12"/>
                <w:color w:val="auto"/>
              </w:rPr>
            </w:pPr>
          </w:p>
        </w:tc>
        <w:tc>
          <w:tcPr>
            <w:tcW w:w="18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(564,760)</w:t>
            </w:r>
          </w:p>
        </w:tc>
        <w:tc>
          <w:tcPr>
            <w:tcW w:w="2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(374,729)</w:t>
            </w:r>
          </w:p>
        </w:tc>
        <w:tc>
          <w:tcPr>
            <w:tcW w:w="10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(167,422)</w:t>
            </w:r>
          </w:p>
        </w:tc>
        <w:tc>
          <w:tcPr>
            <w:tcW w:w="1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(382,472)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(310,380)</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(564,760)</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(374,729)</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(167,422)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(382,472)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Principal payments on long-term debt,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including capital leases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(10,519)</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(98,621)</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(84,674)</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(59,678)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(53,044)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Advances from (transfers to) Parent, net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6,098</w:t>
            </w:r>
          </w:p>
        </w:tc>
        <w:tc>
          <w:tcPr>
            <w:tcW w:w="100" w:type="dxa"/>
            <w:vAlign w:val="bottom"/>
          </w:tcPr>
          <w:p>
            <w:pPr>
              <w:spacing w:after="0"/>
              <w:rPr>
                <w:sz w:val="13"/>
                <w:szCs w:val="13"/>
                <w:color w:val="auto"/>
              </w:rPr>
            </w:pPr>
          </w:p>
        </w:tc>
        <w:tc>
          <w:tcPr>
            <w:tcW w:w="18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(1,439,715)</w:t>
            </w:r>
          </w:p>
        </w:tc>
        <w:tc>
          <w:tcPr>
            <w:tcW w:w="200" w:type="dxa"/>
            <w:vAlign w:val="bottom"/>
          </w:tcPr>
          <w:p>
            <w:pPr>
              <w:spacing w:after="0"/>
              <w:rPr>
                <w:sz w:val="13"/>
                <w:szCs w:val="13"/>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(435,589)</w:t>
            </w:r>
          </w:p>
        </w:tc>
        <w:tc>
          <w:tcPr>
            <w:tcW w:w="100" w:type="dxa"/>
            <w:vAlign w:val="bottom"/>
          </w:tcPr>
          <w:p>
            <w:pPr>
              <w:spacing w:after="0"/>
              <w:rPr>
                <w:sz w:val="13"/>
                <w:szCs w:val="13"/>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(910,700)</w:t>
            </w:r>
          </w:p>
        </w:tc>
        <w:tc>
          <w:tcPr>
            <w:tcW w:w="120" w:type="dxa"/>
            <w:vAlign w:val="bottom"/>
          </w:tcPr>
          <w:p>
            <w:pPr>
              <w:spacing w:after="0"/>
              <w:rPr>
                <w:sz w:val="13"/>
                <w:szCs w:val="13"/>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(916,336)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cash provided by (used in) financing</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activities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(4,421)</w:t>
            </w: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(1,538,336)</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(520,263)</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(970,378)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(969,380)</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00" w:type="dxa"/>
            <w:vAlign w:val="bottom"/>
            <w:gridSpan w:val="2"/>
          </w:tcPr>
          <w:p>
            <w:pPr>
              <w:spacing w:after="0" w:line="155" w:lineRule="exact"/>
              <w:rPr>
                <w:sz w:val="20"/>
                <w:szCs w:val="20"/>
                <w:color w:val="auto"/>
              </w:rPr>
            </w:pPr>
            <w:r>
              <w:rPr>
                <w:rFonts w:ascii="Arial" w:cs="Arial" w:eastAsia="Arial" w:hAnsi="Arial"/>
                <w:sz w:val="14"/>
                <w:szCs w:val="14"/>
                <w:color w:val="auto"/>
              </w:rPr>
              <w:t>Net (decrease) increase in cash</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68,591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(112,036)</w:t>
            </w:r>
          </w:p>
        </w:tc>
        <w:tc>
          <w:tcPr>
            <w:tcW w:w="200" w:type="dxa"/>
            <w:vAlign w:val="bottom"/>
          </w:tcPr>
          <w:p>
            <w:pPr>
              <w:spacing w:after="0"/>
              <w:rPr>
                <w:sz w:val="13"/>
                <w:szCs w:val="13"/>
                <w:color w:val="auto"/>
              </w:rPr>
            </w:pPr>
          </w:p>
        </w:tc>
        <w:tc>
          <w:tcPr>
            <w:tcW w:w="136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58,294</w:t>
            </w:r>
          </w:p>
        </w:tc>
        <w:tc>
          <w:tcPr>
            <w:tcW w:w="100" w:type="dxa"/>
            <w:vAlign w:val="bottom"/>
          </w:tcPr>
          <w:p>
            <w:pPr>
              <w:spacing w:after="0"/>
              <w:rPr>
                <w:sz w:val="13"/>
                <w:szCs w:val="13"/>
                <w:color w:val="auto"/>
              </w:rPr>
            </w:pPr>
          </w:p>
        </w:tc>
        <w:tc>
          <w:tcPr>
            <w:tcW w:w="15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(164,926)</w:t>
            </w:r>
          </w:p>
        </w:tc>
        <w:tc>
          <w:tcPr>
            <w:tcW w:w="120" w:type="dxa"/>
            <w:vAlign w:val="bottom"/>
          </w:tcPr>
          <w:p>
            <w:pPr>
              <w:spacing w:after="0"/>
              <w:rPr>
                <w:sz w:val="13"/>
                <w:szCs w:val="13"/>
                <w:color w:val="auto"/>
              </w:rPr>
            </w:pPr>
          </w:p>
        </w:tc>
        <w:tc>
          <w:tcPr>
            <w:tcW w:w="10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Cash and cash equivalents at beginning of</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period</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128,606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240,642</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182,348</w:t>
            </w: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197,197</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4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197,197</w:t>
            </w:r>
          </w:p>
        </w:tc>
        <w:tc>
          <w:tcPr>
            <w:tcW w:w="5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128,606</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240,642</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32,271</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236,694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Significant non-cash transaction:</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Payoff of mortgage loan by Parent</w:t>
            </w:r>
          </w:p>
        </w:tc>
        <w:tc>
          <w:tcPr>
            <w:tcW w:w="4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6,623,158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interest</w:t>
            </w:r>
          </w:p>
        </w:tc>
        <w:tc>
          <w:tcPr>
            <w:tcW w:w="44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560"/>
              <w:spacing w:after="0" w:line="143" w:lineRule="exact"/>
              <w:rPr>
                <w:sz w:val="20"/>
                <w:szCs w:val="20"/>
                <w:color w:val="auto"/>
              </w:rPr>
            </w:pPr>
            <w:r>
              <w:rPr>
                <w:rFonts w:ascii="Arial" w:cs="Arial" w:eastAsia="Arial" w:hAnsi="Arial"/>
                <w:sz w:val="14"/>
                <w:szCs w:val="14"/>
                <w:color w:val="auto"/>
              </w:rPr>
              <w:t>47,153</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580"/>
              <w:spacing w:after="0" w:line="143" w:lineRule="exact"/>
              <w:rPr>
                <w:sz w:val="20"/>
                <w:szCs w:val="20"/>
                <w:color w:val="auto"/>
              </w:rPr>
            </w:pPr>
            <w:r>
              <w:rPr>
                <w:rFonts w:ascii="Arial" w:cs="Arial" w:eastAsia="Arial" w:hAnsi="Arial"/>
                <w:sz w:val="14"/>
                <w:szCs w:val="14"/>
                <w:color w:val="auto"/>
              </w:rPr>
              <w:t>476,407</w:t>
            </w:r>
          </w:p>
        </w:tc>
        <w:tc>
          <w:tcPr>
            <w:tcW w:w="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560"/>
              <w:spacing w:after="0" w:line="143" w:lineRule="exact"/>
              <w:rPr>
                <w:sz w:val="20"/>
                <w:szCs w:val="20"/>
                <w:color w:val="auto"/>
              </w:rPr>
            </w:pPr>
            <w:r>
              <w:rPr>
                <w:rFonts w:ascii="Arial" w:cs="Arial" w:eastAsia="Arial" w:hAnsi="Arial"/>
                <w:sz w:val="14"/>
                <w:szCs w:val="14"/>
                <w:color w:val="auto"/>
              </w:rPr>
              <w:t>533,873</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560"/>
              <w:spacing w:after="0" w:line="143" w:lineRule="exact"/>
              <w:rPr>
                <w:sz w:val="20"/>
                <w:szCs w:val="20"/>
                <w:color w:val="auto"/>
              </w:rPr>
            </w:pPr>
            <w:r>
              <w:rPr>
                <w:rFonts w:ascii="Arial" w:cs="Arial" w:eastAsia="Arial" w:hAnsi="Arial"/>
                <w:sz w:val="14"/>
                <w:szCs w:val="14"/>
                <w:color w:val="auto"/>
              </w:rPr>
              <w:t>210,319</w:t>
            </w:r>
          </w:p>
        </w:tc>
        <w:tc>
          <w:tcPr>
            <w:tcW w:w="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244,840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75" w:name="page176"/>
    <w:bookmarkEnd w:id="175"/>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HHC DELAWARE, INC. AND SUBSIDIARY</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36" w:lineRule="exact"/>
        <w:rPr>
          <w:sz w:val="20"/>
          <w:szCs w:val="20"/>
          <w:color w:val="auto"/>
        </w:rPr>
      </w:pPr>
    </w:p>
    <w:p>
      <w:pPr>
        <w:ind w:right="7500" w:firstLine="8"/>
        <w:spacing w:after="0" w:line="294" w:lineRule="auto"/>
        <w:tabs>
          <w:tab w:leader="none" w:pos="195"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rFonts w:ascii="Arial" w:cs="Arial" w:eastAsia="Arial" w:hAnsi="Arial"/>
          <w:sz w:val="18"/>
          <w:szCs w:val="18"/>
          <w:b w:val="1"/>
          <w:bCs w:val="1"/>
          <w:color w:val="auto"/>
        </w:rPr>
      </w:pPr>
    </w:p>
    <w:p>
      <w:pPr>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HHC Delaware, Inc. (“MeadowWood”) is a wholly owned subsidiary of Universal Health Services, Inc. (“UHS”) and operates a behavioral health care facility known as MeadowWood Behavioral Health System located at 575 South DuPont Highway, New Castle, Delaware. HHC Delaware, Inc. is the sole member of Delaware Investment Associates, LLC (“MeadowWood Real Estate”), which owns the real estate located at 575 South DuPont Highway, New Castle, Delaware. Collectively, MeadowWood and MeadowWood Real Estate are hereinafter referred to as the Company. On November 15, 2010, UHS completed the acquisition of Psychiatric Solutions, Inc. (“PSI”), the previous owner of the Company. References herein to the Parent refer to PSI for periods prior to the acquisition by UHS and refer to UHS for all post-acquisition periods.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4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The preparation of financial statements in conformity with GAAP requires management to make estimates and assumptions that affect the amounts reported in the consolidated financial statements and accompanying notes. Actual results could differ from those estimates. All significant intercompany balances and transactions have been eliminated in the consolidation of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Service Revenue</w:t>
      </w:r>
    </w:p>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Patient service revenue is recorded on the accrual basis in the period in which services are provided, at established billing rates less contractual adjustments. Contractual adjustments are recorded to state patient service revenue at the amount expected to be collected for the services provided based on amounts reimbursable by Medicare or Medicaid under provisions of cost or prospective reimbursement formulas or amounts due from other third-party payors at contractually determined rates. Approximately 30%, 27% and 19% of revenue for the period November 16, 2010 through December 31, 2010, and the predecessor periods of January 1, 2010 through November 15, 2010 and the year ended December 31, 2009, respectively, was obtained from providing services to patients participating in the Medicaid program. Approximately 41%, 40% and 44% of revenue for the period November 16, 2010 through December 31, 2010, and the predecessor periods of January 1, 2010 through November 15, 2010 and the year ended December 31, 2009, respectively, was obtained from providing services to patients participating in the Medicare program.</w:t>
      </w:r>
    </w:p>
    <w:p>
      <w:pPr>
        <w:spacing w:after="0" w:line="9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Settlements under cost reimbursement agreements with third-party payors are estimated and recorded in the period in which the related services are rendered and are adjusted in future periods as final settlements are determined. Final determination of amounts earned under the Medicare and Medicaid programs often occur in subsequent years because of audits by such programs, rights of appeal and the application of numerous technical provisions.</w:t>
      </w:r>
    </w:p>
    <w:p>
      <w:pPr>
        <w:spacing w:after="0" w:line="1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Company provides care without charge to patients who are financially unable to pay for the health care services they receive. Because the Company does not pursue collection of amounts determined to qualify as charity care, these amounts are not reported as revenue. Charity care totaled $55,415, $194,121, and $177,570 for the period ended November 16, 2010 through December 31, 2010 and the predecessor periods January 1, 2010 through November 15, 2010 and the year ended December 31, 2009,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Parent established, for the Company, zero balancing depository, payables and payroll bank accounts which are swept or funded by the Parent. The Hospital’s consolidated financial statement balance for these bank accounts generally represents deposits not yet swept to the Parent. See Note 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9" w:right="25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HHC DELAWARE, INC. AND SUBSIDIARY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Accounts receivable is comprised of patient service revenue and is recorded net of allowances for contractual discounts and estimated doubtful accounts. Such amounts are owed by various governmental agencies, insurance companies and private patients. Medicare comprised approximately 20% and 19% of accounts receivable at December 31, 2010 and 2009 (Predecessor), respectively. Medicaid comprised approximately 19% and 18% of accounts receivable at December 31, 2010 and 2009 (Predecessor), respectively. Concentration of credit risk from other payors is reduced by the large number of patients and payors.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ability to collect outstanding patient receivables from third party payors is critical to operating performance and cash flows. The primary collection risk with regard to patient receivables relates to uninsured patient accounts or patient accounts for which primary insurance has paid, but the portion owed by the patient remains outstanding. The Company estimates the allowance for doubtful accounts primarily based upon the age of the accounts since the patient discharge date. The Company continually monitors our accounts receivable balances and utilizes cash collection data to support our estimates of the provision for doubtful accounts. Significant changes in payor mix or business office operations could have a significant impact on our results of operations and cash flows.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Contractual Discounts</w:t>
      </w:r>
    </w:p>
    <w:p>
      <w:pPr>
        <w:spacing w:after="0" w:line="4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Medicare and Medicaid regulations are complex and various managed care contracts may include multiple reimbursement mechanisms for different types of services provided and cost settlement provisions requiring complex calculations and assumptions subject to interpretation. The Company estimates the allowance for contractual discounts on a payor-specific basis given our interpretation of the applicable regulations or contract terms. The services authorized and provided and related reimbursement are often subject to interpretation that could result in payments that differ from the Company’s estimates. Additionally, updated regulations and contract renegotiations occur frequently necessitating continual review and assessment of the estimation process by the Company’s management.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is included in the consolidated return of UHS and, through an agreement with the Parent, account for their share of the consolidated tax obligations using an “as if separate return” methodology. In that regard, the Company accounts for income taxes under the asset and liability method in accordance with FASB authoritative guidance regarding accounting for income taxes and its related uncertainty. This approach requires the recognition of deferred tax assets and liabilities for the expected future tax consequences of temporary differences between the carrying amounts and the tax bases of assets and liabilities. Deferred tax assets and liabilities are measured using enacted tax rates expected to apply when the temporary differences are expected to reverse. The Company assesses the likelihood that deferred tax assets will be recovered from future taxable income to determine whether a valuation allowance should be established.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4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Property and equipment are stated at cost and depreciated using the straight-line method over the useful lives of the assets, which range from 25 to 40 years for buildings and improvements and 2 to 7 years for equipment. Leasehold improvements are amortized on a straight-line basis over the shorter of the lease term or estimated useful lives of the assets. Depreciation expense was $39,849, $268,232 and $292,689 for the period November 16, 2010 through December 31, 2010, the predecessor periods January 1, 2010 through November 15, 2010 and the year ended December 31, 2009, respectively. Depreciation expense includes the amortization of assets recorded under capital leases.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Other assets represent cash placed in escrow for the payment of property taxes as such amounts become due.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 Excess of Net Assets Acquired (Goodwill)</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 xml:space="preserve">The Company accounts for goodwill in accordance with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ASC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reviewed at least annually for</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69" w:right="27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HHC DELAWARE, INC. AND SUBSIDIARY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impairment. Potential impairment exists if the Company’s carrying value exceeds its fair value. If the Company identifies a potential impairment of goodwill, the implied fair value of goodwill is determined. If the carrying value of goodwill exceeds its implied fair value, an impairment loss is recorded. The Company noted no goodwill impairment for any periods presented in the accompanying consolidated financial statements.</w:t>
      </w:r>
    </w:p>
    <w:p>
      <w:pPr>
        <w:spacing w:after="0" w:line="83"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During 2010, goodwill increased by approximately $7.4 million as a result of the acquisition of PSI (including the Company) by UHS effective November 15, 2010.</w:t>
      </w:r>
    </w:p>
    <w:p>
      <w:pPr>
        <w:spacing w:after="0" w:line="133" w:lineRule="exact"/>
        <w:rPr>
          <w:sz w:val="20"/>
          <w:szCs w:val="20"/>
          <w:color w:val="auto"/>
        </w:rPr>
      </w:pPr>
    </w:p>
    <w:p>
      <w:pPr>
        <w:jc w:val="center"/>
        <w:ind w:right="9840" w:firstLine="8"/>
        <w:spacing w:after="0" w:line="331" w:lineRule="auto"/>
        <w:tabs>
          <w:tab w:leader="none" w:pos="195"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Due to Parent </w:t>
      </w:r>
      <w:r>
        <w:rPr>
          <w:rFonts w:ascii="Arial" w:cs="Arial" w:eastAsia="Arial" w:hAnsi="Arial"/>
          <w:sz w:val="16"/>
          <w:szCs w:val="16"/>
          <w:b w:val="1"/>
          <w:bCs w:val="1"/>
          <w:i w:val="1"/>
          <w:iCs w:val="1"/>
          <w:color w:val="auto"/>
        </w:rPr>
        <w:t>Cash Management</w:t>
      </w:r>
    </w:p>
    <w:p>
      <w:pPr>
        <w:ind w:right="80"/>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Due to Parent balances represent the initial capitalization of the Company as well as the excess of funds transferred to or paid on behalf of the Company over funds transferred to the centralized cash management account of the Parent. Generally, this balance is increased by automatic transfers from the account to reimburse the Company’s bank accounts for operating expenses and to pay the Company’s debt, completed construction project additions, fees and services provided by the Parent, including information systems services and other operating expenses such as payroll, insurance, and income taxes. Generally, this balance is decreased through daily cash deposits by the Company to the centralized cash management account of the Parent. The following paragraphs more fully describe the methodology of allocating costs to the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Parent allocates its corporate office expenses (excluding interest, depreciation, taxes, and amortization) to its owned and leased facilities (including the Company) as management fees. These management fees are allocated based upon the proportion of an individual facility’s total expenses to the total expenses of all owned and leased facilities in the aggregate. Management fees allocated to the Company for the period from November 16, 2010 to December 31, 2010, the predecessor periods from January 1, 2010 to November 15, 2010, and for the year ended December 31, 2009, were $47,556, $382,427, and $464,429, respectively. Although management considers the allocation method to be reasonable, due to the relationship between the Company and its Parent, the terms of the allocation may not necessarily be indicative of that which would have resulted had the Company been an unrelated entity.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Costs</w:t>
      </w:r>
    </w:p>
    <w:p>
      <w:pPr>
        <w:spacing w:after="0" w:line="4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Costs of information technology related to certain standard Parent sponsored information technology platforms are included in the management fee allocation.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Professional Liability Risks</w:t>
      </w:r>
    </w:p>
    <w:p>
      <w:pPr>
        <w:spacing w:after="0" w:line="4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costs of general and professional liability coverage are allocated by the Parent’s wholly-owned captive insurance subsidiary to the Company based on a percentage of revenue adjusted by a factor which considers the type of entity as well as historical loss experience. The general and professional liability expense allocated to the Company was $20,380, $136,587, and $146,614 for the period November 16, 2010 through December 31, 2010, and the predecessor periods January 1, 2010 through November 15, 2010 and the year ended December 31, 2009,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Risks</w:t>
      </w:r>
    </w:p>
    <w:p>
      <w:pPr>
        <w:spacing w:after="0" w:line="4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Parent, on behalf of its affiliates, carries workers’ compensation insurance from an unrelated commercial insurance carrier. The Parent’s workers’ compensation program is fully insured with a $500,000 deductible per accident. The cost of this program is allocated to all covered affiliates based on a percentage of anticipated payroll costs as adjusted for the state in which the affiliate is located. Such costs allocated to the Company totaled $15,378, $108,308 and $105,557 for the period November 16, 2010 through December 31, 2010, and the predecessor periods January 1, 2010 through November 15, 2010 and the year ended December 31, 2009,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HHC DELAWARE, INC. AND SUBSIDIARY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7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Company is subject to various claims and legal actions which arise in the ordinary course of business. The Parent assumes the responsibility for all general and professional liability claims incurred and maintains the related liabilities; accordingly, no liability for general and professional claims is recorded on the accompanying consolidated balance sheet. The Company believes that the ultimate resolution of such matters will be adequately covered by insurance and will not have a material adverse effect on their financial position or results of operations.</w:t>
      </w:r>
    </w:p>
    <w:p>
      <w:pPr>
        <w:spacing w:after="0" w:line="89" w:lineRule="exact"/>
        <w:rPr>
          <w:sz w:val="20"/>
          <w:szCs w:val="20"/>
          <w:color w:val="auto"/>
        </w:rPr>
      </w:pPr>
    </w:p>
    <w:p>
      <w:pPr>
        <w:ind w:right="1320"/>
        <w:spacing w:after="0" w:line="281" w:lineRule="auto"/>
        <w:rPr>
          <w:sz w:val="20"/>
          <w:szCs w:val="20"/>
          <w:color w:val="auto"/>
        </w:rPr>
      </w:pPr>
      <w:r>
        <w:rPr>
          <w:rFonts w:ascii="Arial" w:cs="Arial" w:eastAsia="Arial" w:hAnsi="Arial"/>
          <w:sz w:val="18"/>
          <w:szCs w:val="18"/>
          <w:color w:val="auto"/>
        </w:rPr>
        <w:t xml:space="preserve">The Parent’s interest in the Company has been pledged as collateral for the Parent’s borrowings under various credit agreements. </w:t>
      </w:r>
      <w:r>
        <w:rPr>
          <w:rFonts w:ascii="Arial" w:cs="Arial" w:eastAsia="Arial" w:hAnsi="Arial"/>
          <w:sz w:val="18"/>
          <w:szCs w:val="18"/>
          <w:b w:val="1"/>
          <w:bCs w:val="1"/>
          <w:i w:val="1"/>
          <w:iCs w:val="1"/>
          <w:color w:val="auto"/>
        </w:rPr>
        <w:t>Current Operations</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Final determination of amounts earned under prospective payment and cost-reimbursement arrangements is subject to review by appropriate governmental authorities or their agents. The Company believes adequate provision has been made for any adjustments that may result from such reviews.</w:t>
      </w:r>
    </w:p>
    <w:p>
      <w:pPr>
        <w:spacing w:after="0" w:line="1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Laws and regulations governing the Medicare and Medicaid programs are complex and subject to interpretation. The Company believes that it is in substantial compliance with all applicable laws and regulations and is not aware of any material pending or threatened investigations involving allegations of potential wrongdoing. While no material regulatory inquiries have been made, compliance with such laws and regulations can be subject to future government review and interpretation as well as significant regulatory action including fines, penalties, and exclusion from the Medicare and Medicaid programs.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40" w:type="dxa"/>
            <w:vAlign w:val="bottom"/>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PREDECESSOR</w:t>
            </w:r>
          </w:p>
        </w:tc>
        <w:tc>
          <w:tcPr>
            <w:tcW w:w="540" w:type="dxa"/>
            <w:vAlign w:val="bottom"/>
          </w:tcPr>
          <w:p>
            <w:pPr>
              <w:spacing w:after="0"/>
              <w:rPr>
                <w:sz w:val="14"/>
                <w:szCs w:val="14"/>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25"/>
        </w:trPr>
        <w:tc>
          <w:tcPr>
            <w:tcW w:w="74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5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 loan on facility, maturing in 2036 bearing a fixed interest rate of 6.99%</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6,662,010</w:t>
            </w:r>
          </w:p>
        </w:tc>
        <w:tc>
          <w:tcPr>
            <w:tcW w:w="7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6,750,776</w:t>
            </w:r>
          </w:p>
        </w:tc>
        <w:tc>
          <w:tcPr>
            <w:tcW w:w="6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126,271</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70,521</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105,446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6,788,281</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6,821,297</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105,446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line="202" w:lineRule="exact"/>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140,153</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114,614</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6,648,128</w:t>
            </w:r>
          </w:p>
        </w:tc>
        <w:tc>
          <w:tcPr>
            <w:tcW w:w="7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6,706,683</w:t>
            </w:r>
          </w:p>
        </w:tc>
        <w:tc>
          <w:tcPr>
            <w:tcW w:w="6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53,283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4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At December 31, 2010, the Company had $6,662,010 debt outstanding under a mortgage loan agreement insured by the U.S. Department of Housing and Urban Development (“HUD”). The mortgage loan insured by HUD was secured by real estate located at 575 South DuPont Highway, New Castle, Delaware. Interest accrues on the HUD loan at 6.99% and principal and interest were payable in 420 monthly installments through October 2036. The carrying amount of assets held as collateral approximated $6,101,753 at December 31, 2010.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3"/>
        </w:trPr>
        <w:tc>
          <w:tcPr>
            <w:tcW w:w="9900" w:type="dxa"/>
            <w:vAlign w:val="bottom"/>
          </w:tcPr>
          <w:p>
            <w:pPr>
              <w:ind w:left="4000"/>
              <w:spacing w:after="0"/>
              <w:rPr>
                <w:sz w:val="20"/>
                <w:szCs w:val="20"/>
                <w:color w:val="auto"/>
              </w:rPr>
            </w:pPr>
            <w:r>
              <w:rPr>
                <w:rFonts w:ascii="Arial" w:cs="Arial" w:eastAsia="Arial" w:hAnsi="Arial"/>
                <w:sz w:val="18"/>
                <w:szCs w:val="18"/>
                <w:b w:val="1"/>
                <w:bCs w:val="1"/>
                <w:color w:val="auto"/>
              </w:rPr>
              <w:t>HHC DELAWARE, INC. AND SUBSIDIARY</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4"/>
        </w:trPr>
        <w:tc>
          <w:tcPr>
            <w:tcW w:w="9900" w:type="dxa"/>
            <w:vAlign w:val="bottom"/>
          </w:tcPr>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1"/>
        </w:trPr>
        <w:tc>
          <w:tcPr>
            <w:tcW w:w="9900" w:type="dxa"/>
            <w:vAlign w:val="bottom"/>
          </w:tcPr>
          <w:p>
            <w:pPr>
              <w:spacing w:after="0"/>
              <w:rPr>
                <w:sz w:val="20"/>
                <w:szCs w:val="20"/>
                <w:color w:val="auto"/>
              </w:rPr>
            </w:pPr>
            <w:r>
              <w:rPr>
                <w:rFonts w:ascii="Arial" w:cs="Arial" w:eastAsia="Arial" w:hAnsi="Arial"/>
                <w:sz w:val="18"/>
                <w:szCs w:val="18"/>
                <w:color w:val="auto"/>
              </w:rPr>
              <w:t>The HUD mortgage loan was repaid by UHS in June 2011.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7"/>
        </w:trPr>
        <w:tc>
          <w:tcPr>
            <w:tcW w:w="9900" w:type="dxa"/>
            <w:vAlign w:val="bottom"/>
          </w:tcPr>
          <w:p>
            <w:pPr>
              <w:spacing w:after="0"/>
              <w:rPr>
                <w:sz w:val="20"/>
                <w:szCs w:val="20"/>
                <w:color w:val="auto"/>
              </w:rPr>
            </w:pPr>
            <w:r>
              <w:rPr>
                <w:rFonts w:ascii="Arial" w:cs="Arial" w:eastAsia="Arial" w:hAnsi="Arial"/>
                <w:sz w:val="18"/>
                <w:szCs w:val="18"/>
                <w:b w:val="1"/>
                <w:bCs w:val="1"/>
                <w:i w:val="1"/>
                <w:iCs w:val="1"/>
                <w:color w:val="auto"/>
              </w:rPr>
              <w:t>Other</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The aggregate maturities of long-term debt, including capital lease obligations, were as follows as of December 31, 2010: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24"/>
        </w:trPr>
        <w:tc>
          <w:tcPr>
            <w:tcW w:w="9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r>
        <w:trPr>
          <w:trHeight w:val="156"/>
        </w:trPr>
        <w:tc>
          <w:tcPr>
            <w:tcW w:w="9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140,153</w:t>
            </w:r>
          </w:p>
        </w:tc>
        <w:tc>
          <w:tcPr>
            <w:tcW w:w="120" w:type="dxa"/>
            <w:vAlign w:val="bottom"/>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144,624</w:t>
            </w:r>
          </w:p>
        </w:tc>
        <w:tc>
          <w:tcPr>
            <w:tcW w:w="120" w:type="dxa"/>
            <w:vAlign w:val="bottom"/>
          </w:tcPr>
          <w:p>
            <w:pPr>
              <w:spacing w:after="0"/>
              <w:rPr>
                <w:sz w:val="17"/>
                <w:szCs w:val="17"/>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145,021</w:t>
            </w:r>
          </w:p>
        </w:tc>
        <w:tc>
          <w:tcPr>
            <w:tcW w:w="120" w:type="dxa"/>
            <w:vAlign w:val="bottom"/>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120,407</w:t>
            </w:r>
          </w:p>
        </w:tc>
        <w:tc>
          <w:tcPr>
            <w:tcW w:w="120" w:type="dxa"/>
            <w:vAlign w:val="bottom"/>
          </w:tcPr>
          <w:p>
            <w:pPr>
              <w:spacing w:after="0"/>
              <w:rPr>
                <w:sz w:val="17"/>
                <w:szCs w:val="17"/>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125,774</w:t>
            </w:r>
          </w:p>
        </w:tc>
        <w:tc>
          <w:tcPr>
            <w:tcW w:w="120" w:type="dxa"/>
            <w:vAlign w:val="bottom"/>
            <w:shd w:val="clear" w:color="auto" w:fill="CCEEFF"/>
          </w:tcPr>
          <w:p>
            <w:pPr>
              <w:spacing w:after="0"/>
              <w:rPr>
                <w:sz w:val="17"/>
                <w:szCs w:val="17"/>
                <w:color w:val="auto"/>
              </w:rPr>
            </w:pPr>
          </w:p>
        </w:tc>
      </w:tr>
      <w:tr>
        <w:trPr>
          <w:trHeight w:val="210"/>
        </w:trPr>
        <w:tc>
          <w:tcPr>
            <w:tcW w:w="99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6,112,302</w:t>
            </w:r>
          </w:p>
        </w:tc>
        <w:tc>
          <w:tcPr>
            <w:tcW w:w="120" w:type="dxa"/>
            <w:vAlign w:val="bottom"/>
          </w:tcPr>
          <w:p>
            <w:pPr>
              <w:spacing w:after="0"/>
              <w:rPr>
                <w:sz w:val="18"/>
                <w:szCs w:val="18"/>
                <w:color w:val="auto"/>
              </w:rPr>
            </w:pPr>
          </w:p>
        </w:tc>
      </w:tr>
      <w:tr>
        <w:trPr>
          <w:trHeight w:val="203"/>
        </w:trPr>
        <w:tc>
          <w:tcPr>
            <w:tcW w:w="9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6,788,281</w:t>
            </w:r>
          </w:p>
        </w:tc>
        <w:tc>
          <w:tcPr>
            <w:tcW w:w="120" w:type="dxa"/>
            <w:vAlign w:val="bottom"/>
            <w:shd w:val="clear" w:color="auto" w:fill="CCEEFF"/>
          </w:tcPr>
          <w:p>
            <w:pPr>
              <w:spacing w:after="0"/>
              <w:rPr>
                <w:sz w:val="17"/>
                <w:szCs w:val="17"/>
                <w:color w:val="auto"/>
              </w:rPr>
            </w:pPr>
          </w:p>
        </w:tc>
      </w:tr>
      <w:tr>
        <w:trPr>
          <w:trHeight w:val="20"/>
        </w:trPr>
        <w:tc>
          <w:tcPr>
            <w:tcW w:w="9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Operating Leases</w:t>
      </w:r>
    </w:p>
    <w:p>
      <w:pPr>
        <w:spacing w:after="0" w:line="45"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Company has assumed or executed various non-cancelable operating leases. At December 31, 2010, future minimum lease payments under operating leases having an initial or remaining non-cancelable lease term in excess of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72,305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0"/>
        </w:trPr>
        <w:tc>
          <w:tcPr>
            <w:tcW w:w="2640" w:type="dxa"/>
            <w:vAlign w:val="bottom"/>
          </w:tcPr>
          <w:p>
            <w:pPr>
              <w:spacing w:after="0"/>
              <w:rPr>
                <w:sz w:val="20"/>
                <w:szCs w:val="20"/>
                <w:color w:val="auto"/>
              </w:rPr>
            </w:pPr>
            <w:r>
              <w:rPr>
                <w:rFonts w:ascii="Arial" w:cs="Arial" w:eastAsia="Arial" w:hAnsi="Arial"/>
                <w:sz w:val="18"/>
                <w:szCs w:val="18"/>
                <w:b w:val="1"/>
                <w:bCs w:val="1"/>
                <w:color w:val="auto"/>
              </w:rPr>
              <w:t>6. Income Taxes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680" w:type="dxa"/>
            <w:vAlign w:val="bottom"/>
            <w:gridSpan w:val="10"/>
          </w:tcPr>
          <w:p>
            <w:pPr>
              <w:spacing w:after="0"/>
              <w:rPr>
                <w:sz w:val="20"/>
                <w:szCs w:val="20"/>
                <w:color w:val="auto"/>
              </w:rPr>
            </w:pPr>
            <w:r>
              <w:rPr>
                <w:rFonts w:ascii="Arial" w:cs="Arial" w:eastAsia="Arial" w:hAnsi="Arial"/>
                <w:sz w:val="18"/>
                <w:szCs w:val="18"/>
                <w:color w:val="auto"/>
              </w:rPr>
              <w:t>The provision for income taxes attributable to income from operations consists of the following:</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640" w:type="dxa"/>
            <w:vAlign w:val="bottom"/>
          </w:tcPr>
          <w:p>
            <w:pPr>
              <w:spacing w:after="0"/>
              <w:rPr>
                <w:sz w:val="24"/>
                <w:szCs w:val="24"/>
                <w:color w:val="auto"/>
              </w:rPr>
            </w:pPr>
          </w:p>
        </w:tc>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NOVEMBER 16, 2010</w:t>
            </w:r>
          </w:p>
        </w:tc>
        <w:tc>
          <w:tcPr>
            <w:tcW w:w="100" w:type="dxa"/>
            <w:vAlign w:val="bottom"/>
          </w:tcPr>
          <w:p>
            <w:pPr>
              <w:spacing w:after="0"/>
              <w:rPr>
                <w:sz w:val="24"/>
                <w:szCs w:val="24"/>
                <w:color w:val="auto"/>
              </w:rPr>
            </w:pPr>
          </w:p>
        </w:tc>
        <w:tc>
          <w:tcPr>
            <w:tcW w:w="2120" w:type="dxa"/>
            <w:vAlign w:val="bottom"/>
            <w:gridSpan w:val="3"/>
          </w:tcPr>
          <w:p>
            <w:pPr>
              <w:ind w:left="1060"/>
              <w:spacing w:after="0"/>
              <w:rPr>
                <w:sz w:val="20"/>
                <w:szCs w:val="20"/>
                <w:color w:val="auto"/>
              </w:rPr>
            </w:pPr>
            <w:r>
              <w:rPr>
                <w:rFonts w:ascii="Arial" w:cs="Arial" w:eastAsia="Arial" w:hAnsi="Arial"/>
                <w:sz w:val="14"/>
                <w:szCs w:val="14"/>
                <w:b w:val="1"/>
                <w:bCs w:val="1"/>
                <w:color w:val="auto"/>
                <w:w w:val="96"/>
              </w:rPr>
              <w:t>PREDECESSOR</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w:t>
            </w:r>
          </w:p>
        </w:tc>
        <w:tc>
          <w:tcPr>
            <w:tcW w:w="300" w:type="dxa"/>
            <w:vAlign w:val="bottom"/>
          </w:tcPr>
          <w:p>
            <w:pPr>
              <w:spacing w:after="0"/>
              <w:rPr>
                <w:sz w:val="24"/>
                <w:szCs w:val="2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PREDECESSOR</w:t>
            </w: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2"/>
          </w:tcPr>
          <w:p>
            <w:pPr>
              <w:jc w:val="center"/>
              <w:ind w:right="780"/>
              <w:spacing w:after="0" w:line="125" w:lineRule="exact"/>
              <w:rPr>
                <w:sz w:val="20"/>
                <w:szCs w:val="20"/>
                <w:color w:val="auto"/>
              </w:rPr>
            </w:pPr>
            <w:r>
              <w:rPr>
                <w:rFonts w:ascii="Arial" w:cs="Arial" w:eastAsia="Arial" w:hAnsi="Arial"/>
                <w:sz w:val="14"/>
                <w:szCs w:val="14"/>
                <w:b w:val="1"/>
                <w:bCs w:val="1"/>
                <w:color w:val="auto"/>
                <w:w w:val="96"/>
              </w:rPr>
              <w:t>JANUARY 1, 2010</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12"/>
              <w:spacing w:after="0" w:line="125" w:lineRule="exact"/>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THROUGH</w:t>
            </w:r>
          </w:p>
        </w:tc>
        <w:tc>
          <w:tcPr>
            <w:tcW w:w="100" w:type="dxa"/>
            <w:vAlign w:val="bottom"/>
          </w:tcPr>
          <w:p>
            <w:pPr>
              <w:spacing w:after="0"/>
              <w:rPr>
                <w:sz w:val="12"/>
                <w:szCs w:val="12"/>
                <w:color w:val="auto"/>
              </w:rPr>
            </w:pPr>
          </w:p>
        </w:tc>
        <w:tc>
          <w:tcPr>
            <w:tcW w:w="19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THROUGH</w:t>
            </w:r>
          </w:p>
        </w:tc>
        <w:tc>
          <w:tcPr>
            <w:tcW w:w="200" w:type="dxa"/>
            <w:vAlign w:val="bottom"/>
          </w:tcPr>
          <w:p>
            <w:pPr>
              <w:spacing w:after="0"/>
              <w:rPr>
                <w:sz w:val="12"/>
                <w:szCs w:val="12"/>
                <w:color w:val="auto"/>
              </w:rPr>
            </w:pPr>
          </w:p>
        </w:tc>
        <w:tc>
          <w:tcPr>
            <w:tcW w:w="18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140" w:type="dxa"/>
            <w:vAlign w:val="bottom"/>
            <w:gridSpan w:val="2"/>
          </w:tcPr>
          <w:p>
            <w:pPr>
              <w:jc w:val="right"/>
              <w:ind w:right="532"/>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NOVEMBER 15, 2010</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30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JUNE 30, 2010</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2" w:lineRule="exact"/>
              <w:rPr>
                <w:sz w:val="20"/>
                <w:szCs w:val="20"/>
                <w:color w:val="auto"/>
              </w:rPr>
            </w:pPr>
            <w:r>
              <w:rPr>
                <w:rFonts w:ascii="Arial" w:cs="Arial" w:eastAsia="Arial" w:hAnsi="Arial"/>
                <w:sz w:val="18"/>
                <w:szCs w:val="18"/>
                <w:color w:val="auto"/>
              </w:rPr>
              <w:t>Federal</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115,116</w:t>
            </w:r>
          </w:p>
        </w:tc>
        <w:tc>
          <w:tcPr>
            <w:tcW w:w="6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33,502</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45,357</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225,940</w:t>
            </w:r>
          </w:p>
        </w:tc>
        <w:tc>
          <w:tcPr>
            <w:tcW w:w="36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87,967</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115,116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33,502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45,357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225,940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87,967</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2" w:lineRule="exact"/>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7"/>
                <w:szCs w:val="17"/>
                <w:color w:val="auto"/>
              </w:rPr>
            </w:pPr>
          </w:p>
        </w:tc>
        <w:tc>
          <w:tcPr>
            <w:tcW w:w="17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(128,119)</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322,359</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317,827</w:t>
            </w:r>
          </w:p>
        </w:tc>
        <w:tc>
          <w:tcPr>
            <w:tcW w:w="160" w:type="dxa"/>
            <w:vAlign w:val="bottom"/>
          </w:tcPr>
          <w:p>
            <w:pPr>
              <w:spacing w:after="0"/>
              <w:rPr>
                <w:sz w:val="17"/>
                <w:szCs w:val="17"/>
                <w:color w:val="auto"/>
              </w:rPr>
            </w:pPr>
          </w:p>
        </w:tc>
        <w:tc>
          <w:tcPr>
            <w:tcW w:w="1140" w:type="dxa"/>
            <w:vAlign w:val="bottom"/>
            <w:gridSpan w:val="2"/>
          </w:tcPr>
          <w:p>
            <w:pPr>
              <w:jc w:val="right"/>
              <w:ind w:right="252"/>
              <w:spacing w:after="0" w:line="202" w:lineRule="exact"/>
              <w:rPr>
                <w:sz w:val="20"/>
                <w:szCs w:val="20"/>
                <w:color w:val="auto"/>
              </w:rPr>
            </w:pPr>
            <w:r>
              <w:rPr>
                <w:rFonts w:ascii="Arial" w:cs="Arial" w:eastAsia="Arial" w:hAnsi="Arial"/>
                <w:sz w:val="18"/>
                <w:szCs w:val="18"/>
                <w:color w:val="auto"/>
              </w:rPr>
              <w:t>(74,526)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132,688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96,886</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98,874</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41,225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60,075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(131,664)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419,245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416,701</w:t>
            </w:r>
          </w:p>
        </w:tc>
        <w:tc>
          <w:tcPr>
            <w:tcW w:w="160" w:type="dxa"/>
            <w:vAlign w:val="bottom"/>
          </w:tcPr>
          <w:p>
            <w:pPr>
              <w:spacing w:after="0"/>
              <w:rPr>
                <w:sz w:val="18"/>
                <w:szCs w:val="18"/>
                <w:color w:val="auto"/>
              </w:rPr>
            </w:pPr>
          </w:p>
        </w:tc>
        <w:tc>
          <w:tcPr>
            <w:tcW w:w="1140" w:type="dxa"/>
            <w:vAlign w:val="bottom"/>
            <w:gridSpan w:val="2"/>
          </w:tcPr>
          <w:p>
            <w:pPr>
              <w:jc w:val="right"/>
              <w:ind w:right="252"/>
              <w:spacing w:after="0"/>
              <w:rPr>
                <w:sz w:val="20"/>
                <w:szCs w:val="20"/>
                <w:color w:val="auto"/>
              </w:rPr>
            </w:pPr>
            <w:r>
              <w:rPr>
                <w:rFonts w:ascii="Arial" w:cs="Arial" w:eastAsia="Arial" w:hAnsi="Arial"/>
                <w:sz w:val="18"/>
                <w:szCs w:val="18"/>
                <w:color w:val="auto"/>
              </w:rPr>
              <w:t>(33,301)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Provision (benefit) for</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4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line="200" w:lineRule="exact"/>
              <w:rPr>
                <w:sz w:val="20"/>
                <w:szCs w:val="20"/>
                <w:color w:val="auto"/>
              </w:rPr>
            </w:pPr>
            <w:r>
              <w:rPr>
                <w:rFonts w:ascii="Arial" w:cs="Arial" w:eastAsia="Arial" w:hAnsi="Arial"/>
                <w:sz w:val="18"/>
                <w:szCs w:val="18"/>
                <w:color w:val="auto"/>
              </w:rPr>
              <w:t>(16,548)</w:t>
            </w:r>
          </w:p>
        </w:tc>
        <w:tc>
          <w:tcPr>
            <w:tcW w:w="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452,747</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80"/>
              <w:spacing w:after="0" w:line="200" w:lineRule="exact"/>
              <w:rPr>
                <w:sz w:val="20"/>
                <w:szCs w:val="20"/>
                <w:color w:val="auto"/>
              </w:rPr>
            </w:pPr>
            <w:r>
              <w:rPr>
                <w:rFonts w:ascii="Arial" w:cs="Arial" w:eastAsia="Arial" w:hAnsi="Arial"/>
                <w:sz w:val="18"/>
                <w:szCs w:val="18"/>
                <w:color w:val="auto"/>
              </w:rPr>
              <w:t>462,058</w:t>
            </w:r>
          </w:p>
        </w:tc>
        <w:tc>
          <w:tcPr>
            <w:tcW w:w="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192,639</w:t>
            </w: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280,730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3"/>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58"/>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HHC DELAWARE, INC. AND SUBSIDIARY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reconciliation of income tax computed by applying the U.S. federal statutory rate to the actual income tax expense attributable to income from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40" w:type="dxa"/>
            <w:vAlign w:val="bottom"/>
          </w:tcPr>
          <w:p>
            <w:pPr>
              <w:spacing w:after="0"/>
              <w:rPr>
                <w:sz w:val="14"/>
                <w:szCs w:val="14"/>
                <w:color w:val="auto"/>
              </w:rPr>
            </w:pPr>
          </w:p>
        </w:tc>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NOVEMBER 16, 2010</w:t>
            </w:r>
          </w:p>
        </w:tc>
        <w:tc>
          <w:tcPr>
            <w:tcW w:w="120" w:type="dxa"/>
            <w:vAlign w:val="bottom"/>
          </w:tcPr>
          <w:p>
            <w:pPr>
              <w:spacing w:after="0"/>
              <w:rPr>
                <w:sz w:val="14"/>
                <w:szCs w:val="14"/>
                <w:color w:val="auto"/>
              </w:rPr>
            </w:pPr>
          </w:p>
        </w:tc>
        <w:tc>
          <w:tcPr>
            <w:tcW w:w="20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4"/>
              </w:rPr>
              <w:t>PREDECESSOR</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SIX MONTHS</w:t>
            </w:r>
          </w:p>
        </w:tc>
        <w:tc>
          <w:tcPr>
            <w:tcW w:w="30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PREDECESSOR</w:t>
            </w:r>
          </w:p>
        </w:tc>
        <w:tc>
          <w:tcPr>
            <w:tcW w:w="0" w:type="dxa"/>
            <w:vAlign w:val="bottom"/>
          </w:tcPr>
          <w:p>
            <w:pPr>
              <w:spacing w:after="0"/>
              <w:rPr>
                <w:sz w:val="1"/>
                <w:szCs w:val="1"/>
                <w:color w:val="auto"/>
              </w:rPr>
            </w:pPr>
          </w:p>
        </w:tc>
      </w:tr>
      <w:tr>
        <w:trPr>
          <w:trHeight w:val="125"/>
        </w:trPr>
        <w:tc>
          <w:tcPr>
            <w:tcW w:w="294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1"/>
              <w:spacing w:after="0" w:line="125" w:lineRule="exact"/>
              <w:rPr>
                <w:sz w:val="20"/>
                <w:szCs w:val="20"/>
                <w:color w:val="auto"/>
              </w:rPr>
            </w:pPr>
            <w:r>
              <w:rPr>
                <w:rFonts w:ascii="Arial" w:cs="Arial" w:eastAsia="Arial" w:hAnsi="Arial"/>
                <w:sz w:val="14"/>
                <w:szCs w:val="14"/>
                <w:b w:val="1"/>
                <w:bCs w:val="1"/>
                <w:color w:val="auto"/>
                <w:w w:val="94"/>
              </w:rPr>
              <w:t>JANUARY 1, 2010</w:t>
            </w: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9"/>
              <w:spacing w:after="0" w:line="125" w:lineRule="exact"/>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2"/>
                <w:szCs w:val="12"/>
                <w:color w:val="auto"/>
              </w:rPr>
            </w:pPr>
          </w:p>
        </w:tc>
        <w:tc>
          <w:tcPr>
            <w:tcW w:w="124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THROUGH</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NOVEMBER 15, 2010</w:t>
            </w:r>
          </w:p>
        </w:tc>
        <w:tc>
          <w:tcPr>
            <w:tcW w:w="60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2011</w:t>
            </w:r>
          </w:p>
        </w:tc>
        <w:tc>
          <w:tcPr>
            <w:tcW w:w="3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JUNE 30, 2010</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right"/>
              <w:ind w:right="839"/>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(14,420)</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388,471</w:t>
            </w:r>
          </w:p>
        </w:tc>
        <w:tc>
          <w:tcPr>
            <w:tcW w:w="8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397,828</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165,788</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240,879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line="206" w:lineRule="exact"/>
              <w:rPr>
                <w:sz w:val="20"/>
                <w:szCs w:val="20"/>
                <w:color w:val="auto"/>
              </w:rPr>
            </w:pPr>
            <w:r>
              <w:rPr>
                <w:rFonts w:ascii="Arial" w:cs="Arial" w:eastAsia="Arial" w:hAnsi="Arial"/>
                <w:sz w:val="18"/>
                <w:szCs w:val="18"/>
                <w:color w:val="auto"/>
              </w:rPr>
              <w:t>State income taxes (net of</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40" w:type="dxa"/>
            <w:vAlign w:val="bottom"/>
          </w:tcPr>
          <w:p>
            <w:pPr>
              <w:ind w:left="320"/>
              <w:spacing w:after="0" w:line="200" w:lineRule="exact"/>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7"/>
                <w:szCs w:val="17"/>
                <w:color w:val="auto"/>
              </w:rPr>
            </w:pPr>
          </w:p>
        </w:tc>
        <w:tc>
          <w:tcPr>
            <w:tcW w:w="170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(2,304)</w:t>
            </w:r>
          </w:p>
        </w:tc>
        <w:tc>
          <w:tcPr>
            <w:tcW w:w="12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62,976</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64,268</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26,795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39,049</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8"/>
                <w:szCs w:val="18"/>
                <w:color w:val="auto"/>
              </w:rPr>
              <w:t>Provision (benefit) for income</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tcPr>
          <w:p>
            <w:pPr>
              <w:ind w:left="320"/>
              <w:spacing w:after="0" w:line="200" w:lineRule="exact"/>
              <w:rPr>
                <w:sz w:val="20"/>
                <w:szCs w:val="20"/>
                <w:color w:val="auto"/>
              </w:rPr>
            </w:pPr>
            <w:r>
              <w:rPr>
                <w:rFonts w:ascii="Arial" w:cs="Arial" w:eastAsia="Arial" w:hAnsi="Arial"/>
                <w:sz w:val="18"/>
                <w:szCs w:val="18"/>
                <w:color w:val="auto"/>
              </w:rPr>
              <w:t>taxes</w:t>
            </w:r>
          </w:p>
        </w:tc>
        <w:tc>
          <w:tcPr>
            <w:tcW w:w="22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(16,548)</w:t>
            </w:r>
          </w:p>
        </w:tc>
        <w:tc>
          <w:tcPr>
            <w:tcW w:w="120" w:type="dxa"/>
            <w:vAlign w:val="bottom"/>
          </w:tcPr>
          <w:p>
            <w:pPr>
              <w:ind w:left="20"/>
              <w:spacing w:after="0" w:line="200"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452,747</w:t>
            </w:r>
          </w:p>
        </w:tc>
        <w:tc>
          <w:tcPr>
            <w:tcW w:w="820" w:type="dxa"/>
            <w:vAlign w:val="bottom"/>
            <w:gridSpan w:val="2"/>
          </w:tcPr>
          <w:p>
            <w:pPr>
              <w:ind w:left="60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462,058</w:t>
            </w:r>
          </w:p>
        </w:tc>
        <w:tc>
          <w:tcPr>
            <w:tcW w:w="580" w:type="dxa"/>
            <w:vAlign w:val="bottom"/>
          </w:tcPr>
          <w:p>
            <w:pPr>
              <w:spacing w:after="0"/>
              <w:rPr>
                <w:sz w:val="17"/>
                <w:szCs w:val="17"/>
                <w:color w:val="auto"/>
              </w:rPr>
            </w:pPr>
          </w:p>
        </w:tc>
        <w:tc>
          <w:tcPr>
            <w:tcW w:w="16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192,639</w:t>
            </w:r>
          </w:p>
        </w:tc>
        <w:tc>
          <w:tcPr>
            <w:tcW w:w="4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280,730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tax effects of significant items comprising temporary differences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Pr>
          <w:p>
            <w:pPr>
              <w:spacing w:after="0"/>
              <w:rPr>
                <w:sz w:val="14"/>
                <w:szCs w:val="14"/>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PREDECESSOR</w:t>
            </w:r>
          </w:p>
        </w:tc>
        <w:tc>
          <w:tcPr>
            <w:tcW w:w="44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2011</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DECEMBER 31, 2009</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20"/>
              <w:spacing w:after="0" w:line="202" w:lineRule="exact"/>
              <w:rPr>
                <w:sz w:val="20"/>
                <w:szCs w:val="20"/>
                <w:color w:val="auto"/>
              </w:rPr>
            </w:pPr>
            <w:r>
              <w:rPr>
                <w:rFonts w:ascii="Arial" w:cs="Arial" w:eastAsia="Arial" w:hAnsi="Arial"/>
                <w:sz w:val="18"/>
                <w:szCs w:val="18"/>
                <w:color w:val="auto"/>
              </w:rPr>
              <w:t>Net operating loss carryforwards</w:t>
            </w: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83,446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111,300</w:t>
            </w:r>
          </w:p>
        </w:tc>
        <w:tc>
          <w:tcPr>
            <w:tcW w:w="5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46,885</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Allowance for doubtful accounts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444,814</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564,854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563,547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20"/>
              <w:spacing w:after="0" w:line="202" w:lineRule="exact"/>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108,044</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85,344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109,305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9,144</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5,247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10,118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645,448</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766,745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20"/>
              <w:spacing w:after="0" w:line="202" w:lineRule="exact"/>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7"/>
                <w:szCs w:val="17"/>
                <w:color w:val="auto"/>
              </w:rPr>
            </w:pPr>
          </w:p>
        </w:tc>
        <w:tc>
          <w:tcPr>
            <w:tcW w:w="19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(322,174)</w:t>
            </w:r>
          </w:p>
        </w:tc>
        <w:tc>
          <w:tcPr>
            <w:tcW w:w="120" w:type="dxa"/>
            <w:vAlign w:val="bottom"/>
          </w:tcPr>
          <w:p>
            <w:pPr>
              <w:spacing w:after="0"/>
              <w:rPr>
                <w:sz w:val="17"/>
                <w:szCs w:val="17"/>
                <w:color w:val="auto"/>
              </w:rPr>
            </w:pPr>
          </w:p>
        </w:tc>
        <w:tc>
          <w:tcPr>
            <w:tcW w:w="17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(232,236)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(367,083)</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(667,465)</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(586,278)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(673,661)</w:t>
            </w:r>
          </w:p>
        </w:tc>
        <w:tc>
          <w:tcPr>
            <w:tcW w:w="0" w:type="dxa"/>
            <w:vAlign w:val="bottom"/>
          </w:tcPr>
          <w:p>
            <w:pPr>
              <w:spacing w:after="0"/>
              <w:rPr>
                <w:sz w:val="1"/>
                <w:szCs w:val="1"/>
                <w:color w:val="auto"/>
              </w:rPr>
            </w:pPr>
          </w:p>
        </w:tc>
      </w:tr>
      <w:tr>
        <w:trPr>
          <w:trHeight w:val="203"/>
        </w:trPr>
        <w:tc>
          <w:tcPr>
            <w:tcW w:w="582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(4,841)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deferred tax liabilities</w:t>
            </w:r>
          </w:p>
        </w:tc>
        <w:tc>
          <w:tcPr>
            <w:tcW w:w="36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(989,639)</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(823,355)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(1,040,744)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Total net deferred tax liability</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(344,191)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rPr>
              <w:t>(56,610)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(310,889)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Company has state net operating loss carryforwards as of December 31, 2010 that total approximately $1.5 million which will expire in years 2026 through 2028.</w:t>
      </w:r>
    </w:p>
    <w:p>
      <w:pPr>
        <w:spacing w:after="0" w:line="11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Company had state net operating loss carryforwards as of June 30, 2011 that total approximately $0.8 million which will expire in years 2026 through 2028.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181" w:name="page182"/>
    <w:bookmarkEnd w:id="18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HHC DELAWARE, INC. AND SUBSIDIARY</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participates in a Parent-sponsored tax-qualified profit sharing plan with a cash or deferred arrangement whereby employees who have completed three months of service and are age 21 or older are eligible to participate. The Plan allows eligible employees to make contributions of 1% to 85% of their annual compensation, subject to annual limitations. The Plan enables the Parent to make discretionary contributions into each participant’s account that fully vest over a four year period based upon years of service. No contributions were made by the Parent to the Plan during the period November 16, 2010 through December 31, 2010, the predecessor periods January 1, 2010 through November 15, 2010, and for the year ended December 31, 2009, or the six months ended June 30, 2011 (unaudited).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7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March, 2011, UHS entered into an agreement to sell the Company to a third party for approximately $21.5 million. The transaction closed on July 1, 2011.</w:t>
      </w:r>
    </w:p>
    <w:p>
      <w:pPr>
        <w:spacing w:after="0" w:line="11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Company has evaluated subsequent events through August 18, 2011, the date these financial statements were available to be issued, and determined that: (1) no subsequent events have occurred that would require recognition in the accompanying consolidated financial statements; and (2) no other subsequent events have occurred that would require disclosure in the notes thereto.</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sectPr>
      <w:pgSz w:w="11900" w:h="16838" w:orient="portrait"/>
      <w:cols w:equalWidth="0" w:num="1">
        <w:col w:w="11360"/>
      </w:cols>
      <w:pgMar w:left="240" w:top="26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Roman"/>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1."/>
      <w:numFmt w:val="decimal"/>
      <w:start w:val="1"/>
    </w:lvl>
  </w:abstractNum>
  <w:abstractNum w:abstractNumId="16">
    <w:nsid w:val="14330624"/>
    <w:multiLevelType w:val="hybridMultilevel"/>
    <w:lvl w:ilvl="0">
      <w:lvlJc w:val="left"/>
      <w:lvlText w:val="(%1)"/>
      <w:numFmt w:val="lowerLetter"/>
      <w:start w:val="21"/>
    </w:lvl>
  </w:abstractNum>
  <w:abstractNum w:abstractNumId="17">
    <w:nsid w:val="7FFFCA11"/>
    <w:multiLevelType w:val="hybridMultilevel"/>
    <w:lvl w:ilvl="0">
      <w:lvlJc w:val="left"/>
      <w:lvlText w:val="(%1)"/>
      <w:numFmt w:val="lowerLetter"/>
      <w:start w:val="11"/>
    </w:lvl>
  </w:abstractNum>
  <w:abstractNum w:abstractNumId="18">
    <w:nsid w:val="1A27709E"/>
    <w:multiLevelType w:val="hybridMultilevel"/>
    <w:lvl w:ilvl="0">
      <w:lvlJc w:val="left"/>
      <w:lvlText w:val="%1"/>
      <w:numFmt w:val="decimal"/>
      <w:start w:val="1"/>
    </w:lvl>
    <w:lvl w:ilvl="1">
      <w:lvlJc w:val="left"/>
      <w:lvlText w:val="(%2)"/>
      <w:numFmt w:val="lowerLetter"/>
      <w:start w:val="14"/>
    </w:lvl>
  </w:abstractNum>
  <w:abstractNum w:abstractNumId="19">
    <w:nsid w:val="71EA1109"/>
    <w:multiLevelType w:val="hybridMultilevel"/>
    <w:lvl w:ilvl="0">
      <w:lvlJc w:val="left"/>
      <w:lvlText w:val="%1."/>
      <w:numFmt w:val="decimal"/>
      <w:start w:val="3"/>
    </w:lvl>
    <w:lvl w:ilvl="1">
      <w:lvlJc w:val="left"/>
      <w:lvlText w:val="%2"/>
      <w:numFmt w:val="lowerLetter"/>
      <w:start w:val="1"/>
    </w:lvl>
  </w:abstractNum>
  <w:abstractNum w:abstractNumId="20">
    <w:nsid w:val="100F59DC"/>
    <w:multiLevelType w:val="hybridMultilevel"/>
    <w:lvl w:ilvl="0">
      <w:lvlJc w:val="left"/>
      <w:lvlText w:val="%1."/>
      <w:numFmt w:val="decimal"/>
      <w:start w:val="6"/>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1)"/>
      <w:numFmt w:val="lowerLetter"/>
      <w:start w:val="1"/>
    </w:lvl>
  </w:abstractNum>
  <w:abstractNum w:abstractNumId="27">
    <w:nsid w:val="4C04A8AF"/>
    <w:multiLevelType w:val="hybridMultilevel"/>
    <w:lvl w:ilvl="0">
      <w:lvlJc w:val="left"/>
      <w:lvlText w:val="(%1)"/>
      <w:numFmt w:val="lowerLetter"/>
      <w:start w:val="2"/>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1)"/>
      <w:numFmt w:val="decimal"/>
      <w:start w:val="8"/>
    </w:lvl>
  </w:abstractNum>
  <w:abstractNum w:abstractNumId="31">
    <w:nsid w:val="74DE0EE3"/>
    <w:multiLevelType w:val="hybridMultilevel"/>
    <w:lvl w:ilvl="0">
      <w:lvlJc w:val="left"/>
      <w:lvlText w:val="%1"/>
      <w:numFmt w:val="decimal"/>
      <w:start w:val="1"/>
    </w:lvl>
    <w:lvl w:ilvl="1">
      <w:lvlJc w:val="left"/>
      <w:lvlText w:val="(%2)"/>
      <w:numFmt w:val="lowerLetter"/>
      <w:start w:val="1"/>
    </w:lvl>
  </w:abstractNum>
  <w:abstractNum w:abstractNumId="32">
    <w:nsid w:val="68EBC550"/>
    <w:multiLevelType w:val="hybridMultilevel"/>
    <w:lvl w:ilvl="0">
      <w:lvlJc w:val="left"/>
      <w:lvlText w:val="(%1)"/>
      <w:numFmt w:val="decimal"/>
      <w:start w:val="9"/>
    </w:lvl>
    <w:lvl w:ilvl="1">
      <w:lvlJc w:val="left"/>
      <w:lvlText w:val="%2"/>
      <w:numFmt w:val="lowerLetter"/>
      <w:start w:val="1"/>
    </w:lvl>
  </w:abstractNum>
  <w:abstractNum w:abstractNumId="33">
    <w:nsid w:val="2DF6D648"/>
    <w:multiLevelType w:val="hybridMultilevel"/>
    <w:lvl w:ilvl="0">
      <w:lvlJc w:val="left"/>
      <w:lvlText w:val="(%1)"/>
      <w:numFmt w:val="decimal"/>
      <w:start w:val="11"/>
    </w:lvl>
  </w:abstractNum>
  <w:abstractNum w:abstractNumId="34">
    <w:nsid w:val="46B7D447"/>
    <w:multiLevelType w:val="hybridMultilevel"/>
    <w:lvl w:ilvl="0">
      <w:lvlJc w:val="left"/>
      <w:lvlText w:val="(%1)"/>
      <w:numFmt w:val="decimal"/>
      <w:start w:val="16"/>
    </w:lvl>
  </w:abstractNum>
  <w:abstractNum w:abstractNumId="35">
    <w:nsid w:val="4A2AC315"/>
    <w:multiLevelType w:val="hybridMultilevel"/>
    <w:lvl w:ilvl="0">
      <w:lvlJc w:val="left"/>
      <w:lvlText w:val="(%1)"/>
      <w:numFmt w:val="decimal"/>
      <w:start w:val="17"/>
    </w:lvl>
  </w:abstractNum>
  <w:abstractNum w:abstractNumId="36">
    <w:nsid w:val="39EE015C"/>
    <w:multiLevelType w:val="hybridMultilevel"/>
    <w:lvl w:ilvl="0">
      <w:lvlJc w:val="left"/>
      <w:lvlText w:val="(%1)"/>
      <w:numFmt w:val="decimal"/>
      <w:start w:val="18"/>
    </w:lvl>
  </w:abstractNum>
  <w:abstractNum w:abstractNumId="37">
    <w:nsid w:val="57FC4FBB"/>
    <w:multiLevelType w:val="hybridMultilevel"/>
    <w:lvl w:ilvl="0">
      <w:lvlJc w:val="left"/>
      <w:lvlText w:val="(%1)"/>
      <w:numFmt w:val="decimal"/>
      <w:start w:val="19"/>
    </w:lvl>
  </w:abstractNum>
  <w:abstractNum w:abstractNumId="38">
    <w:nsid w:val="CC1016F"/>
    <w:multiLevelType w:val="hybridMultilevel"/>
    <w:lvl w:ilvl="0">
      <w:lvlJc w:val="left"/>
      <w:lvlText w:val="(%1)"/>
      <w:numFmt w:val="decimal"/>
      <w:start w:val="20"/>
    </w:lvl>
    <w:lvl w:ilvl="1">
      <w:lvlJc w:val="left"/>
      <w:lvlText w:val="(%2)"/>
      <w:numFmt w:val="lowerLetter"/>
      <w:start w:val="1"/>
    </w:lvl>
  </w:abstractNum>
  <w:abstractNum w:abstractNumId="39">
    <w:nsid w:val="43F18422"/>
    <w:multiLevelType w:val="hybridMultilevel"/>
    <w:lvl w:ilvl="0">
      <w:lvlJc w:val="left"/>
      <w:lvlText w:val="(%1)"/>
      <w:numFmt w:val="lowerLetter"/>
      <w:start w:val="3"/>
    </w:lvl>
  </w:abstractNum>
  <w:abstractNum w:abstractNumId="40">
    <w:nsid w:val="60EF0119"/>
    <w:multiLevelType w:val="hybridMultilevel"/>
    <w:lvl w:ilvl="0">
      <w:lvlJc w:val="left"/>
      <w:lvlText w:val="(%1)"/>
      <w:numFmt w:val="lowerLetter"/>
      <w:start w:val="5"/>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2"/>
    </w:lvl>
  </w:abstractNum>
  <w:abstractNum w:abstractNumId="43">
    <w:nsid w:val="49DA307D"/>
    <w:multiLevelType w:val="hybridMultilevel"/>
    <w:lvl w:ilvl="0">
      <w:lvlJc w:val="left"/>
      <w:lvlText w:val="(%1)"/>
      <w:numFmt w:val="decimal"/>
      <w:start w:val="22"/>
    </w:lvl>
  </w:abstractNum>
  <w:abstractNum w:abstractNumId="44">
    <w:nsid w:val="7055A5F5"/>
    <w:multiLevelType w:val="hybridMultilevel"/>
    <w:lvl w:ilvl="0">
      <w:lvlJc w:val="left"/>
      <w:lvlText w:val="(%1)"/>
      <w:numFmt w:val="decimal"/>
      <w:start w:val="24"/>
    </w:lvl>
    <w:lvl w:ilvl="1">
      <w:lvlJc w:val="left"/>
      <w:lvlText w:val="(%2)"/>
      <w:numFmt w:val="lowerLetter"/>
      <w:start w:val="1"/>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1)"/>
      <w:numFmt w:val="lowerLetter"/>
      <w:start w:val="1"/>
    </w:lvl>
  </w:abstractNum>
  <w:abstractNum w:abstractNumId="47">
    <w:nsid w:val="488AC1A"/>
    <w:multiLevelType w:val="hybridMultilevel"/>
    <w:lvl w:ilvl="0">
      <w:lvlJc w:val="left"/>
      <w:lvlText w:val="(%1)"/>
      <w:numFmt w:val="lowerLetter"/>
      <w:start w:val="2"/>
    </w:lvl>
  </w:abstractNum>
  <w:abstractNum w:abstractNumId="48">
    <w:nsid w:val="5FB8011C"/>
    <w:multiLevelType w:val="hybridMultilevel"/>
    <w:lvl w:ilvl="0">
      <w:lvlJc w:val="left"/>
      <w:lvlText w:val="(%1)"/>
      <w:numFmt w:val="lowerLetter"/>
      <w:start w:val="3"/>
    </w:lvl>
  </w:abstractNum>
  <w:abstractNum w:abstractNumId="49">
    <w:nsid w:val="6AA78F7F"/>
    <w:multiLevelType w:val="hybridMultilevel"/>
    <w:lvl w:ilvl="0">
      <w:lvlJc w:val="left"/>
      <w:lvlText w:val="(%1)"/>
      <w:numFmt w:val="lowerLetter"/>
      <w:start w:val="4"/>
    </w:lvl>
  </w:abstractNum>
  <w:abstractNum w:abstractNumId="50">
    <w:nsid w:val="7672BD23"/>
    <w:multiLevelType w:val="hybridMultilevel"/>
    <w:lvl w:ilvl="0">
      <w:lvlJc w:val="left"/>
      <w:lvlText w:val="(%1)"/>
      <w:numFmt w:val="lowerLetter"/>
      <w:start w:val="5"/>
    </w:lvl>
  </w:abstractNum>
  <w:abstractNum w:abstractNumId="51">
    <w:nsid w:val="6FC75AF8"/>
    <w:multiLevelType w:val="hybridMultilevel"/>
    <w:lvl w:ilvl="0">
      <w:lvlJc w:val="left"/>
      <w:lvlText w:val="(%1)"/>
      <w:numFmt w:val="lowerLetter"/>
      <w:start w:val="6"/>
    </w:lvl>
  </w:abstractNum>
  <w:abstractNum w:abstractNumId="52">
    <w:nsid w:val="6A5F7029"/>
    <w:multiLevelType w:val="hybridMultilevel"/>
    <w:lvl w:ilvl="0">
      <w:lvlJc w:val="left"/>
      <w:lvlText w:val="(%1)"/>
      <w:numFmt w:val="decimal"/>
      <w:start w:val="2"/>
    </w:lvl>
  </w:abstractNum>
  <w:abstractNum w:abstractNumId="53">
    <w:nsid w:val="7D5E18F8"/>
    <w:multiLevelType w:val="hybridMultilevel"/>
    <w:lvl w:ilvl="0">
      <w:lvlJc w:val="left"/>
      <w:lvlText w:val="(%1)"/>
      <w:numFmt w:val="decimal"/>
      <w:start w:val="3"/>
    </w:lvl>
  </w:abstractNum>
  <w:abstractNum w:abstractNumId="54">
    <w:nsid w:val="5F3534A4"/>
    <w:multiLevelType w:val="hybridMultilevel"/>
    <w:lvl w:ilvl="0">
      <w:lvlJc w:val="left"/>
      <w:lvlText w:val="(%1)"/>
      <w:numFmt w:val="decimal"/>
      <w:start w:val="4"/>
    </w:lvl>
  </w:abstractNum>
  <w:abstractNum w:abstractNumId="55">
    <w:nsid w:val="73A1821B"/>
    <w:multiLevelType w:val="hybridMultilevel"/>
    <w:lvl w:ilvl="0">
      <w:lvlJc w:val="left"/>
      <w:lvlText w:val="(%1)"/>
      <w:numFmt w:val="decimal"/>
      <w:start w:val="5"/>
    </w:lvl>
  </w:abstractNum>
  <w:abstractNum w:abstractNumId="56">
    <w:nsid w:val="7DE67713"/>
    <w:multiLevelType w:val="hybridMultilevel"/>
    <w:lvl w:ilvl="0">
      <w:lvlJc w:val="left"/>
      <w:lvlText w:val="(%1)"/>
      <w:numFmt w:val="decimal"/>
      <w:start w:val="8"/>
    </w:lvl>
  </w:abstractNum>
  <w:abstractNum w:abstractNumId="57">
    <w:nsid w:val="555C55B5"/>
    <w:multiLevelType w:val="hybridMultilevel"/>
    <w:lvl w:ilvl="0">
      <w:lvlJc w:val="left"/>
      <w:lvlText w:val="(%1)"/>
      <w:numFmt w:val="decimal"/>
      <w:start w:val="9"/>
    </w:lvl>
  </w:abstractNum>
  <w:abstractNum w:abstractNumId="58">
    <w:nsid w:val="3FA62ACA"/>
    <w:multiLevelType w:val="hybridMultilevel"/>
    <w:lvl w:ilvl="0">
      <w:lvlJc w:val="left"/>
      <w:lvlText w:val="(%1)"/>
      <w:numFmt w:val="decimal"/>
      <w:start w:val="10"/>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lowerLetter"/>
      <w:start w:val="1"/>
    </w:lvl>
  </w:abstractNum>
  <w:abstractNum w:abstractNumId="61">
    <w:nsid w:val="71C91298"/>
    <w:multiLevelType w:val="hybridMultilevel"/>
    <w:lvl w:ilvl="0">
      <w:lvlJc w:val="left"/>
      <w:lvlText w:val="(%1)"/>
      <w:numFmt w:val="lowerLetter"/>
      <w:start w:val="2"/>
    </w:lvl>
  </w:abstractNum>
  <w:abstractNum w:abstractNumId="62">
    <w:nsid w:val="9DAF632"/>
    <w:multiLevelType w:val="hybridMultilevel"/>
    <w:lvl w:ilvl="0">
      <w:lvlJc w:val="left"/>
      <w:lvlText w:val="(%1)"/>
      <w:numFmt w:val="lowerLetter"/>
      <w:start w:val="3"/>
    </w:lvl>
  </w:abstractNum>
  <w:abstractNum w:abstractNumId="63">
    <w:nsid w:val="53299938"/>
    <w:multiLevelType w:val="hybridMultilevel"/>
    <w:lvl w:ilvl="0">
      <w:lvlJc w:val="left"/>
      <w:lvlText w:val="(%1)"/>
      <w:numFmt w:val="lowerLetter"/>
      <w:start w:val="4"/>
    </w:lvl>
  </w:abstractNum>
  <w:abstractNum w:abstractNumId="64">
    <w:nsid w:val="1FBFE8E0"/>
    <w:multiLevelType w:val="hybridMultilevel"/>
    <w:lvl w:ilvl="0">
      <w:lvlJc w:val="left"/>
      <w:lvlText w:val="(%1)"/>
      <w:numFmt w:val="lowerLetter"/>
      <w:start w:val="5"/>
    </w:lvl>
  </w:abstractNum>
  <w:abstractNum w:abstractNumId="65">
    <w:nsid w:val="5092CA79"/>
    <w:multiLevelType w:val="hybridMultilevel"/>
    <w:lvl w:ilvl="0">
      <w:lvlJc w:val="left"/>
      <w:lvlText w:val="(%1)"/>
      <w:numFmt w:val="lowerLetter"/>
      <w:start w:val="6"/>
    </w:lvl>
  </w:abstractNum>
  <w:abstractNum w:abstractNumId="66">
    <w:nsid w:val="1D545C4D"/>
    <w:multiLevelType w:val="hybridMultilevel"/>
    <w:lvl w:ilvl="0">
      <w:lvlJc w:val="left"/>
      <w:lvlText w:val="(%1)"/>
      <w:numFmt w:val="lowerLetter"/>
      <w:start w:val="7"/>
    </w:lvl>
  </w:abstractNum>
  <w:abstractNum w:abstractNumId="67">
    <w:nsid w:val="59ADEA3D"/>
    <w:multiLevelType w:val="hybridMultilevel"/>
    <w:lvl w:ilvl="0">
      <w:lvlJc w:val="left"/>
      <w:lvlText w:val="(%1)"/>
      <w:numFmt w:val="lowerLetter"/>
      <w:start w:val="8"/>
    </w:lvl>
  </w:abstractNum>
  <w:abstractNum w:abstractNumId="68">
    <w:nsid w:val="288F1A34"/>
    <w:multiLevelType w:val="hybridMultilevel"/>
    <w:lvl w:ilvl="0">
      <w:lvlJc w:val="left"/>
      <w:lvlText w:val="(%1)"/>
      <w:numFmt w:val="lowerRoman"/>
      <w:start w:val="1"/>
    </w:lvl>
  </w:abstractNum>
  <w:abstractNum w:abstractNumId="69">
    <w:nsid w:val="2A155DBC"/>
    <w:multiLevelType w:val="hybridMultilevel"/>
    <w:lvl w:ilvl="0">
      <w:lvlJc w:val="left"/>
      <w:lvlText w:val="(%1)"/>
      <w:numFmt w:val="lowerLetter"/>
      <w:start w:val="10"/>
    </w:lvl>
  </w:abstractNum>
  <w:abstractNum w:abstractNumId="70">
    <w:nsid w:val="1D9F6E5F"/>
    <w:multiLevelType w:val="hybridMultilevel"/>
    <w:lvl w:ilvl="0">
      <w:lvlJc w:val="left"/>
      <w:lvlText w:val="(%1)"/>
      <w:numFmt w:val="lowerLetter"/>
      <w:start w:val="11"/>
    </w:lvl>
  </w:abstractNum>
  <w:abstractNum w:abstractNumId="71">
    <w:nsid w:val="97E1B4E"/>
    <w:multiLevelType w:val="hybridMultilevel"/>
    <w:lvl w:ilvl="0">
      <w:lvlJc w:val="left"/>
      <w:lvlText w:val="(%1)"/>
      <w:numFmt w:val="lowerLetter"/>
      <w:start w:val="12"/>
    </w:lvl>
  </w:abstractNum>
  <w:abstractNum w:abstractNumId="72">
    <w:nsid w:val="51088277"/>
    <w:multiLevelType w:val="hybridMultilevel"/>
    <w:lvl w:ilvl="0">
      <w:lvlJc w:val="left"/>
      <w:lvlText w:val="(%1)"/>
      <w:numFmt w:val="lowerLetter"/>
      <w:start w:val="13"/>
    </w:lvl>
  </w:abstractNum>
  <w:abstractNum w:abstractNumId="73">
    <w:nsid w:val="1CA0C5FA"/>
    <w:multiLevelType w:val="hybridMultilevel"/>
    <w:lvl w:ilvl="0">
      <w:lvlJc w:val="left"/>
      <w:lvlText w:val="(%1)"/>
      <w:numFmt w:val="lowerLetter"/>
      <w:start w:val="14"/>
    </w:lvl>
  </w:abstractNum>
  <w:abstractNum w:abstractNumId="74">
    <w:nsid w:val="53584BCB"/>
    <w:multiLevelType w:val="hybridMultilevel"/>
    <w:lvl w:ilvl="0">
      <w:lvlJc w:val="left"/>
      <w:lvlText w:val="(%1)"/>
      <w:numFmt w:val="lowerLetter"/>
      <w:start w:val="15"/>
    </w:lvl>
  </w:abstractNum>
  <w:abstractNum w:abstractNumId="75">
    <w:nsid w:val="415E286C"/>
    <w:multiLevelType w:val="hybridMultilevel"/>
    <w:lvl w:ilvl="0">
      <w:lvlJc w:val="left"/>
      <w:lvlText w:val="(%1)"/>
      <w:numFmt w:val="decimal"/>
      <w:start w:val="3"/>
    </w:lvl>
  </w:abstractNum>
  <w:abstractNum w:abstractNumId="76">
    <w:nsid w:val="7C58FD05"/>
    <w:multiLevelType w:val="hybridMultilevel"/>
    <w:lvl w:ilvl="0">
      <w:lvlJc w:val="left"/>
      <w:lvlText w:val="(%1)"/>
      <w:numFmt w:val="decimal"/>
      <w:start w:val="5"/>
    </w:lvl>
  </w:abstractNum>
  <w:abstractNum w:abstractNumId="77">
    <w:nsid w:val="23D86AAC"/>
    <w:multiLevelType w:val="hybridMultilevel"/>
    <w:lvl w:ilvl="0">
      <w:lvlJc w:val="left"/>
      <w:lvlText w:val="(%1)"/>
      <w:numFmt w:val="decimal"/>
      <w:start w:val="9"/>
    </w:lvl>
  </w:abstractNum>
  <w:abstractNum w:abstractNumId="78">
    <w:nsid w:val="45E6D486"/>
    <w:multiLevelType w:val="hybridMultilevel"/>
    <w:lvl w:ilvl="0">
      <w:lvlJc w:val="left"/>
      <w:lvlText w:val="(%1)"/>
      <w:numFmt w:val="decimal"/>
      <w:start w:val="10"/>
    </w:lvl>
  </w:abstractNum>
  <w:abstractNum w:abstractNumId="79">
    <w:nsid w:val="5C10FE21"/>
    <w:multiLevelType w:val="hybridMultilevel"/>
    <w:lvl w:ilvl="0">
      <w:lvlJc w:val="left"/>
      <w:lvlText w:val="(%1)"/>
      <w:numFmt w:val="decimal"/>
      <w:start w:val="11"/>
    </w:lvl>
  </w:abstractNum>
  <w:abstractNum w:abstractNumId="80">
    <w:nsid w:val="E7FFA2B"/>
    <w:multiLevelType w:val="hybridMultilevel"/>
    <w:lvl w:ilvl="0">
      <w:lvlJc w:val="left"/>
      <w:lvlText w:val="(%1)"/>
      <w:numFmt w:val="decimal"/>
      <w:start w:val="12"/>
    </w:lvl>
    <w:lvl w:ilvl="1">
      <w:lvlJc w:val="left"/>
      <w:lvlText w:val="(%2)"/>
      <w:numFmt w:val="lowerLetter"/>
      <w:start w:val="1"/>
    </w:lvl>
  </w:abstractNum>
  <w:abstractNum w:abstractNumId="81">
    <w:nsid w:val="3C5991AA"/>
    <w:multiLevelType w:val="hybridMultilevel"/>
    <w:lvl w:ilvl="0">
      <w:lvlJc w:val="left"/>
      <w:lvlText w:val="(%1)"/>
      <w:numFmt w:val="lowerLetter"/>
      <w:start w:val="2"/>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1)"/>
      <w:numFmt w:val="lowerLetter"/>
      <w:start w:val="2"/>
    </w:lvl>
  </w:abstractNum>
  <w:abstractNum w:abstractNumId="85">
    <w:nsid w:val="2B0D8DBE"/>
    <w:multiLevelType w:val="hybridMultilevel"/>
    <w:lvl w:ilvl="0">
      <w:lvlJc w:val="left"/>
      <w:lvlText w:val="(%1)"/>
      <w:numFmt w:val="lowerLetter"/>
      <w:start w:val="3"/>
    </w:lvl>
  </w:abstractNum>
  <w:abstractNum w:abstractNumId="86">
    <w:nsid w:val="6C80EC70"/>
    <w:multiLevelType w:val="hybridMultilevel"/>
    <w:lvl w:ilvl="0">
      <w:lvlJc w:val="left"/>
      <w:lvlText w:val="(%1)"/>
      <w:numFmt w:val="lowerLetter"/>
      <w:start w:val="4"/>
    </w:lvl>
  </w:abstractNum>
  <w:abstractNum w:abstractNumId="87">
    <w:nsid w:val="379E21B5"/>
    <w:multiLevelType w:val="hybridMultilevel"/>
    <w:lvl w:ilvl="0">
      <w:lvlJc w:val="left"/>
      <w:lvlText w:val="(%1)"/>
      <w:numFmt w:val="lowerLetter"/>
      <w:start w:val="5"/>
    </w:lvl>
  </w:abstractNum>
  <w:abstractNum w:abstractNumId="88">
    <w:nsid w:val="69E373"/>
    <w:multiLevelType w:val="hybridMultilevel"/>
    <w:lvl w:ilvl="0">
      <w:lvlJc w:val="left"/>
      <w:lvlText w:val="(%1)"/>
      <w:numFmt w:val="lowerLetter"/>
      <w:start w:val="6"/>
    </w:lvl>
  </w:abstractNum>
  <w:abstractNum w:abstractNumId="89">
    <w:nsid w:val="2C27173B"/>
    <w:multiLevelType w:val="hybridMultilevel"/>
    <w:lvl w:ilvl="0">
      <w:lvlJc w:val="left"/>
      <w:lvlText w:val="(%1)"/>
      <w:numFmt w:val="lowerLetter"/>
      <w:start w:val="7"/>
    </w:lvl>
  </w:abstractNum>
  <w:abstractNum w:abstractNumId="90">
    <w:nsid w:val="4C9B0904"/>
    <w:multiLevelType w:val="hybridMultilevel"/>
    <w:lvl w:ilvl="0">
      <w:lvlJc w:val="left"/>
      <w:lvlText w:val="(%1)"/>
      <w:numFmt w:val="lowerLetter"/>
      <w:start w:val="8"/>
    </w:lvl>
  </w:abstractNum>
  <w:abstractNum w:abstractNumId="91">
    <w:nsid w:val="6AA7B75C"/>
    <w:multiLevelType w:val="hybridMultilevel"/>
    <w:lvl w:ilvl="0">
      <w:lvlJc w:val="left"/>
      <w:lvlText w:val="(%1)"/>
      <w:numFmt w:val="decimal"/>
      <w:start w:val="2"/>
    </w:lvl>
  </w:abstractNum>
  <w:abstractNum w:abstractNumId="92">
    <w:nsid w:val="1DF029D3"/>
    <w:multiLevelType w:val="hybridMultilevel"/>
    <w:lvl w:ilvl="0">
      <w:lvlJc w:val="left"/>
      <w:lvlText w:val="(%1)"/>
      <w:numFmt w:val="decimal"/>
      <w:start w:val="3"/>
    </w:lvl>
  </w:abstractNum>
  <w:abstractNum w:abstractNumId="93">
    <w:nsid w:val="5675FF36"/>
    <w:multiLevelType w:val="hybridMultilevel"/>
    <w:lvl w:ilvl="0">
      <w:lvlJc w:val="left"/>
      <w:lvlText w:val="(%1)"/>
      <w:numFmt w:val="decimal"/>
      <w:start w:val="5"/>
    </w:lvl>
  </w:abstractNum>
  <w:abstractNum w:abstractNumId="94">
    <w:nsid w:val="3DD15094"/>
    <w:multiLevelType w:val="hybridMultilevel"/>
    <w:lvl w:ilvl="0">
      <w:lvlJc w:val="left"/>
      <w:lvlText w:val="(%1)"/>
      <w:numFmt w:val="decimal"/>
      <w:start w:val="7"/>
    </w:lvl>
  </w:abstractNum>
  <w:abstractNum w:abstractNumId="95">
    <w:nsid w:val="3DB012B3"/>
    <w:multiLevelType w:val="hybridMultilevel"/>
    <w:lvl w:ilvl="0">
      <w:lvlJc w:val="left"/>
      <w:lvlText w:val="(%1)"/>
      <w:numFmt w:val="decimal"/>
      <w:start w:val="8"/>
    </w:lvl>
  </w:abstractNum>
  <w:abstractNum w:abstractNumId="96">
    <w:nsid w:val="2708C9AF"/>
    <w:multiLevelType w:val="hybridMultilevel"/>
    <w:lvl w:ilvl="0">
      <w:lvlJc w:val="left"/>
      <w:lvlText w:val="(%1)"/>
      <w:numFmt w:val="decimal"/>
      <w:start w:val="9"/>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2"/>
    </w:lvl>
  </w:abstractNum>
  <w:abstractNum w:abstractNumId="104">
    <w:nsid w:val="519E3149"/>
    <w:multiLevelType w:val="hybridMultilevel"/>
    <w:lvl w:ilvl="0">
      <w:lvlJc w:val="left"/>
      <w:lvlText w:val="(%1)"/>
      <w:numFmt w:val="decimal"/>
      <w:start w:val="2"/>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2"/>
    </w:lvl>
  </w:abstractNum>
  <w:abstractNum w:abstractNumId="107">
    <w:nsid w:val="4DF72E4E"/>
    <w:multiLevelType w:val="hybridMultilevel"/>
    <w:lvl w:ilvl="0">
      <w:lvlJc w:val="left"/>
      <w:lvlText w:val="(%1)"/>
      <w:numFmt w:val="lowerLetter"/>
      <w:start w:val="3"/>
    </w:lvl>
  </w:abstractNum>
  <w:abstractNum w:abstractNumId="108">
    <w:nsid w:val="5046B5A9"/>
    <w:multiLevelType w:val="hybridMultilevel"/>
    <w:lvl w:ilvl="0">
      <w:lvlJc w:val="left"/>
      <w:lvlText w:val="(%1)"/>
      <w:numFmt w:val="lowerLetter"/>
      <w:start w:val="4"/>
    </w:lvl>
  </w:abstractNum>
  <w:abstractNum w:abstractNumId="109">
    <w:nsid w:val="5D888A08"/>
    <w:multiLevelType w:val="hybridMultilevel"/>
    <w:lvl w:ilvl="0">
      <w:lvlJc w:val="left"/>
      <w:lvlText w:val="(%1)"/>
      <w:numFmt w:val="lowerLetter"/>
      <w:start w:val="5"/>
    </w:lvl>
  </w:abstractNum>
  <w:abstractNum w:abstractNumId="110">
    <w:nsid w:val="2A082C70"/>
    <w:multiLevelType w:val="hybridMultilevel"/>
    <w:lvl w:ilvl="0">
      <w:lvlJc w:val="left"/>
      <w:lvlText w:val="(%1)"/>
      <w:numFmt w:val="lowerLetter"/>
      <w:start w:val="6"/>
    </w:lvl>
  </w:abstractNum>
  <w:abstractNum w:abstractNumId="111">
    <w:nsid w:val="5EC6AFD4"/>
    <w:multiLevelType w:val="hybridMultilevel"/>
    <w:lvl w:ilvl="0">
      <w:lvlJc w:val="left"/>
      <w:lvlText w:val="(%1)"/>
      <w:numFmt w:val="lowerLetter"/>
      <w:start w:val="7"/>
    </w:lvl>
  </w:abstractNum>
  <w:abstractNum w:abstractNumId="112">
    <w:nsid w:val="19E21BB2"/>
    <w:multiLevelType w:val="hybridMultilevel"/>
    <w:lvl w:ilvl="0">
      <w:lvlJc w:val="left"/>
      <w:lvlText w:val="(%1)"/>
      <w:numFmt w:val="lowerLetter"/>
      <w:start w:val="8"/>
    </w:lvl>
  </w:abstractNum>
  <w:abstractNum w:abstractNumId="113">
    <w:nsid w:val="75E0858A"/>
    <w:multiLevelType w:val="hybridMultilevel"/>
    <w:lvl w:ilvl="0">
      <w:lvlJc w:val="left"/>
      <w:lvlText w:val="(%1)"/>
      <w:numFmt w:val="lowerRoman"/>
      <w:start w:val="1"/>
    </w:lvl>
  </w:abstractNum>
  <w:abstractNum w:abstractNumId="114">
    <w:nsid w:val="57A61A29"/>
    <w:multiLevelType w:val="hybridMultilevel"/>
    <w:lvl w:ilvl="0">
      <w:lvlJc w:val="left"/>
      <w:lvlText w:val="(%1)"/>
      <w:numFmt w:val="lowerLetter"/>
      <w:start w:val="10"/>
    </w:lvl>
  </w:abstractNum>
  <w:abstractNum w:abstractNumId="115">
    <w:nsid w:val="5399C654"/>
    <w:multiLevelType w:val="hybridMultilevel"/>
    <w:lvl w:ilvl="0">
      <w:lvlJc w:val="left"/>
      <w:lvlText w:val="(%1)"/>
      <w:numFmt w:val="lowerLetter"/>
      <w:start w:val="11"/>
    </w:lvl>
  </w:abstractNum>
  <w:abstractNum w:abstractNumId="116">
    <w:nsid w:val="20EE1348"/>
    <w:multiLevelType w:val="hybridMultilevel"/>
    <w:lvl w:ilvl="0">
      <w:lvlJc w:val="left"/>
      <w:lvlText w:val="(%1)"/>
      <w:numFmt w:val="lowerLetter"/>
      <w:start w:val="12"/>
    </w:lvl>
  </w:abstractNum>
  <w:abstractNum w:abstractNumId="117">
    <w:nsid w:val="4427069A"/>
    <w:multiLevelType w:val="hybridMultilevel"/>
    <w:lvl w:ilvl="0">
      <w:lvlJc w:val="left"/>
      <w:lvlText w:val="(%1)"/>
      <w:numFmt w:val="lowerLetter"/>
      <w:start w:val="13"/>
    </w:lvl>
  </w:abstractNum>
  <w:abstractNum w:abstractNumId="118">
    <w:nsid w:val="B37E80A"/>
    <w:multiLevelType w:val="hybridMultilevel"/>
    <w:lvl w:ilvl="0">
      <w:lvlJc w:val="left"/>
      <w:lvlText w:val="(%1)"/>
      <w:numFmt w:val="lowerLetter"/>
      <w:start w:val="14"/>
    </w:lvl>
  </w:abstractNum>
  <w:abstractNum w:abstractNumId="119">
    <w:nsid w:val="2157F6BC"/>
    <w:multiLevelType w:val="hybridMultilevel"/>
    <w:lvl w:ilvl="0">
      <w:lvlJc w:val="left"/>
      <w:lvlText w:val="(%1)"/>
      <w:numFmt w:val="lowerLetter"/>
      <w:start w:val="15"/>
    </w:lvl>
  </w:abstractNum>
  <w:abstractNum w:abstractNumId="120">
    <w:nsid w:val="704E1DD5"/>
    <w:multiLevelType w:val="hybridMultilevel"/>
    <w:lvl w:ilvl="0">
      <w:lvlJc w:val="left"/>
      <w:lvlText w:val="(%1)"/>
      <w:numFmt w:val="decimal"/>
      <w:start w:val="3"/>
    </w:lvl>
  </w:abstractNum>
  <w:abstractNum w:abstractNumId="121">
    <w:nsid w:val="57D2F10E"/>
    <w:multiLevelType w:val="hybridMultilevel"/>
    <w:lvl w:ilvl="0">
      <w:lvlJc w:val="left"/>
      <w:lvlText w:val="(%1)"/>
      <w:numFmt w:val="decimal"/>
      <w:start w:val="4"/>
    </w:lvl>
  </w:abstractNum>
  <w:abstractNum w:abstractNumId="122">
    <w:nsid w:val="BFFAE18"/>
    <w:multiLevelType w:val="hybridMultilevel"/>
    <w:lvl w:ilvl="0">
      <w:lvlJc w:val="left"/>
      <w:lvlText w:val="(%1)"/>
      <w:numFmt w:val="decimal"/>
      <w:start w:val="6"/>
    </w:lvl>
  </w:abstractNum>
  <w:abstractNum w:abstractNumId="123">
    <w:nsid w:val="E3E47A8"/>
    <w:multiLevelType w:val="hybridMultilevel"/>
    <w:lvl w:ilvl="0">
      <w:lvlJc w:val="left"/>
      <w:lvlText w:val="(%1)"/>
      <w:numFmt w:val="decimal"/>
      <w:start w:val="7"/>
    </w:lvl>
  </w:abstractNum>
  <w:abstractNum w:abstractNumId="124">
    <w:nsid w:val="2E48F044"/>
    <w:multiLevelType w:val="hybridMultilevel"/>
    <w:lvl w:ilvl="0">
      <w:lvlJc w:val="left"/>
      <w:lvlText w:val="(%1)"/>
      <w:numFmt w:val="decimal"/>
      <w:start w:val="8"/>
    </w:lvl>
  </w:abstractNum>
  <w:abstractNum w:abstractNumId="125">
    <w:nsid w:val="49D0FEAC"/>
    <w:multiLevelType w:val="hybridMultilevel"/>
    <w:lvl w:ilvl="0">
      <w:lvlJc w:val="left"/>
      <w:lvlText w:val="(%1)"/>
      <w:numFmt w:val="decimal"/>
      <w:start w:val="10"/>
    </w:lvl>
  </w:abstractNum>
  <w:abstractNum w:abstractNumId="126">
    <w:nsid w:val="4BEE5A5B"/>
    <w:multiLevelType w:val="hybridMultilevel"/>
    <w:lvl w:ilvl="0">
      <w:lvlJc w:val="left"/>
      <w:lvlText w:val="(%1)"/>
      <w:numFmt w:val="decimal"/>
      <w:start w:val="11"/>
    </w:lvl>
  </w:abstractNum>
  <w:abstractNum w:abstractNumId="127">
    <w:nsid w:val="5551B9F3"/>
    <w:multiLevelType w:val="hybridMultilevel"/>
    <w:lvl w:ilvl="0">
      <w:lvlJc w:val="left"/>
      <w:lvlText w:val="(%1)"/>
      <w:numFmt w:val="decimal"/>
      <w:start w:val="12"/>
    </w:lvl>
  </w:abstractNum>
  <w:abstractNum w:abstractNumId="128">
    <w:nsid w:val="24F6AB8E"/>
    <w:multiLevelType w:val="hybridMultilevel"/>
    <w:lvl w:ilvl="0">
      <w:lvlJc w:val="left"/>
      <w:lvlText w:val="(%1)"/>
      <w:numFmt w:val="decimal"/>
      <w:start w:val="13"/>
    </w:lvl>
  </w:abstractNum>
  <w:abstractNum w:abstractNumId="129">
    <w:nsid w:val="634C574C"/>
    <w:multiLevelType w:val="hybridMultilevel"/>
    <w:lvl w:ilvl="0">
      <w:lvlJc w:val="left"/>
      <w:lvlText w:val="(%1)"/>
      <w:numFmt w:val="decimal"/>
      <w:start w:val="14"/>
    </w:lvl>
  </w:abstractNum>
  <w:abstractNum w:abstractNumId="130">
    <w:nsid w:val="24E99DD7"/>
    <w:multiLevelType w:val="hybridMultilevel"/>
    <w:lvl w:ilvl="0">
      <w:lvlJc w:val="left"/>
      <w:lvlText w:val="%1."/>
      <w:numFmt w:val="decimal"/>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1."/>
      <w:numFmt w:val="decimal"/>
      <w:start w:val="2"/>
    </w:lvl>
    <w:lvl w:ilvl="1">
      <w:lvlJc w:val="left"/>
      <w:lvlText w:val="•"/>
      <w:numFmt w:val="bullet"/>
      <w:start w:val="1"/>
    </w:lvl>
  </w:abstractNum>
  <w:abstractNum w:abstractNumId="133">
    <w:nsid w:val="7DFF9D09"/>
    <w:multiLevelType w:val="hybridMultilevel"/>
    <w:lvl w:ilvl="0">
      <w:lvlJc w:val="left"/>
      <w:lvlText w:val="%1."/>
      <w:numFmt w:val="decimal"/>
      <w:start w:val="7"/>
    </w:lvl>
  </w:abstractNum>
  <w:abstractNum w:abstractNumId="134">
    <w:nsid w:val="754342"/>
    <w:multiLevelType w:val="hybridMultilevel"/>
    <w:lvl w:ilvl="0">
      <w:lvlJc w:val="left"/>
      <w:lvlText w:val="%1."/>
      <w:numFmt w:val="decimal"/>
      <w:start w:val="1"/>
    </w:lvl>
  </w:abstractNum>
  <w:abstractNum w:abstractNumId="135">
    <w:nsid w:val="69E7F3E5"/>
    <w:multiLevelType w:val="hybridMultilevel"/>
    <w:lvl w:ilvl="0">
      <w:lvlJc w:val="left"/>
      <w:lvlText w:val="n"/>
      <w:numFmt w:val="bullet"/>
      <w:start w:val="1"/>
    </w:lvl>
  </w:abstractNum>
  <w:abstractNum w:abstractNumId="136">
    <w:nsid w:val="2A6DE806"/>
    <w:multiLevelType w:val="hybridMultilevel"/>
    <w:lvl w:ilvl="0">
      <w:lvlJc w:val="left"/>
      <w:lvlText w:val="%1."/>
      <w:numFmt w:val="decimal"/>
      <w:start w:val="2"/>
    </w:lvl>
  </w:abstractNum>
  <w:abstractNum w:abstractNumId="137">
    <w:nsid w:val="1816F8C4"/>
    <w:multiLevelType w:val="hybridMultilevel"/>
    <w:lvl w:ilvl="0">
      <w:lvlJc w:val="left"/>
      <w:lvlText w:val="%1."/>
      <w:numFmt w:val="decimal"/>
      <w:start w:val="7"/>
    </w:lvl>
  </w:abstractNum>
  <w:abstractNum w:abstractNumId="138">
    <w:nsid w:val="37DF2233"/>
    <w:multiLevelType w:val="hybridMultilevel"/>
    <w:lvl w:ilvl="0">
      <w:lvlJc w:val="left"/>
      <w:lvlText w:val="(%1)"/>
      <w:numFmt w:val="decimal"/>
      <w:start w:val="12"/>
    </w:lvl>
  </w:abstractNum>
  <w:abstractNum w:abstractNumId="139">
    <w:nsid w:val="7AB49DAF"/>
    <w:multiLevelType w:val="hybridMultilevel"/>
    <w:lvl w:ilvl="0">
      <w:lvlJc w:val="left"/>
      <w:lvlText w:val="%1."/>
      <w:numFmt w:val="decimal"/>
      <w:start w:val="10"/>
    </w:lvl>
  </w:abstractNum>
  <w:abstractNum w:abstractNumId="140">
    <w:nsid w:val="759F82CD"/>
    <w:multiLevelType w:val="hybridMultilevel"/>
    <w:lvl w:ilvl="0">
      <w:lvlJc w:val="left"/>
      <w:lvlText w:val="%1."/>
      <w:numFmt w:val="decimal"/>
      <w:start w:val="11"/>
    </w:lvl>
  </w:abstractNum>
  <w:abstractNum w:abstractNumId="141">
    <w:nsid w:val="61E74EA3"/>
    <w:multiLevelType w:val="hybridMultilevel"/>
    <w:lvl w:ilvl="0">
      <w:lvlJc w:val="left"/>
      <w:lvlText w:val="n"/>
      <w:numFmt w:val="bullet"/>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n"/>
      <w:numFmt w:val="bullet"/>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2019-12-09T20:36:45Z</dcterms:created>
  <dcterms:modified xsi:type="dcterms:W3CDTF">2019-12-09T20:36:45Z</dcterms:modified>
</cp:coreProperties>
</file>