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46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46786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POLSON JACK E</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640" w:type="dxa"/>
            <w:vAlign w:val="bottom"/>
            <w:tcBorders>
              <w:top w:val="single" w:sz="8" w:color="0000EE"/>
              <w:bottom w:val="single" w:sz="8" w:color="9A9A9A"/>
            </w:tcBorders>
          </w:tcPr>
          <w:p>
            <w:pPr>
              <w:spacing w:after="0"/>
              <w:rPr>
                <w:sz w:val="15"/>
                <w:szCs w:val="15"/>
                <w:color w:val="auto"/>
              </w:rPr>
            </w:pPr>
          </w:p>
        </w:tc>
        <w:tc>
          <w:tcPr>
            <w:tcW w:w="15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10/31/2011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Acadia Healthcare Company,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ACHC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32"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534"/>
        <w:spacing w:after="0" w:line="268" w:lineRule="auto"/>
        <w:rPr>
          <w:sz w:val="20"/>
          <w:szCs w:val="20"/>
          <w:color w:val="auto"/>
        </w:rPr>
      </w:pPr>
      <w:r>
        <w:rPr>
          <w:rFonts w:ascii="Arial" w:cs="Arial" w:eastAsia="Arial" w:hAnsi="Arial"/>
          <w:sz w:val="18"/>
          <w:szCs w:val="18"/>
          <w:color w:val="0000FF"/>
        </w:rPr>
        <w:t>ACADIA HEALTHCARE COMPANY, INC.</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830 CRESCENT CENTRE DRIVE, SUITE</w:t>
      </w:r>
    </w:p>
    <w:p>
      <w:pPr>
        <w:spacing w:after="0" w:line="38"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610</w:t>
      </w:r>
    </w:p>
    <w:p>
      <w:pPr>
        <w:spacing w:after="0" w:line="29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780" w:type="dxa"/>
            <w:vAlign w:val="bottom"/>
          </w:tcPr>
          <w:p>
            <w:pPr>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4"/>
                <w:szCs w:val="14"/>
                <w:color w:val="auto"/>
              </w:rPr>
            </w:pPr>
          </w:p>
        </w:tc>
      </w:tr>
      <w:tr>
        <w:trPr>
          <w:trHeight w:val="242"/>
        </w:trPr>
        <w:tc>
          <w:tcPr>
            <w:tcW w:w="1780" w:type="dxa"/>
            <w:vAlign w:val="bottom"/>
          </w:tcPr>
          <w:p>
            <w:pPr>
              <w:ind w:left="40"/>
              <w:spacing w:after="0"/>
              <w:rPr>
                <w:sz w:val="20"/>
                <w:szCs w:val="20"/>
                <w:color w:val="auto"/>
              </w:rPr>
            </w:pPr>
            <w:r>
              <w:rPr>
                <w:rFonts w:ascii="Arial" w:cs="Arial" w:eastAsia="Arial" w:hAnsi="Arial"/>
                <w:sz w:val="18"/>
                <w:szCs w:val="18"/>
                <w:color w:val="0000FF"/>
              </w:rPr>
              <w:t>FRANKLIN  TN</w:t>
            </w:r>
          </w:p>
        </w:tc>
        <w:tc>
          <w:tcPr>
            <w:tcW w:w="860" w:type="dxa"/>
            <w:vAlign w:val="bottom"/>
          </w:tcPr>
          <w:p>
            <w:pPr>
              <w:jc w:val="right"/>
              <w:spacing w:after="0"/>
              <w:rPr>
                <w:sz w:val="20"/>
                <w:szCs w:val="20"/>
                <w:color w:val="auto"/>
              </w:rPr>
            </w:pPr>
            <w:r>
              <w:rPr>
                <w:rFonts w:ascii="Arial" w:cs="Arial" w:eastAsia="Arial" w:hAnsi="Arial"/>
                <w:sz w:val="18"/>
                <w:szCs w:val="18"/>
                <w:color w:val="0000FF"/>
              </w:rPr>
              <w:t>37067</w:t>
            </w:r>
          </w:p>
        </w:tc>
      </w:tr>
    </w:tbl>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6"/>
        <w:spacing w:after="0"/>
        <w:rPr>
          <w:sz w:val="20"/>
          <w:szCs w:val="20"/>
          <w:color w:val="auto"/>
        </w:rPr>
      </w:pPr>
      <w:r>
        <w:rPr>
          <w:rFonts w:ascii="Arial" w:cs="Arial" w:eastAsia="Arial" w:hAnsi="Arial"/>
          <w:sz w:val="18"/>
          <w:szCs w:val="18"/>
          <w:color w:val="0000FF"/>
        </w:rPr>
        <w:t>Chief Financial Officer</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92"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374"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4"/>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13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32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9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40" w:type="dxa"/>
            <w:vAlign w:val="bottom"/>
            <w:vMerge w:val="restart"/>
          </w:tcPr>
          <w:p>
            <w:pPr>
              <w:ind w:left="60"/>
              <w:spacing w:after="0"/>
              <w:rPr>
                <w:sz w:val="20"/>
                <w:szCs w:val="20"/>
                <w:color w:val="auto"/>
              </w:rPr>
            </w:pPr>
            <w:r>
              <w:rPr>
                <w:rFonts w:ascii="Arial" w:cs="Arial" w:eastAsia="Arial" w:hAnsi="Arial"/>
                <w:sz w:val="18"/>
                <w:szCs w:val="18"/>
                <w:color w:val="0000FF"/>
                <w:w w:val="91"/>
              </w:rPr>
              <w:t>Common stock, par value $0.01 per share</w:t>
            </w: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100" w:type="dxa"/>
            <w:vAlign w:val="bottom"/>
            <w:vMerge w:val="restart"/>
          </w:tcPr>
          <w:p>
            <w:pPr>
              <w:ind w:left="860"/>
              <w:spacing w:after="0"/>
              <w:rPr>
                <w:sz w:val="20"/>
                <w:szCs w:val="20"/>
                <w:color w:val="auto"/>
              </w:rPr>
            </w:pPr>
            <w:r>
              <w:rPr>
                <w:rFonts w:ascii="Arial" w:cs="Arial" w:eastAsia="Arial" w:hAnsi="Arial"/>
                <w:sz w:val="18"/>
                <w:szCs w:val="18"/>
                <w:color w:val="0000FF"/>
              </w:rPr>
              <w:t>292,452</w:t>
            </w:r>
          </w:p>
        </w:tc>
        <w:tc>
          <w:tcPr>
            <w:tcW w:w="920" w:type="dxa"/>
            <w:vAlign w:val="bottom"/>
            <w:vMerge w:val="restart"/>
          </w:tcPr>
          <w:p>
            <w:pPr>
              <w:ind w:left="580"/>
              <w:spacing w:after="0"/>
              <w:rPr>
                <w:sz w:val="20"/>
                <w:szCs w:val="20"/>
                <w:color w:val="auto"/>
              </w:rPr>
            </w:pPr>
            <w:r>
              <w:rPr>
                <w:rFonts w:ascii="Arial" w:cs="Arial" w:eastAsia="Arial" w:hAnsi="Arial"/>
                <w:sz w:val="35"/>
                <w:szCs w:val="35"/>
                <w:color w:val="0000FF"/>
                <w:w w:val="95"/>
                <w:vertAlign w:val="subscript"/>
              </w:rPr>
              <w:t>I</w:t>
            </w:r>
            <w:r>
              <w:rPr>
                <w:rFonts w:ascii="Arial" w:cs="Arial" w:eastAsia="Arial" w:hAnsi="Arial"/>
                <w:sz w:val="11"/>
                <w:szCs w:val="11"/>
                <w:color w:val="008000"/>
                <w:w w:val="95"/>
              </w:rPr>
              <w:t>(1)(2)</w:t>
            </w:r>
          </w:p>
        </w:tc>
        <w:tc>
          <w:tcPr>
            <w:tcW w:w="400" w:type="dxa"/>
            <w:vAlign w:val="bottom"/>
          </w:tcPr>
          <w:p>
            <w:pPr>
              <w:spacing w:after="0"/>
              <w:rPr>
                <w:sz w:val="22"/>
                <w:szCs w:val="22"/>
                <w:color w:val="auto"/>
              </w:rPr>
            </w:pPr>
          </w:p>
        </w:tc>
        <w:tc>
          <w:tcPr>
            <w:tcW w:w="3020" w:type="dxa"/>
            <w:vAlign w:val="bottom"/>
            <w:gridSpan w:val="4"/>
          </w:tcPr>
          <w:p>
            <w:pPr>
              <w:ind w:left="120"/>
              <w:spacing w:after="0"/>
              <w:rPr>
                <w:sz w:val="20"/>
                <w:szCs w:val="20"/>
                <w:color w:val="auto"/>
              </w:rPr>
            </w:pPr>
            <w:r>
              <w:rPr>
                <w:rFonts w:ascii="Arial" w:cs="Arial" w:eastAsia="Arial" w:hAnsi="Arial"/>
                <w:sz w:val="18"/>
                <w:szCs w:val="18"/>
                <w:color w:val="0000FF"/>
              </w:rPr>
              <w:t>Held directly by Acadia Healthcare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1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1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gridSpan w:val="2"/>
            <w:vMerge w:val="restart"/>
          </w:tcPr>
          <w:p>
            <w:pPr>
              <w:ind w:left="120"/>
              <w:spacing w:after="0"/>
              <w:rPr>
                <w:sz w:val="20"/>
                <w:szCs w:val="20"/>
                <w:color w:val="auto"/>
              </w:rPr>
            </w:pPr>
            <w:r>
              <w:rPr>
                <w:rFonts w:ascii="Arial" w:cs="Arial" w:eastAsia="Arial" w:hAnsi="Arial"/>
                <w:sz w:val="18"/>
                <w:szCs w:val="18"/>
                <w:color w:val="0000FF"/>
              </w:rPr>
              <w:t>Holdings, LLC</w:t>
            </w:r>
          </w:p>
        </w:tc>
        <w:tc>
          <w:tcPr>
            <w:tcW w:w="1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14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14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40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5240" w:type="dxa"/>
            <w:vAlign w:val="bottom"/>
            <w:gridSpan w:val="6"/>
          </w:tcPr>
          <w:p>
            <w:pPr>
              <w:ind w:left="1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14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440" w:type="dxa"/>
            <w:vAlign w:val="bottom"/>
          </w:tcPr>
          <w:p>
            <w:pPr>
              <w:spacing w:after="0"/>
              <w:rPr>
                <w:sz w:val="16"/>
                <w:szCs w:val="16"/>
                <w:color w:val="auto"/>
              </w:rPr>
            </w:pPr>
          </w:p>
        </w:tc>
        <w:tc>
          <w:tcPr>
            <w:tcW w:w="4400" w:type="dxa"/>
            <w:vAlign w:val="bottom"/>
            <w:gridSpan w:val="4"/>
          </w:tcPr>
          <w:p>
            <w:pPr>
              <w:ind w:left="60"/>
              <w:spacing w:after="0"/>
              <w:rPr>
                <w:sz w:val="20"/>
                <w:szCs w:val="20"/>
                <w:color w:val="auto"/>
              </w:rPr>
            </w:pPr>
            <w:r>
              <w:rPr>
                <w:rFonts w:ascii="Arial" w:cs="Arial" w:eastAsia="Arial" w:hAnsi="Arial"/>
                <w:sz w:val="14"/>
                <w:szCs w:val="14"/>
                <w:b w:val="1"/>
                <w:bCs w:val="1"/>
                <w:color w:val="auto"/>
              </w:rPr>
              <w:t>2. Date Exercisable and   3. Title and Amount of Securities</w:t>
            </w:r>
          </w:p>
        </w:tc>
        <w:tc>
          <w:tcPr>
            <w:tcW w:w="4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480" w:type="dxa"/>
            <w:vAlign w:val="bottom"/>
          </w:tcPr>
          <w:p>
            <w:pPr>
              <w:spacing w:after="0"/>
              <w:rPr>
                <w:sz w:val="16"/>
                <w:szCs w:val="16"/>
                <w:color w:val="auto"/>
              </w:rPr>
            </w:pP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3020" w:type="dxa"/>
            <w:vAlign w:val="bottom"/>
            <w:gridSpan w:val="2"/>
          </w:tcPr>
          <w:p>
            <w:pPr>
              <w:ind w:left="3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2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1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92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920" w:type="dxa"/>
            <w:vAlign w:val="bottom"/>
          </w:tcPr>
          <w:p>
            <w:pPr>
              <w:ind w:left="3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920" w:type="dxa"/>
            <w:vAlign w:val="bottom"/>
          </w:tcPr>
          <w:p>
            <w:pPr>
              <w:ind w:left="320"/>
              <w:spacing w:after="0" w:line="145" w:lineRule="exact"/>
              <w:rPr>
                <w:sz w:val="20"/>
                <w:szCs w:val="20"/>
                <w:color w:val="auto"/>
              </w:rPr>
            </w:pPr>
            <w:r>
              <w:rPr>
                <w:rFonts w:ascii="Arial" w:cs="Arial" w:eastAsia="Arial" w:hAnsi="Arial"/>
                <w:sz w:val="14"/>
                <w:szCs w:val="14"/>
                <w:b w:val="1"/>
                <w:bCs w:val="1"/>
                <w:color w:val="auto"/>
              </w:rPr>
              <w:t>Number</w:t>
            </w: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26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920" w:type="dxa"/>
            <w:vAlign w:val="bottom"/>
          </w:tcPr>
          <w:p>
            <w:pPr>
              <w:ind w:left="320"/>
              <w:spacing w:after="0" w:line="149" w:lineRule="exact"/>
              <w:rPr>
                <w:sz w:val="20"/>
                <w:szCs w:val="20"/>
                <w:color w:val="auto"/>
              </w:rPr>
            </w:pPr>
            <w:r>
              <w:rPr>
                <w:rFonts w:ascii="Arial" w:cs="Arial" w:eastAsia="Arial" w:hAnsi="Arial"/>
                <w:sz w:val="14"/>
                <w:szCs w:val="14"/>
                <w:b w:val="1"/>
                <w:bCs w:val="1"/>
                <w:color w:val="auto"/>
              </w:rPr>
              <w:t>of</w:t>
            </w: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5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2100" w:type="dxa"/>
            <w:vAlign w:val="bottom"/>
          </w:tcPr>
          <w:p>
            <w:pPr>
              <w:ind w:left="38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320"/>
              <w:spacing w:after="0"/>
              <w:rPr>
                <w:sz w:val="20"/>
                <w:szCs w:val="20"/>
                <w:color w:val="auto"/>
              </w:rPr>
            </w:pPr>
            <w:r>
              <w:rPr>
                <w:rFonts w:ascii="Arial" w:cs="Arial" w:eastAsia="Arial" w:hAnsi="Arial"/>
                <w:sz w:val="14"/>
                <w:szCs w:val="14"/>
                <w:b w:val="1"/>
                <w:bCs w:val="1"/>
                <w:color w:val="auto"/>
              </w:rPr>
              <w:t>Shares</w:t>
            </w: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Mr. Polson is an executive officer of Acadia Healthcare Holdings, LLC ("Holdings"). As a result, Mr. Polson may be deemed to have beneficial ownership of the reported securities.</w:t>
      </w:r>
    </w:p>
    <w:p>
      <w:pPr>
        <w:spacing w:after="0" w:line="41" w:lineRule="exact"/>
        <w:rPr>
          <w:rFonts w:ascii="Arial" w:cs="Arial" w:eastAsia="Arial" w:hAnsi="Arial"/>
          <w:sz w:val="14"/>
          <w:szCs w:val="14"/>
          <w:color w:val="008000"/>
        </w:rPr>
      </w:pPr>
    </w:p>
    <w:p>
      <w:pPr>
        <w:ind w:left="40" w:right="14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Holdings will distribute shares of Acadia Healthcare Company, Inc. common stock to its members, which include Mr. Polson, in respect of their ownership interests prior to the merger of Acadia Healthcare Company, Inc. and PHC, Inc. After such distribution, the reported shares will be owned of record by Mr. Polson.</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Jack E. Polson</w:t>
            </w: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10/31/2011</w:t>
            </w:r>
          </w:p>
        </w:tc>
      </w:tr>
      <w:tr>
        <w:trPr>
          <w:trHeight w:val="20"/>
        </w:trPr>
        <w:tc>
          <w:tcPr>
            <w:tcW w:w="12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43885" TargetMode="External"/><Relationship Id="rId12" Type="http://schemas.openxmlformats.org/officeDocument/2006/relationships/hyperlink" Target="http://www.sec.gov/cgi-bin/browse-edgar?action=getcompany&amp;CIK=00015206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2019-12-18T02:09:10Z</dcterms:created>
  <dcterms:modified xsi:type="dcterms:W3CDTF">2019-12-18T02:09:10Z</dcterms:modified>
</cp:coreProperties>
</file>