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39"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(Rule 14a-101)</w:t>
      </w:r>
    </w:p>
    <w:p>
      <w:pPr>
        <w:spacing w:after="0" w:line="182"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 INFORMATION</w:t>
      </w:r>
    </w:p>
    <w:p>
      <w:pPr>
        <w:spacing w:after="0" w:line="216" w:lineRule="exact"/>
        <w:rPr>
          <w:sz w:val="24"/>
          <w:szCs w:val="24"/>
          <w:color w:val="auto"/>
        </w:rPr>
      </w:pPr>
    </w:p>
    <w:tbl>
      <w:tblPr>
        <w:tblLayout w:type="fixed"/>
        <w:tblInd w:w="4" w:type="dxa"/>
        <w:tblCellMar>
          <w:top w:w="0" w:type="dxa"/>
          <w:left w:w="0" w:type="dxa"/>
          <w:bottom w:w="0" w:type="dxa"/>
          <w:right w:w="0" w:type="dxa"/>
        </w:tblCellMar>
      </w:tblPr>
      <w:tr>
        <w:trPr>
          <w:trHeight w:val="253"/>
        </w:trPr>
        <w:tc>
          <w:tcPr>
            <w:tcW w:w="2580" w:type="dxa"/>
            <w:vAlign w:val="bottom"/>
          </w:tcPr>
          <w:p>
            <w:pPr>
              <w:spacing w:after="0"/>
              <w:rPr>
                <w:sz w:val="21"/>
                <w:szCs w:val="21"/>
                <w:color w:val="auto"/>
              </w:rPr>
            </w:pPr>
          </w:p>
        </w:tc>
        <w:tc>
          <w:tcPr>
            <w:tcW w:w="5180" w:type="dxa"/>
            <w:vAlign w:val="bottom"/>
            <w:gridSpan w:val="4"/>
          </w:tcPr>
          <w:p>
            <w:pPr>
              <w:jc w:val="center"/>
              <w:ind w:left="577"/>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43"/>
        </w:trPr>
        <w:tc>
          <w:tcPr>
            <w:tcW w:w="2580" w:type="dxa"/>
            <w:vAlign w:val="bottom"/>
          </w:tcPr>
          <w:p>
            <w:pPr>
              <w:spacing w:after="0"/>
              <w:rPr>
                <w:sz w:val="21"/>
                <w:szCs w:val="21"/>
                <w:color w:val="auto"/>
              </w:rPr>
            </w:pPr>
          </w:p>
        </w:tc>
        <w:tc>
          <w:tcPr>
            <w:tcW w:w="5180" w:type="dxa"/>
            <w:vAlign w:val="bottom"/>
            <w:gridSpan w:val="4"/>
          </w:tcPr>
          <w:p>
            <w:pPr>
              <w:jc w:val="center"/>
              <w:ind w:left="557"/>
              <w:spacing w:after="0" w:line="243" w:lineRule="exact"/>
              <w:rPr>
                <w:sz w:val="20"/>
                <w:szCs w:val="20"/>
                <w:color w:val="auto"/>
              </w:rPr>
            </w:pPr>
            <w:r>
              <w:rPr>
                <w:rFonts w:ascii="Arial" w:cs="Arial" w:eastAsia="Arial" w:hAnsi="Arial"/>
                <w:sz w:val="22"/>
                <w:szCs w:val="22"/>
                <w:b w:val="1"/>
                <w:bCs w:val="1"/>
                <w:color w:val="auto"/>
                <w:w w:val="87"/>
              </w:rPr>
              <w:t>Securities Exchange Act of 1934</w:t>
            </w:r>
          </w:p>
        </w:tc>
      </w:tr>
      <w:tr>
        <w:trPr>
          <w:trHeight w:val="280"/>
        </w:trPr>
        <w:tc>
          <w:tcPr>
            <w:tcW w:w="2580" w:type="dxa"/>
            <w:vAlign w:val="bottom"/>
          </w:tcPr>
          <w:p>
            <w:pPr>
              <w:spacing w:after="0"/>
              <w:rPr>
                <w:sz w:val="24"/>
                <w:szCs w:val="24"/>
                <w:color w:val="auto"/>
              </w:rPr>
            </w:pPr>
          </w:p>
        </w:tc>
        <w:tc>
          <w:tcPr>
            <w:tcW w:w="3620" w:type="dxa"/>
            <w:vAlign w:val="bottom"/>
            <w:gridSpan w:val="2"/>
          </w:tcPr>
          <w:p>
            <w:pPr>
              <w:ind w:left="1740"/>
              <w:spacing w:after="0"/>
              <w:rPr>
                <w:sz w:val="20"/>
                <w:szCs w:val="20"/>
                <w:color w:val="auto"/>
              </w:rPr>
            </w:pPr>
            <w:r>
              <w:rPr>
                <w:rFonts w:ascii="Arial" w:cs="Arial" w:eastAsia="Arial" w:hAnsi="Arial"/>
                <w:sz w:val="22"/>
                <w:szCs w:val="22"/>
                <w:b w:val="1"/>
                <w:bCs w:val="1"/>
                <w:color w:val="auto"/>
              </w:rPr>
              <w:t>(Amendment No.</w:t>
            </w:r>
          </w:p>
        </w:tc>
        <w:tc>
          <w:tcPr>
            <w:tcW w:w="1560" w:type="dxa"/>
            <w:vAlign w:val="bottom"/>
            <w:gridSpan w:val="2"/>
          </w:tcPr>
          <w:p>
            <w:pPr>
              <w:jc w:val="right"/>
              <w:ind w:right="1080"/>
              <w:spacing w:after="0"/>
              <w:rPr>
                <w:sz w:val="20"/>
                <w:szCs w:val="20"/>
                <w:color w:val="auto"/>
              </w:rPr>
            </w:pPr>
            <w:r>
              <w:rPr>
                <w:rFonts w:ascii="Arial" w:cs="Arial" w:eastAsia="Arial" w:hAnsi="Arial"/>
                <w:sz w:val="22"/>
                <w:szCs w:val="22"/>
                <w:b w:val="1"/>
                <w:bCs w:val="1"/>
                <w:color w:val="auto"/>
              </w:rPr>
              <w:t>)</w:t>
            </w:r>
          </w:p>
        </w:tc>
      </w:tr>
      <w:tr>
        <w:trPr>
          <w:trHeight w:val="354"/>
        </w:trPr>
        <w:tc>
          <w:tcPr>
            <w:tcW w:w="2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446"/>
        </w:trPr>
        <w:tc>
          <w:tcPr>
            <w:tcW w:w="258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3620" w:type="dxa"/>
            <w:vAlign w:val="bottom"/>
            <w:gridSpan w:val="2"/>
          </w:tcPr>
          <w:p>
            <w:pPr>
              <w:ind w:left="620"/>
              <w:spacing w:after="0"/>
              <w:rPr>
                <w:sz w:val="20"/>
                <w:szCs w:val="20"/>
                <w:color w:val="auto"/>
              </w:rPr>
            </w:pPr>
            <w:r>
              <w:rPr>
                <w:rFonts w:ascii="Arial" w:cs="Arial" w:eastAsia="Arial" w:hAnsi="Arial"/>
                <w:sz w:val="18"/>
                <w:szCs w:val="18"/>
                <w:color w:val="auto"/>
                <w:w w:val="90"/>
              </w:rPr>
              <w:t>Filed by a Party other than the Registrant</w:t>
            </w:r>
          </w:p>
        </w:tc>
        <w:tc>
          <w:tcPr>
            <w:tcW w:w="1560" w:type="dxa"/>
            <w:vAlign w:val="bottom"/>
            <w:gridSpan w:val="2"/>
          </w:tcPr>
          <w:p>
            <w:pPr>
              <w:jc w:val="right"/>
              <w:ind w:right="1340"/>
              <w:spacing w:after="0" w:line="181" w:lineRule="exact"/>
              <w:rPr>
                <w:sz w:val="20"/>
                <w:szCs w:val="20"/>
                <w:color w:val="auto"/>
              </w:rPr>
            </w:pPr>
            <w:r>
              <w:rPr>
                <w:rFonts w:ascii="MS PGothic" w:cs="MS PGothic" w:eastAsia="MS PGothic" w:hAnsi="MS PGothic"/>
                <w:sz w:val="18"/>
                <w:szCs w:val="18"/>
                <w:color w:val="auto"/>
              </w:rPr>
              <w:t>☐</w:t>
            </w:r>
          </w:p>
        </w:tc>
      </w:tr>
      <w:tr>
        <w:trPr>
          <w:trHeight w:val="304"/>
        </w:trPr>
        <w:tc>
          <w:tcPr>
            <w:tcW w:w="2580" w:type="dxa"/>
            <w:vAlign w:val="bottom"/>
          </w:tcPr>
          <w:p>
            <w:pPr>
              <w:spacing w:after="0"/>
              <w:rPr>
                <w:sz w:val="20"/>
                <w:szCs w:val="20"/>
                <w:color w:val="auto"/>
              </w:rPr>
            </w:pPr>
            <w:r>
              <w:rPr>
                <w:rFonts w:ascii="Arial" w:cs="Arial" w:eastAsia="Arial" w:hAnsi="Arial"/>
                <w:sz w:val="18"/>
                <w:szCs w:val="18"/>
                <w:color w:val="auto"/>
              </w:rPr>
              <w:t>Check the appropriate box:</w:t>
            </w:r>
          </w:p>
        </w:tc>
        <w:tc>
          <w:tcPr>
            <w:tcW w:w="17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107"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12" w:lineRule="exact"/>
        <w:rPr>
          <w:sz w:val="24"/>
          <w:szCs w:val="24"/>
          <w:color w:val="auto"/>
        </w:rPr>
      </w:pPr>
    </w:p>
    <w:p>
      <w:pPr>
        <w:jc w:val="center"/>
        <w:ind w:right="-103"/>
        <w:spacing w:after="0"/>
        <w:rPr>
          <w:sz w:val="20"/>
          <w:szCs w:val="20"/>
          <w:color w:val="auto"/>
        </w:rPr>
      </w:pPr>
      <w:r>
        <w:rPr>
          <w:rFonts w:ascii="Arial" w:cs="Arial" w:eastAsia="Arial" w:hAnsi="Arial"/>
          <w:sz w:val="43"/>
          <w:szCs w:val="43"/>
          <w:b w:val="1"/>
          <w:bCs w:val="1"/>
          <w:color w:val="auto"/>
        </w:rPr>
        <w:t>ACADIA HEALTHCARE COMPANY, INC.</w:t>
      </w:r>
    </w:p>
    <w:p>
      <w:pPr>
        <w:spacing w:after="0" w:line="50"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-3088005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-2642235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-1613535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-1167765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04"/>
          </w:cols>
          <w:pgMar w:left="436" w:top="517" w:right="559" w:bottom="470"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-584835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43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
        <w:spacing w:after="0"/>
        <w:rPr>
          <w:sz w:val="20"/>
          <w:szCs w:val="20"/>
          <w:color w:val="auto"/>
        </w:rPr>
      </w:pPr>
      <w:r>
        <w:rPr>
          <w:rFonts w:ascii="Arial" w:cs="Arial" w:eastAsia="Arial" w:hAnsi="Arial"/>
          <w:sz w:val="27"/>
          <w:szCs w:val="27"/>
          <w:color w:val="004878"/>
        </w:rPr>
        <w:t>You invested in ACADIA HEALTHCARE COMPANY, INC. and it’s time to vote!</w:t>
      </w:r>
    </w:p>
    <w:p>
      <w:pPr>
        <w:spacing w:after="0" w:line="1" w:lineRule="exact"/>
        <w:rPr>
          <w:sz w:val="20"/>
          <w:szCs w:val="20"/>
          <w:color w:val="auto"/>
        </w:rPr>
      </w:pPr>
    </w:p>
    <w:p>
      <w:pPr>
        <w:ind w:left="4" w:right="200"/>
        <w:spacing w:after="0" w:line="246" w:lineRule="auto"/>
        <w:rPr>
          <w:sz w:val="20"/>
          <w:szCs w:val="20"/>
          <w:color w:val="auto"/>
        </w:rPr>
      </w:pPr>
      <w:r>
        <w:rPr>
          <w:rFonts w:ascii="Arial" w:cs="Arial" w:eastAsia="Arial" w:hAnsi="Arial"/>
          <w:sz w:val="18"/>
          <w:szCs w:val="18"/>
          <w:color w:val="004878"/>
        </w:rPr>
        <w:t xml:space="preserve">You have the right to vote on proposals being presented at the Annual Meeting. </w:t>
      </w:r>
      <w:r>
        <w:rPr>
          <w:rFonts w:ascii="Arial" w:cs="Arial" w:eastAsia="Arial" w:hAnsi="Arial"/>
          <w:sz w:val="18"/>
          <w:szCs w:val="18"/>
          <w:b w:val="1"/>
          <w:bCs w:val="1"/>
          <w:color w:val="004878"/>
        </w:rPr>
        <w:t>This is an important notice regarding the availability</w:t>
      </w:r>
      <w:r>
        <w:rPr>
          <w:rFonts w:ascii="Arial" w:cs="Arial" w:eastAsia="Arial" w:hAnsi="Arial"/>
          <w:sz w:val="18"/>
          <w:szCs w:val="18"/>
          <w:color w:val="004878"/>
        </w:rPr>
        <w:t xml:space="preserve"> </w:t>
      </w:r>
      <w:r>
        <w:rPr>
          <w:rFonts w:ascii="Arial" w:cs="Arial" w:eastAsia="Arial" w:hAnsi="Arial"/>
          <w:sz w:val="18"/>
          <w:szCs w:val="18"/>
          <w:b w:val="1"/>
          <w:bCs w:val="1"/>
          <w:color w:val="004878"/>
        </w:rPr>
        <w:t>of proxy materials for the stockholder meeting to be held on May 6, 2021.</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27"/>
          <w:szCs w:val="27"/>
          <w:color w:val="004878"/>
        </w:rPr>
        <w:t>Get informed before you vote</w:t>
      </w:r>
    </w:p>
    <w:p>
      <w:pPr>
        <w:spacing w:after="0" w:line="1" w:lineRule="exact"/>
        <w:rPr>
          <w:sz w:val="20"/>
          <w:szCs w:val="20"/>
          <w:color w:val="auto"/>
        </w:rPr>
      </w:pPr>
    </w:p>
    <w:p>
      <w:pPr>
        <w:ind w:left="4" w:right="120"/>
        <w:spacing w:after="0" w:line="248" w:lineRule="auto"/>
        <w:rPr>
          <w:sz w:val="20"/>
          <w:szCs w:val="20"/>
          <w:color w:val="auto"/>
        </w:rPr>
      </w:pPr>
      <w:r>
        <w:rPr>
          <w:rFonts w:ascii="Arial" w:cs="Arial" w:eastAsia="Arial" w:hAnsi="Arial"/>
          <w:sz w:val="17"/>
          <w:szCs w:val="17"/>
          <w:color w:val="004878"/>
        </w:rPr>
        <w:t>View the Notice and Proxy Statement and Annual Report online OR you can receive a free paper or email copy of the materials by requesting prior to April 22, 2021. If you would like to request a copy of the materials for this and/or future shareholder meetings, you may</w:t>
      </w:r>
    </w:p>
    <w:p>
      <w:pPr>
        <w:spacing w:after="0" w:line="1" w:lineRule="exact"/>
        <w:rPr>
          <w:sz w:val="20"/>
          <w:szCs w:val="20"/>
          <w:color w:val="auto"/>
        </w:rPr>
      </w:pPr>
    </w:p>
    <w:p>
      <w:pPr>
        <w:ind w:left="4" w:right="200" w:hanging="4"/>
        <w:spacing w:after="0" w:line="274" w:lineRule="auto"/>
        <w:tabs>
          <w:tab w:leader="none" w:pos="274" w:val="left"/>
        </w:tabs>
        <w:numPr>
          <w:ilvl w:val="0"/>
          <w:numId w:val="7"/>
        </w:numPr>
        <w:rPr>
          <w:rFonts w:ascii="Arial" w:cs="Arial" w:eastAsia="Arial" w:hAnsi="Arial"/>
          <w:sz w:val="17"/>
          <w:szCs w:val="17"/>
          <w:color w:val="004878"/>
        </w:rPr>
      </w:pPr>
      <w:r>
        <w:rPr>
          <w:rFonts w:ascii="Arial" w:cs="Arial" w:eastAsia="Arial" w:hAnsi="Arial"/>
          <w:sz w:val="17"/>
          <w:szCs w:val="17"/>
          <w:color w:val="004878"/>
        </w:rPr>
        <w:t>visit www.proxyvote.com, (2) call 1-800-579-1639 or (3) send an email to sendmaterial@proxyvote.com. If sending an email, please include your control number (indicated below) in the subject line. Unless requested, you will not otherwise receive a paper or email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6583680" cy="788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8368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4" w:type="dxa"/>
        <w:tblCellMar>
          <w:top w:w="0" w:type="dxa"/>
          <w:left w:w="0" w:type="dxa"/>
          <w:bottom w:w="0" w:type="dxa"/>
          <w:right w:w="0" w:type="dxa"/>
        </w:tblCellMar>
      </w:tblPr>
      <w:tr>
        <w:trPr>
          <w:trHeight w:val="32"/>
        </w:trPr>
        <w:tc>
          <w:tcPr>
            <w:tcW w:w="4980" w:type="dxa"/>
            <w:vAlign w:val="bottom"/>
            <w:vMerge w:val="restart"/>
          </w:tcPr>
          <w:p>
            <w:pPr>
              <w:jc w:val="center"/>
              <w:spacing w:after="0"/>
              <w:rPr>
                <w:sz w:val="20"/>
                <w:szCs w:val="20"/>
                <w:color w:val="auto"/>
              </w:rPr>
            </w:pPr>
            <w:r>
              <w:rPr>
                <w:rFonts w:ascii="Arial" w:cs="Arial" w:eastAsia="Arial" w:hAnsi="Arial"/>
                <w:sz w:val="22"/>
                <w:szCs w:val="22"/>
                <w:b w:val="1"/>
                <w:bCs w:val="1"/>
                <w:color w:val="004878"/>
                <w:w w:val="98"/>
              </w:rPr>
              <w:t>Smartphone users</w:t>
            </w:r>
          </w:p>
        </w:tc>
        <w:tc>
          <w:tcPr>
            <w:tcW w:w="20" w:type="dxa"/>
            <w:vAlign w:val="bottom"/>
          </w:tcPr>
          <w:p>
            <w:pPr>
              <w:spacing w:after="0"/>
              <w:rPr>
                <w:sz w:val="2"/>
                <w:szCs w:val="2"/>
                <w:color w:val="auto"/>
              </w:rPr>
            </w:pPr>
          </w:p>
        </w:tc>
        <w:tc>
          <w:tcPr>
            <w:tcW w:w="6020" w:type="dxa"/>
            <w:vAlign w:val="bottom"/>
            <w:vMerge w:val="restart"/>
          </w:tcPr>
          <w:p>
            <w:pPr>
              <w:ind w:left="1940"/>
              <w:spacing w:after="0"/>
              <w:rPr>
                <w:sz w:val="20"/>
                <w:szCs w:val="20"/>
                <w:color w:val="auto"/>
              </w:rPr>
            </w:pPr>
            <w:r>
              <w:rPr>
                <w:rFonts w:ascii="Arial" w:cs="Arial" w:eastAsia="Arial" w:hAnsi="Arial"/>
                <w:sz w:val="22"/>
                <w:szCs w:val="22"/>
                <w:b w:val="1"/>
                <w:bCs w:val="1"/>
                <w:color w:val="004878"/>
              </w:rPr>
              <w:t>Vote Virtually at the Meeting*</w:t>
            </w:r>
          </w:p>
        </w:tc>
        <w:tc>
          <w:tcPr>
            <w:tcW w:w="0" w:type="dxa"/>
            <w:vAlign w:val="bottom"/>
          </w:tcPr>
          <w:p>
            <w:pPr>
              <w:spacing w:after="0" w:line="20" w:lineRule="exact"/>
              <w:rPr>
                <w:sz w:val="1"/>
                <w:szCs w:val="1"/>
                <w:color w:val="auto"/>
              </w:rPr>
            </w:pPr>
          </w:p>
        </w:tc>
      </w:tr>
      <w:tr>
        <w:trPr>
          <w:trHeight w:val="245"/>
        </w:trPr>
        <w:tc>
          <w:tcPr>
            <w:tcW w:w="4980" w:type="dxa"/>
            <w:vAlign w:val="bottom"/>
            <w:vMerge w:val="continue"/>
          </w:tcPr>
          <w:p>
            <w:pPr>
              <w:spacing w:after="0"/>
              <w:rPr>
                <w:sz w:val="21"/>
                <w:szCs w:val="21"/>
                <w:color w:val="auto"/>
              </w:rPr>
            </w:pPr>
          </w:p>
        </w:tc>
        <w:tc>
          <w:tcPr>
            <w:tcW w:w="20" w:type="dxa"/>
            <w:vAlign w:val="bottom"/>
            <w:shd w:val="clear" w:color="auto" w:fill="007BB6"/>
          </w:tcPr>
          <w:p>
            <w:pPr>
              <w:spacing w:after="0"/>
              <w:rPr>
                <w:sz w:val="21"/>
                <w:szCs w:val="21"/>
                <w:color w:val="auto"/>
              </w:rPr>
            </w:pPr>
          </w:p>
        </w:tc>
        <w:tc>
          <w:tcPr>
            <w:tcW w:w="6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980" w:type="dxa"/>
            <w:vAlign w:val="bottom"/>
            <w:vMerge w:val="restart"/>
          </w:tcPr>
          <w:p>
            <w:pPr>
              <w:jc w:val="center"/>
              <w:spacing w:after="0"/>
              <w:rPr>
                <w:sz w:val="20"/>
                <w:szCs w:val="20"/>
                <w:color w:val="auto"/>
              </w:rPr>
            </w:pPr>
            <w:r>
              <w:rPr>
                <w:rFonts w:ascii="Arial" w:cs="Arial" w:eastAsia="Arial" w:hAnsi="Arial"/>
                <w:sz w:val="22"/>
                <w:szCs w:val="22"/>
                <w:color w:val="004878"/>
                <w:w w:val="97"/>
              </w:rPr>
              <w:t>Point your camera here and</w:t>
            </w:r>
          </w:p>
        </w:tc>
        <w:tc>
          <w:tcPr>
            <w:tcW w:w="20" w:type="dxa"/>
            <w:vAlign w:val="bottom"/>
            <w:shd w:val="clear" w:color="auto" w:fill="007BB6"/>
          </w:tcPr>
          <w:p>
            <w:pPr>
              <w:spacing w:after="0"/>
              <w:rPr>
                <w:sz w:val="16"/>
                <w:szCs w:val="16"/>
                <w:color w:val="auto"/>
              </w:rPr>
            </w:pPr>
          </w:p>
        </w:tc>
        <w:tc>
          <w:tcPr>
            <w:tcW w:w="6020" w:type="dxa"/>
            <w:vAlign w:val="bottom"/>
          </w:tcPr>
          <w:p>
            <w:pPr>
              <w:ind w:left="1940"/>
              <w:spacing w:after="0"/>
              <w:rPr>
                <w:sz w:val="20"/>
                <w:szCs w:val="20"/>
                <w:color w:val="auto"/>
              </w:rPr>
            </w:pPr>
            <w:r>
              <w:rPr>
                <w:rFonts w:ascii="Arial" w:cs="Arial" w:eastAsia="Arial" w:hAnsi="Arial"/>
                <w:sz w:val="16"/>
                <w:szCs w:val="16"/>
                <w:color w:val="004878"/>
              </w:rPr>
              <w:t>May 6, 2021</w:t>
            </w:r>
          </w:p>
        </w:tc>
        <w:tc>
          <w:tcPr>
            <w:tcW w:w="0" w:type="dxa"/>
            <w:vAlign w:val="bottom"/>
          </w:tcPr>
          <w:p>
            <w:pPr>
              <w:spacing w:after="0"/>
              <w:rPr>
                <w:sz w:val="1"/>
                <w:szCs w:val="1"/>
                <w:color w:val="auto"/>
              </w:rPr>
            </w:pPr>
          </w:p>
        </w:tc>
      </w:tr>
      <w:tr>
        <w:trPr>
          <w:trHeight w:val="167"/>
        </w:trPr>
        <w:tc>
          <w:tcPr>
            <w:tcW w:w="4980" w:type="dxa"/>
            <w:vAlign w:val="bottom"/>
            <w:vMerge w:val="continue"/>
          </w:tcPr>
          <w:p>
            <w:pPr>
              <w:spacing w:after="0"/>
              <w:rPr>
                <w:sz w:val="14"/>
                <w:szCs w:val="14"/>
                <w:color w:val="auto"/>
              </w:rPr>
            </w:pPr>
          </w:p>
        </w:tc>
        <w:tc>
          <w:tcPr>
            <w:tcW w:w="20" w:type="dxa"/>
            <w:vAlign w:val="bottom"/>
            <w:shd w:val="clear" w:color="auto" w:fill="007BB6"/>
          </w:tcPr>
          <w:p>
            <w:pPr>
              <w:spacing w:after="0"/>
              <w:rPr>
                <w:sz w:val="14"/>
                <w:szCs w:val="14"/>
                <w:color w:val="auto"/>
              </w:rPr>
            </w:pPr>
          </w:p>
        </w:tc>
        <w:tc>
          <w:tcPr>
            <w:tcW w:w="6020" w:type="dxa"/>
            <w:vAlign w:val="bottom"/>
          </w:tcPr>
          <w:p>
            <w:pPr>
              <w:ind w:left="1940"/>
              <w:spacing w:after="0" w:line="168" w:lineRule="exact"/>
              <w:rPr>
                <w:sz w:val="20"/>
                <w:szCs w:val="20"/>
                <w:color w:val="auto"/>
              </w:rPr>
            </w:pPr>
            <w:r>
              <w:rPr>
                <w:rFonts w:ascii="Arial" w:cs="Arial" w:eastAsia="Arial" w:hAnsi="Arial"/>
                <w:sz w:val="16"/>
                <w:szCs w:val="16"/>
                <w:color w:val="004878"/>
              </w:rPr>
              <w:t>9:00 a.m. (Central Time)</w:t>
            </w:r>
          </w:p>
        </w:tc>
        <w:tc>
          <w:tcPr>
            <w:tcW w:w="0" w:type="dxa"/>
            <w:vAlign w:val="bottom"/>
          </w:tcPr>
          <w:p>
            <w:pPr>
              <w:spacing w:after="0"/>
              <w:rPr>
                <w:sz w:val="1"/>
                <w:szCs w:val="1"/>
                <w:color w:val="auto"/>
              </w:rPr>
            </w:pPr>
          </w:p>
        </w:tc>
      </w:tr>
      <w:tr>
        <w:trPr>
          <w:trHeight w:val="243"/>
        </w:trPr>
        <w:tc>
          <w:tcPr>
            <w:tcW w:w="4980" w:type="dxa"/>
            <w:vAlign w:val="bottom"/>
          </w:tcPr>
          <w:p>
            <w:pPr>
              <w:jc w:val="center"/>
              <w:spacing w:after="0" w:line="243" w:lineRule="exact"/>
              <w:rPr>
                <w:sz w:val="20"/>
                <w:szCs w:val="20"/>
                <w:color w:val="auto"/>
              </w:rPr>
            </w:pPr>
            <w:r>
              <w:rPr>
                <w:rFonts w:ascii="Arial" w:cs="Arial" w:eastAsia="Arial" w:hAnsi="Arial"/>
                <w:sz w:val="22"/>
                <w:szCs w:val="22"/>
                <w:color w:val="004878"/>
                <w:w w:val="98"/>
              </w:rPr>
              <w:t>vote without entering a</w:t>
            </w:r>
          </w:p>
        </w:tc>
        <w:tc>
          <w:tcPr>
            <w:tcW w:w="20" w:type="dxa"/>
            <w:vAlign w:val="bottom"/>
            <w:shd w:val="clear" w:color="auto" w:fill="007BB6"/>
          </w:tcPr>
          <w:p>
            <w:pPr>
              <w:spacing w:after="0"/>
              <w:rPr>
                <w:sz w:val="21"/>
                <w:szCs w:val="21"/>
                <w:color w:val="auto"/>
              </w:rPr>
            </w:pPr>
          </w:p>
        </w:tc>
        <w:tc>
          <w:tcPr>
            <w:tcW w:w="6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980" w:type="dxa"/>
            <w:vAlign w:val="bottom"/>
          </w:tcPr>
          <w:p>
            <w:pPr>
              <w:jc w:val="center"/>
              <w:spacing w:after="0"/>
              <w:rPr>
                <w:sz w:val="20"/>
                <w:szCs w:val="20"/>
                <w:color w:val="auto"/>
              </w:rPr>
            </w:pPr>
            <w:r>
              <w:rPr>
                <w:rFonts w:ascii="Arial" w:cs="Arial" w:eastAsia="Arial" w:hAnsi="Arial"/>
                <w:sz w:val="22"/>
                <w:szCs w:val="22"/>
                <w:color w:val="004878"/>
                <w:w w:val="98"/>
              </w:rPr>
              <w:t>control number</w:t>
            </w:r>
          </w:p>
        </w:tc>
        <w:tc>
          <w:tcPr>
            <w:tcW w:w="20" w:type="dxa"/>
            <w:vAlign w:val="bottom"/>
            <w:shd w:val="clear" w:color="auto" w:fill="007BB6"/>
          </w:tcPr>
          <w:p>
            <w:pPr>
              <w:spacing w:after="0"/>
              <w:rPr>
                <w:sz w:val="22"/>
                <w:szCs w:val="22"/>
                <w:color w:val="auto"/>
              </w:rPr>
            </w:pPr>
          </w:p>
        </w:tc>
        <w:tc>
          <w:tcPr>
            <w:tcW w:w="6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4980" w:type="dxa"/>
            <w:vAlign w:val="bottom"/>
          </w:tcPr>
          <w:p>
            <w:pPr>
              <w:spacing w:after="0"/>
              <w:rPr>
                <w:sz w:val="16"/>
                <w:szCs w:val="16"/>
                <w:color w:val="auto"/>
              </w:rPr>
            </w:pPr>
          </w:p>
        </w:tc>
        <w:tc>
          <w:tcPr>
            <w:tcW w:w="20" w:type="dxa"/>
            <w:vAlign w:val="bottom"/>
            <w:shd w:val="clear" w:color="auto" w:fill="007BB6"/>
          </w:tcPr>
          <w:p>
            <w:pPr>
              <w:spacing w:after="0"/>
              <w:rPr>
                <w:sz w:val="16"/>
                <w:szCs w:val="16"/>
                <w:color w:val="auto"/>
              </w:rPr>
            </w:pPr>
          </w:p>
        </w:tc>
        <w:tc>
          <w:tcPr>
            <w:tcW w:w="6020" w:type="dxa"/>
            <w:vAlign w:val="bottom"/>
          </w:tcPr>
          <w:p>
            <w:pPr>
              <w:ind w:left="640"/>
              <w:spacing w:after="0"/>
              <w:rPr>
                <w:sz w:val="20"/>
                <w:szCs w:val="20"/>
                <w:color w:val="auto"/>
              </w:rPr>
            </w:pPr>
            <w:r>
              <w:rPr>
                <w:rFonts w:ascii="Arial" w:cs="Arial" w:eastAsia="Arial" w:hAnsi="Arial"/>
                <w:sz w:val="16"/>
                <w:szCs w:val="16"/>
                <w:color w:val="004878"/>
              </w:rPr>
              <w:t>Virtually at:</w:t>
            </w:r>
          </w:p>
        </w:tc>
        <w:tc>
          <w:tcPr>
            <w:tcW w:w="0" w:type="dxa"/>
            <w:vAlign w:val="bottom"/>
          </w:tcPr>
          <w:p>
            <w:pPr>
              <w:spacing w:after="0"/>
              <w:rPr>
                <w:sz w:val="1"/>
                <w:szCs w:val="1"/>
                <w:color w:val="auto"/>
              </w:rPr>
            </w:pPr>
          </w:p>
        </w:tc>
      </w:tr>
      <w:tr>
        <w:trPr>
          <w:trHeight w:val="195"/>
        </w:trPr>
        <w:tc>
          <w:tcPr>
            <w:tcW w:w="4980" w:type="dxa"/>
            <w:vAlign w:val="bottom"/>
          </w:tcPr>
          <w:p>
            <w:pPr>
              <w:spacing w:after="0"/>
              <w:rPr>
                <w:sz w:val="16"/>
                <w:szCs w:val="16"/>
                <w:color w:val="auto"/>
              </w:rPr>
            </w:pPr>
          </w:p>
        </w:tc>
        <w:tc>
          <w:tcPr>
            <w:tcW w:w="20" w:type="dxa"/>
            <w:vAlign w:val="bottom"/>
            <w:shd w:val="clear" w:color="auto" w:fill="007BB6"/>
          </w:tcPr>
          <w:p>
            <w:pPr>
              <w:spacing w:after="0"/>
              <w:rPr>
                <w:sz w:val="16"/>
                <w:szCs w:val="16"/>
                <w:color w:val="auto"/>
              </w:rPr>
            </w:pPr>
          </w:p>
        </w:tc>
        <w:tc>
          <w:tcPr>
            <w:tcW w:w="6020" w:type="dxa"/>
            <w:vAlign w:val="bottom"/>
          </w:tcPr>
          <w:p>
            <w:pPr>
              <w:ind w:left="640"/>
              <w:spacing w:after="0"/>
              <w:rPr>
                <w:sz w:val="20"/>
                <w:szCs w:val="20"/>
                <w:color w:val="auto"/>
              </w:rPr>
            </w:pPr>
            <w:r>
              <w:rPr>
                <w:rFonts w:ascii="Arial" w:cs="Arial" w:eastAsia="Arial" w:hAnsi="Arial"/>
                <w:sz w:val="16"/>
                <w:szCs w:val="16"/>
                <w:color w:val="004878"/>
              </w:rPr>
              <w:t>www.virtualshareholdermeeting.com/ACHC2021</w:t>
            </w:r>
          </w:p>
        </w:tc>
        <w:tc>
          <w:tcPr>
            <w:tcW w:w="0" w:type="dxa"/>
            <w:vAlign w:val="bottom"/>
          </w:tcPr>
          <w:p>
            <w:pPr>
              <w:spacing w:after="0"/>
              <w:rPr>
                <w:sz w:val="1"/>
                <w:szCs w:val="1"/>
                <w:color w:val="auto"/>
              </w:rPr>
            </w:pPr>
          </w:p>
        </w:tc>
      </w:tr>
      <w:tr>
        <w:trPr>
          <w:trHeight w:val="505"/>
        </w:trPr>
        <w:tc>
          <w:tcPr>
            <w:tcW w:w="4980" w:type="dxa"/>
            <w:vAlign w:val="bottom"/>
          </w:tcPr>
          <w:p>
            <w:pPr>
              <w:spacing w:after="0"/>
              <w:rPr>
                <w:sz w:val="24"/>
                <w:szCs w:val="24"/>
                <w:color w:val="auto"/>
              </w:rPr>
            </w:pPr>
          </w:p>
        </w:tc>
        <w:tc>
          <w:tcPr>
            <w:tcW w:w="20" w:type="dxa"/>
            <w:vAlign w:val="bottom"/>
            <w:shd w:val="clear" w:color="auto" w:fill="007BB6"/>
          </w:tcPr>
          <w:p>
            <w:pPr>
              <w:spacing w:after="0"/>
              <w:rPr>
                <w:sz w:val="24"/>
                <w:szCs w:val="24"/>
                <w:color w:val="auto"/>
              </w:rPr>
            </w:pP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980" w:type="dxa"/>
            <w:vAlign w:val="bottom"/>
            <w:tcBorders>
              <w:bottom w:val="single" w:sz="8" w:color="007BB6"/>
            </w:tcBorders>
          </w:tcPr>
          <w:p>
            <w:pPr>
              <w:spacing w:after="0"/>
              <w:rPr>
                <w:sz w:val="24"/>
                <w:szCs w:val="24"/>
                <w:color w:val="auto"/>
              </w:rPr>
            </w:pPr>
          </w:p>
        </w:tc>
        <w:tc>
          <w:tcPr>
            <w:tcW w:w="20" w:type="dxa"/>
            <w:vAlign w:val="bottom"/>
            <w:tcBorders>
              <w:bottom w:val="single" w:sz="8" w:color="007BB6"/>
            </w:tcBorders>
          </w:tcPr>
          <w:p>
            <w:pPr>
              <w:spacing w:after="0"/>
              <w:rPr>
                <w:sz w:val="24"/>
                <w:szCs w:val="24"/>
                <w:color w:val="auto"/>
              </w:rPr>
            </w:pPr>
          </w:p>
        </w:tc>
        <w:tc>
          <w:tcPr>
            <w:tcW w:w="6020" w:type="dxa"/>
            <w:vAlign w:val="bottom"/>
            <w:tcBorders>
              <w:bottom w:val="single" w:sz="8" w:color="007BB6"/>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3583305</wp:posOffset>
            </wp:positionH>
            <wp:positionV relativeFrom="paragraph">
              <wp:posOffset>-1465580</wp:posOffset>
            </wp:positionV>
            <wp:extent cx="522605" cy="47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2605" cy="471805"/>
                    </a:xfrm>
                    <a:prstGeom prst="rect">
                      <a:avLst/>
                    </a:prstGeom>
                    <a:noFill/>
                  </pic:spPr>
                </pic:pic>
              </a:graphicData>
            </a:graphic>
          </wp:anchor>
        </w:drawing>
        <w:drawing>
          <wp:anchor simplePos="0" relativeHeight="251657728" behindDoc="1" locked="0" layoutInCell="0" allowOverlap="1">
            <wp:simplePos x="0" y="0"/>
            <wp:positionH relativeFrom="column">
              <wp:posOffset>685800</wp:posOffset>
            </wp:positionH>
            <wp:positionV relativeFrom="paragraph">
              <wp:posOffset>-762635</wp:posOffset>
            </wp:positionV>
            <wp:extent cx="1028700" cy="385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0" cy="385445"/>
                    </a:xfrm>
                    <a:prstGeom prst="rect">
                      <a:avLst/>
                    </a:prstGeom>
                    <a:noFill/>
                  </pic:spPr>
                </pic:pic>
              </a:graphicData>
            </a:graphic>
          </wp:anchor>
        </w:drawing>
      </w:r>
    </w:p>
    <w:p>
      <w:pPr>
        <w:spacing w:after="0" w:line="133" w:lineRule="exact"/>
        <w:rPr>
          <w:sz w:val="20"/>
          <w:szCs w:val="20"/>
          <w:color w:val="auto"/>
        </w:rPr>
      </w:pPr>
    </w:p>
    <w:tbl>
      <w:tblPr>
        <w:tblLayout w:type="fixed"/>
        <w:tblInd w:w="264" w:type="dxa"/>
        <w:tblCellMar>
          <w:top w:w="0" w:type="dxa"/>
          <w:left w:w="0" w:type="dxa"/>
          <w:bottom w:w="0" w:type="dxa"/>
          <w:right w:w="0" w:type="dxa"/>
        </w:tblCellMar>
      </w:tblPr>
      <w:tr>
        <w:trPr>
          <w:trHeight w:val="162"/>
        </w:trPr>
        <w:tc>
          <w:tcPr>
            <w:tcW w:w="10300" w:type="dxa"/>
            <w:vAlign w:val="bottom"/>
          </w:tcPr>
          <w:p>
            <w:pPr>
              <w:spacing w:after="0"/>
              <w:rPr>
                <w:sz w:val="20"/>
                <w:szCs w:val="20"/>
                <w:color w:val="auto"/>
              </w:rPr>
            </w:pPr>
            <w:r>
              <w:rPr>
                <w:rFonts w:ascii="Arial" w:cs="Arial" w:eastAsia="Arial" w:hAnsi="Arial"/>
                <w:sz w:val="14"/>
                <w:szCs w:val="14"/>
                <w:color w:val="004878"/>
              </w:rPr>
              <w:t>*Many stockholder meetings have attendance requirements including, but not limited to, the possession of an attendance ticket issued by the entity holding the</w:t>
            </w:r>
          </w:p>
        </w:tc>
        <w:tc>
          <w:tcPr>
            <w:tcW w:w="420" w:type="dxa"/>
            <w:vAlign w:val="bottom"/>
          </w:tcPr>
          <w:p>
            <w:pPr>
              <w:spacing w:after="0"/>
              <w:rPr>
                <w:sz w:val="14"/>
                <w:szCs w:val="14"/>
                <w:color w:val="auto"/>
              </w:rPr>
            </w:pPr>
          </w:p>
        </w:tc>
      </w:tr>
      <w:tr>
        <w:trPr>
          <w:trHeight w:val="172"/>
        </w:trPr>
        <w:tc>
          <w:tcPr>
            <w:tcW w:w="10300" w:type="dxa"/>
            <w:vAlign w:val="bottom"/>
          </w:tcPr>
          <w:p>
            <w:pPr>
              <w:spacing w:after="0"/>
              <w:rPr>
                <w:sz w:val="20"/>
                <w:szCs w:val="20"/>
                <w:color w:val="auto"/>
              </w:rPr>
            </w:pPr>
            <w:r>
              <w:rPr>
                <w:rFonts w:ascii="Arial" w:cs="Arial" w:eastAsia="Arial" w:hAnsi="Arial"/>
                <w:sz w:val="14"/>
                <w:szCs w:val="14"/>
                <w:color w:val="004878"/>
              </w:rPr>
              <w:t>meeting. Please check the meeting materials for any special requirements for meeting attendance.</w:t>
            </w:r>
          </w:p>
        </w:tc>
        <w:tc>
          <w:tcPr>
            <w:tcW w:w="420" w:type="dxa"/>
            <w:vAlign w:val="bottom"/>
          </w:tcPr>
          <w:p>
            <w:pPr>
              <w:ind w:left="240"/>
              <w:spacing w:after="0"/>
              <w:rPr>
                <w:sz w:val="20"/>
                <w:szCs w:val="20"/>
                <w:color w:val="auto"/>
              </w:rPr>
            </w:pPr>
            <w:r>
              <w:rPr>
                <w:rFonts w:ascii="Arial" w:cs="Arial" w:eastAsia="Arial" w:hAnsi="Arial"/>
                <w:sz w:val="14"/>
                <w:szCs w:val="14"/>
                <w:color w:val="004878"/>
                <w:w w:val="93"/>
              </w:rPr>
              <w:t>V1</w:t>
            </w:r>
          </w:p>
        </w:tc>
      </w:tr>
    </w:tbl>
    <w:p>
      <w:pPr>
        <w:sectPr>
          <w:pgSz w:w="11900" w:h="16838" w:orient="portrait"/>
          <w:cols w:equalWidth="0" w:num="1">
            <w:col w:w="11024"/>
          </w:cols>
          <w:pgMar w:left="436" w:top="1440" w:right="439" w:bottom="1440" w:gutter="0" w:footer="0" w:header="0"/>
        </w:sectPr>
      </w:pPr>
    </w:p>
    <w:bookmarkStart w:id="3" w:name="page4"/>
    <w:bookmarkEnd w:id="3"/>
    <w:p>
      <w:pPr>
        <w:ind w:left="220"/>
        <w:spacing w:after="0"/>
        <w:rPr>
          <w:sz w:val="20"/>
          <w:szCs w:val="20"/>
          <w:color w:val="auto"/>
        </w:rPr>
      </w:pPr>
      <w:r>
        <w:rPr>
          <w:rFonts w:ascii="Arial" w:cs="Arial" w:eastAsia="Arial" w:hAnsi="Arial"/>
          <w:sz w:val="27"/>
          <w:szCs w:val="27"/>
          <w:b w:val="1"/>
          <w:bCs w:val="1"/>
          <w:color w:val="007BB6"/>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4878"/>
        </w:rPr>
        <w:t>THIS IS NOT A VOTABLE BALLOT</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6"/>
          <w:szCs w:val="16"/>
          <w:color w:val="004878"/>
        </w:rPr>
        <w:t>This is an overview of the proposals being presented at the</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004878"/>
        </w:rPr>
        <w:t>upcoming stockholder meeting. Please follow the instructions on</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004878"/>
        </w:rPr>
        <w:t>the reverse side to vote on these important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 w:type="dxa"/>
            <w:vAlign w:val="bottom"/>
          </w:tcPr>
          <w:p>
            <w:pPr>
              <w:spacing w:after="0"/>
              <w:rPr>
                <w:sz w:val="16"/>
                <w:szCs w:val="16"/>
                <w:color w:val="auto"/>
              </w:rPr>
            </w:pPr>
          </w:p>
        </w:tc>
        <w:tc>
          <w:tcPr>
            <w:tcW w:w="9420" w:type="dxa"/>
            <w:vAlign w:val="bottom"/>
          </w:tcPr>
          <w:p>
            <w:pPr>
              <w:spacing w:after="0"/>
              <w:rPr>
                <w:sz w:val="16"/>
                <w:szCs w:val="16"/>
                <w:color w:val="auto"/>
              </w:rPr>
            </w:pPr>
          </w:p>
        </w:tc>
        <w:tc>
          <w:tcPr>
            <w:tcW w:w="1260" w:type="dxa"/>
            <w:vAlign w:val="bottom"/>
          </w:tcPr>
          <w:p>
            <w:pPr>
              <w:ind w:left="400"/>
              <w:spacing w:after="0"/>
              <w:rPr>
                <w:sz w:val="20"/>
                <w:szCs w:val="20"/>
                <w:color w:val="auto"/>
              </w:rPr>
            </w:pPr>
            <w:r>
              <w:rPr>
                <w:rFonts w:ascii="Arial" w:cs="Arial" w:eastAsia="Arial" w:hAnsi="Arial"/>
                <w:sz w:val="16"/>
                <w:szCs w:val="16"/>
                <w:b w:val="1"/>
                <w:bCs w:val="1"/>
                <w:color w:val="004878"/>
              </w:rPr>
              <w:t>Board</w:t>
            </w:r>
          </w:p>
        </w:tc>
      </w:tr>
      <w:tr>
        <w:trPr>
          <w:trHeight w:val="207"/>
        </w:trPr>
        <w:tc>
          <w:tcPr>
            <w:tcW w:w="9760" w:type="dxa"/>
            <w:vAlign w:val="bottom"/>
            <w:gridSpan w:val="2"/>
          </w:tcPr>
          <w:p>
            <w:pPr>
              <w:ind w:left="80"/>
              <w:spacing w:after="0"/>
              <w:rPr>
                <w:sz w:val="20"/>
                <w:szCs w:val="20"/>
                <w:color w:val="auto"/>
              </w:rPr>
            </w:pPr>
            <w:r>
              <w:rPr>
                <w:rFonts w:ascii="Arial" w:cs="Arial" w:eastAsia="Arial" w:hAnsi="Arial"/>
                <w:sz w:val="16"/>
                <w:szCs w:val="16"/>
                <w:b w:val="1"/>
                <w:bCs w:val="1"/>
                <w:color w:val="004878"/>
              </w:rPr>
              <w:t>Voting Items</w:t>
            </w:r>
          </w:p>
        </w:tc>
        <w:tc>
          <w:tcPr>
            <w:tcW w:w="1260" w:type="dxa"/>
            <w:vAlign w:val="bottom"/>
          </w:tcPr>
          <w:p>
            <w:pPr>
              <w:ind w:left="100"/>
              <w:spacing w:after="0"/>
              <w:rPr>
                <w:sz w:val="20"/>
                <w:szCs w:val="20"/>
                <w:color w:val="auto"/>
              </w:rPr>
            </w:pPr>
            <w:r>
              <w:rPr>
                <w:rFonts w:ascii="Arial" w:cs="Arial" w:eastAsia="Arial" w:hAnsi="Arial"/>
                <w:sz w:val="16"/>
                <w:szCs w:val="16"/>
                <w:b w:val="1"/>
                <w:bCs w:val="1"/>
                <w:color w:val="004878"/>
              </w:rPr>
              <w:t>Recommends</w:t>
            </w:r>
          </w:p>
        </w:tc>
      </w:tr>
      <w:tr>
        <w:trPr>
          <w:trHeight w:val="283"/>
        </w:trPr>
        <w:tc>
          <w:tcPr>
            <w:tcW w:w="340" w:type="dxa"/>
            <w:vAlign w:val="bottom"/>
            <w:shd w:val="clear" w:color="auto" w:fill="F0EFF7"/>
          </w:tcPr>
          <w:p>
            <w:pPr>
              <w:ind w:left="100"/>
              <w:spacing w:after="0"/>
              <w:rPr>
                <w:sz w:val="20"/>
                <w:szCs w:val="20"/>
                <w:color w:val="auto"/>
              </w:rPr>
            </w:pPr>
            <w:r>
              <w:rPr>
                <w:rFonts w:ascii="Arial" w:cs="Arial" w:eastAsia="Arial" w:hAnsi="Arial"/>
                <w:sz w:val="18"/>
                <w:szCs w:val="18"/>
                <w:color w:val="004878"/>
              </w:rPr>
              <w:t>1.</w:t>
            </w:r>
          </w:p>
        </w:tc>
        <w:tc>
          <w:tcPr>
            <w:tcW w:w="9420" w:type="dxa"/>
            <w:vAlign w:val="bottom"/>
            <w:tcBorders>
              <w:right w:val="single" w:sz="8" w:color="004878"/>
            </w:tcBorders>
            <w:shd w:val="clear" w:color="auto" w:fill="F0EFF7"/>
          </w:tcPr>
          <w:p>
            <w:pPr>
              <w:ind w:left="100"/>
              <w:spacing w:after="0"/>
              <w:rPr>
                <w:sz w:val="20"/>
                <w:szCs w:val="20"/>
                <w:color w:val="auto"/>
              </w:rPr>
            </w:pPr>
            <w:r>
              <w:rPr>
                <w:rFonts w:ascii="Arial" w:cs="Arial" w:eastAsia="Arial" w:hAnsi="Arial"/>
                <w:sz w:val="18"/>
                <w:szCs w:val="18"/>
                <w:color w:val="004878"/>
              </w:rPr>
              <w:t>Election of Directors</w:t>
            </w:r>
          </w:p>
        </w:tc>
        <w:tc>
          <w:tcPr>
            <w:tcW w:w="1260" w:type="dxa"/>
            <w:vAlign w:val="bottom"/>
            <w:shd w:val="clear" w:color="auto" w:fill="F0EFF7"/>
          </w:tcPr>
          <w:p>
            <w:pPr>
              <w:spacing w:after="0"/>
              <w:rPr>
                <w:sz w:val="24"/>
                <w:szCs w:val="24"/>
                <w:color w:val="auto"/>
              </w:rPr>
            </w:pPr>
          </w:p>
        </w:tc>
      </w:tr>
      <w:tr>
        <w:trPr>
          <w:trHeight w:val="338"/>
        </w:trPr>
        <w:tc>
          <w:tcPr>
            <w:tcW w:w="340" w:type="dxa"/>
            <w:vAlign w:val="bottom"/>
            <w:shd w:val="clear" w:color="auto" w:fill="F0EFF7"/>
          </w:tcPr>
          <w:p>
            <w:pPr>
              <w:spacing w:after="0"/>
              <w:rPr>
                <w:sz w:val="24"/>
                <w:szCs w:val="24"/>
                <w:color w:val="auto"/>
              </w:rPr>
            </w:pPr>
          </w:p>
        </w:tc>
        <w:tc>
          <w:tcPr>
            <w:tcW w:w="9420" w:type="dxa"/>
            <w:vAlign w:val="bottom"/>
            <w:tcBorders>
              <w:right w:val="single" w:sz="8" w:color="004878"/>
            </w:tcBorders>
            <w:shd w:val="clear" w:color="auto" w:fill="F0EFF7"/>
          </w:tcPr>
          <w:p>
            <w:pPr>
              <w:ind w:left="100"/>
              <w:spacing w:after="0"/>
              <w:rPr>
                <w:sz w:val="20"/>
                <w:szCs w:val="20"/>
                <w:color w:val="auto"/>
              </w:rPr>
            </w:pPr>
            <w:r>
              <w:rPr>
                <w:rFonts w:ascii="Arial" w:cs="Arial" w:eastAsia="Arial" w:hAnsi="Arial"/>
                <w:sz w:val="18"/>
                <w:szCs w:val="18"/>
                <w:b w:val="1"/>
                <w:bCs w:val="1"/>
                <w:color w:val="004878"/>
              </w:rPr>
              <w:t>Nominees</w:t>
            </w:r>
            <w:r>
              <w:rPr>
                <w:rFonts w:ascii="Arial" w:cs="Arial" w:eastAsia="Arial" w:hAnsi="Arial"/>
                <w:sz w:val="18"/>
                <w:szCs w:val="18"/>
                <w:color w:val="004878"/>
              </w:rPr>
              <w:t>:</w:t>
            </w:r>
          </w:p>
        </w:tc>
        <w:tc>
          <w:tcPr>
            <w:tcW w:w="1260" w:type="dxa"/>
            <w:vAlign w:val="bottom"/>
            <w:shd w:val="clear" w:color="auto" w:fill="F0EFF7"/>
          </w:tcPr>
          <w:p>
            <w:pPr>
              <w:spacing w:after="0"/>
              <w:rPr>
                <w:sz w:val="24"/>
                <w:szCs w:val="24"/>
                <w:color w:val="auto"/>
              </w:rPr>
            </w:pPr>
          </w:p>
        </w:tc>
      </w:tr>
      <w:tr>
        <w:trPr>
          <w:trHeight w:val="437"/>
        </w:trPr>
        <w:tc>
          <w:tcPr>
            <w:tcW w:w="340" w:type="dxa"/>
            <w:vAlign w:val="bottom"/>
            <w:tcBorders>
              <w:bottom w:val="single" w:sz="8" w:color="F0EFF7"/>
            </w:tcBorders>
            <w:shd w:val="clear" w:color="auto" w:fill="F0EFF7"/>
          </w:tcPr>
          <w:p>
            <w:pPr>
              <w:ind w:left="100"/>
              <w:spacing w:after="0"/>
              <w:rPr>
                <w:sz w:val="20"/>
                <w:szCs w:val="20"/>
                <w:color w:val="auto"/>
              </w:rPr>
            </w:pPr>
            <w:r>
              <w:rPr>
                <w:rFonts w:ascii="Arial" w:cs="Arial" w:eastAsia="Arial" w:hAnsi="Arial"/>
                <w:sz w:val="18"/>
                <w:szCs w:val="18"/>
                <w:color w:val="004878"/>
                <w:w w:val="87"/>
              </w:rPr>
              <w:t>1a.</w:t>
            </w:r>
          </w:p>
        </w:tc>
        <w:tc>
          <w:tcPr>
            <w:tcW w:w="9420" w:type="dxa"/>
            <w:vAlign w:val="bottom"/>
            <w:tcBorders>
              <w:bottom w:val="single" w:sz="8" w:color="F0EFF7"/>
              <w:right w:val="single" w:sz="8" w:color="004878"/>
            </w:tcBorders>
            <w:shd w:val="clear" w:color="auto" w:fill="F0EFF7"/>
          </w:tcPr>
          <w:p>
            <w:pPr>
              <w:ind w:left="100"/>
              <w:spacing w:after="0"/>
              <w:rPr>
                <w:sz w:val="20"/>
                <w:szCs w:val="20"/>
                <w:color w:val="auto"/>
              </w:rPr>
            </w:pPr>
            <w:r>
              <w:rPr>
                <w:rFonts w:ascii="Arial" w:cs="Arial" w:eastAsia="Arial" w:hAnsi="Arial"/>
                <w:sz w:val="18"/>
                <w:szCs w:val="18"/>
                <w:color w:val="004878"/>
              </w:rPr>
              <w:t>E. Perot Bissell</w:t>
            </w:r>
          </w:p>
        </w:tc>
        <w:tc>
          <w:tcPr>
            <w:tcW w:w="1260" w:type="dxa"/>
            <w:vAlign w:val="bottom"/>
            <w:tcBorders>
              <w:bottom w:val="single" w:sz="8" w:color="F0EFF7"/>
            </w:tcBorders>
            <w:shd w:val="clear" w:color="auto" w:fill="F0EFF7"/>
          </w:tcPr>
          <w:p>
            <w:pPr>
              <w:ind w:left="340"/>
              <w:spacing w:after="0"/>
              <w:rPr>
                <w:sz w:val="20"/>
                <w:szCs w:val="20"/>
                <w:color w:val="auto"/>
              </w:rPr>
            </w:pPr>
            <w:r>
              <w:rPr>
                <w:rFonts w:ascii="Arial" w:cs="Arial" w:eastAsia="Arial" w:hAnsi="Arial"/>
                <w:sz w:val="18"/>
                <w:szCs w:val="18"/>
                <w:b w:val="1"/>
                <w:bCs w:val="1"/>
                <w:color w:val="004878"/>
              </w:rPr>
              <w:t>For</w:t>
            </w:r>
          </w:p>
        </w:tc>
      </w:tr>
      <w:tr>
        <w:trPr>
          <w:trHeight w:val="363"/>
        </w:trPr>
        <w:tc>
          <w:tcPr>
            <w:tcW w:w="340" w:type="dxa"/>
            <w:vAlign w:val="bottom"/>
            <w:tcBorders>
              <w:top w:val="single" w:sz="8" w:color="004878"/>
              <w:bottom w:val="single" w:sz="8" w:color="F0EFF7"/>
            </w:tcBorders>
            <w:shd w:val="clear" w:color="auto" w:fill="F0EFF7"/>
          </w:tcPr>
          <w:p>
            <w:pPr>
              <w:ind w:left="100"/>
              <w:spacing w:after="0"/>
              <w:rPr>
                <w:sz w:val="20"/>
                <w:szCs w:val="20"/>
                <w:color w:val="auto"/>
              </w:rPr>
            </w:pPr>
            <w:r>
              <w:rPr>
                <w:rFonts w:ascii="Arial" w:cs="Arial" w:eastAsia="Arial" w:hAnsi="Arial"/>
                <w:sz w:val="18"/>
                <w:szCs w:val="18"/>
                <w:color w:val="004878"/>
                <w:w w:val="87"/>
              </w:rPr>
              <w:t>1b.</w:t>
            </w:r>
          </w:p>
        </w:tc>
        <w:tc>
          <w:tcPr>
            <w:tcW w:w="9420" w:type="dxa"/>
            <w:vAlign w:val="bottom"/>
            <w:tcBorders>
              <w:top w:val="single" w:sz="8" w:color="004878"/>
              <w:bottom w:val="single" w:sz="8" w:color="F0EFF7"/>
              <w:right w:val="single" w:sz="8" w:color="004878"/>
            </w:tcBorders>
            <w:shd w:val="clear" w:color="auto" w:fill="F0EFF7"/>
          </w:tcPr>
          <w:p>
            <w:pPr>
              <w:ind w:left="100"/>
              <w:spacing w:after="0"/>
              <w:rPr>
                <w:sz w:val="20"/>
                <w:szCs w:val="20"/>
                <w:color w:val="auto"/>
              </w:rPr>
            </w:pPr>
            <w:r>
              <w:rPr>
                <w:rFonts w:ascii="Arial" w:cs="Arial" w:eastAsia="Arial" w:hAnsi="Arial"/>
                <w:sz w:val="18"/>
                <w:szCs w:val="18"/>
                <w:color w:val="004878"/>
              </w:rPr>
              <w:t>Vicky B. Gregg</w:t>
            </w:r>
          </w:p>
        </w:tc>
        <w:tc>
          <w:tcPr>
            <w:tcW w:w="1260" w:type="dxa"/>
            <w:vAlign w:val="bottom"/>
            <w:tcBorders>
              <w:top w:val="single" w:sz="8" w:color="004878"/>
              <w:bottom w:val="single" w:sz="8" w:color="F0EFF7"/>
            </w:tcBorders>
            <w:shd w:val="clear" w:color="auto" w:fill="F0EFF7"/>
          </w:tcPr>
          <w:p>
            <w:pPr>
              <w:ind w:left="340"/>
              <w:spacing w:after="0"/>
              <w:rPr>
                <w:sz w:val="20"/>
                <w:szCs w:val="20"/>
                <w:color w:val="auto"/>
              </w:rPr>
            </w:pPr>
            <w:r>
              <w:rPr>
                <w:rFonts w:ascii="Arial" w:cs="Arial" w:eastAsia="Arial" w:hAnsi="Arial"/>
                <w:sz w:val="18"/>
                <w:szCs w:val="18"/>
                <w:b w:val="1"/>
                <w:bCs w:val="1"/>
                <w:color w:val="004878"/>
              </w:rPr>
              <w:t>For</w:t>
            </w:r>
          </w:p>
        </w:tc>
      </w:tr>
      <w:tr>
        <w:trPr>
          <w:trHeight w:val="363"/>
        </w:trPr>
        <w:tc>
          <w:tcPr>
            <w:tcW w:w="340" w:type="dxa"/>
            <w:vAlign w:val="bottom"/>
            <w:tcBorders>
              <w:top w:val="single" w:sz="8" w:color="004878"/>
              <w:bottom w:val="single" w:sz="8" w:color="F0EFF7"/>
            </w:tcBorders>
            <w:shd w:val="clear" w:color="auto" w:fill="F0EFF7"/>
          </w:tcPr>
          <w:p>
            <w:pPr>
              <w:ind w:left="100"/>
              <w:spacing w:after="0"/>
              <w:rPr>
                <w:sz w:val="20"/>
                <w:szCs w:val="20"/>
                <w:color w:val="auto"/>
              </w:rPr>
            </w:pPr>
            <w:r>
              <w:rPr>
                <w:rFonts w:ascii="Arial" w:cs="Arial" w:eastAsia="Arial" w:hAnsi="Arial"/>
                <w:sz w:val="18"/>
                <w:szCs w:val="18"/>
                <w:color w:val="004878"/>
                <w:w w:val="91"/>
              </w:rPr>
              <w:t>1c.</w:t>
            </w:r>
          </w:p>
        </w:tc>
        <w:tc>
          <w:tcPr>
            <w:tcW w:w="9420" w:type="dxa"/>
            <w:vAlign w:val="bottom"/>
            <w:tcBorders>
              <w:top w:val="single" w:sz="8" w:color="004878"/>
              <w:bottom w:val="single" w:sz="8" w:color="F0EFF7"/>
              <w:right w:val="single" w:sz="8" w:color="004878"/>
            </w:tcBorders>
            <w:shd w:val="clear" w:color="auto" w:fill="F0EFF7"/>
          </w:tcPr>
          <w:p>
            <w:pPr>
              <w:ind w:left="100"/>
              <w:spacing w:after="0"/>
              <w:rPr>
                <w:sz w:val="20"/>
                <w:szCs w:val="20"/>
                <w:color w:val="auto"/>
              </w:rPr>
            </w:pPr>
            <w:r>
              <w:rPr>
                <w:rFonts w:ascii="Arial" w:cs="Arial" w:eastAsia="Arial" w:hAnsi="Arial"/>
                <w:sz w:val="18"/>
                <w:szCs w:val="18"/>
                <w:color w:val="004878"/>
              </w:rPr>
              <w:t>Debra K. Osteen</w:t>
            </w:r>
          </w:p>
        </w:tc>
        <w:tc>
          <w:tcPr>
            <w:tcW w:w="1260" w:type="dxa"/>
            <w:vAlign w:val="bottom"/>
            <w:tcBorders>
              <w:top w:val="single" w:sz="8" w:color="004878"/>
              <w:bottom w:val="single" w:sz="8" w:color="F0EFF7"/>
            </w:tcBorders>
            <w:shd w:val="clear" w:color="auto" w:fill="F0EFF7"/>
          </w:tcPr>
          <w:p>
            <w:pPr>
              <w:ind w:left="340"/>
              <w:spacing w:after="0"/>
              <w:rPr>
                <w:sz w:val="20"/>
                <w:szCs w:val="20"/>
                <w:color w:val="auto"/>
              </w:rPr>
            </w:pPr>
            <w:r>
              <w:rPr>
                <w:rFonts w:ascii="Arial" w:cs="Arial" w:eastAsia="Arial" w:hAnsi="Arial"/>
                <w:sz w:val="18"/>
                <w:szCs w:val="18"/>
                <w:b w:val="1"/>
                <w:bCs w:val="1"/>
                <w:color w:val="004878"/>
              </w:rPr>
              <w:t>For</w:t>
            </w:r>
          </w:p>
        </w:tc>
      </w:tr>
      <w:tr>
        <w:trPr>
          <w:trHeight w:val="363"/>
        </w:trPr>
        <w:tc>
          <w:tcPr>
            <w:tcW w:w="340" w:type="dxa"/>
            <w:vAlign w:val="bottom"/>
            <w:tcBorders>
              <w:top w:val="single" w:sz="8" w:color="004878"/>
              <w:bottom w:val="single" w:sz="8" w:color="F0EFF7"/>
            </w:tcBorders>
            <w:shd w:val="clear" w:color="auto" w:fill="F0EFF7"/>
          </w:tcPr>
          <w:p>
            <w:pPr>
              <w:ind w:left="100"/>
              <w:spacing w:after="0"/>
              <w:rPr>
                <w:sz w:val="20"/>
                <w:szCs w:val="20"/>
                <w:color w:val="auto"/>
              </w:rPr>
            </w:pPr>
            <w:r>
              <w:rPr>
                <w:rFonts w:ascii="Arial" w:cs="Arial" w:eastAsia="Arial" w:hAnsi="Arial"/>
                <w:sz w:val="18"/>
                <w:szCs w:val="18"/>
                <w:color w:val="004878"/>
              </w:rPr>
              <w:t>2.</w:t>
            </w:r>
          </w:p>
        </w:tc>
        <w:tc>
          <w:tcPr>
            <w:tcW w:w="9420" w:type="dxa"/>
            <w:vAlign w:val="bottom"/>
            <w:tcBorders>
              <w:top w:val="single" w:sz="8" w:color="004878"/>
              <w:bottom w:val="single" w:sz="8" w:color="F0EFF7"/>
              <w:right w:val="single" w:sz="8" w:color="004878"/>
            </w:tcBorders>
            <w:shd w:val="clear" w:color="auto" w:fill="F0EFF7"/>
          </w:tcPr>
          <w:p>
            <w:pPr>
              <w:ind w:left="100"/>
              <w:spacing w:after="0"/>
              <w:rPr>
                <w:sz w:val="20"/>
                <w:szCs w:val="20"/>
                <w:color w:val="auto"/>
              </w:rPr>
            </w:pPr>
            <w:r>
              <w:rPr>
                <w:rFonts w:ascii="Arial" w:cs="Arial" w:eastAsia="Arial" w:hAnsi="Arial"/>
                <w:sz w:val="18"/>
                <w:szCs w:val="18"/>
                <w:color w:val="004878"/>
              </w:rPr>
              <w:t>Approve an amendment to the Acadia Healthcare Company, Inc. Incentive Compensation Plan.</w:t>
            </w:r>
          </w:p>
        </w:tc>
        <w:tc>
          <w:tcPr>
            <w:tcW w:w="1260" w:type="dxa"/>
            <w:vAlign w:val="bottom"/>
            <w:tcBorders>
              <w:top w:val="single" w:sz="8" w:color="004878"/>
              <w:bottom w:val="single" w:sz="8" w:color="F0EFF7"/>
            </w:tcBorders>
            <w:shd w:val="clear" w:color="auto" w:fill="F0EFF7"/>
          </w:tcPr>
          <w:p>
            <w:pPr>
              <w:ind w:left="340"/>
              <w:spacing w:after="0"/>
              <w:rPr>
                <w:sz w:val="20"/>
                <w:szCs w:val="20"/>
                <w:color w:val="auto"/>
              </w:rPr>
            </w:pPr>
            <w:r>
              <w:rPr>
                <w:rFonts w:ascii="Arial" w:cs="Arial" w:eastAsia="Arial" w:hAnsi="Arial"/>
                <w:sz w:val="18"/>
                <w:szCs w:val="18"/>
                <w:b w:val="1"/>
                <w:bCs w:val="1"/>
                <w:color w:val="004878"/>
              </w:rPr>
              <w:t>For</w:t>
            </w:r>
          </w:p>
        </w:tc>
      </w:tr>
      <w:tr>
        <w:trPr>
          <w:trHeight w:val="363"/>
        </w:trPr>
        <w:tc>
          <w:tcPr>
            <w:tcW w:w="340" w:type="dxa"/>
            <w:vAlign w:val="bottom"/>
            <w:tcBorders>
              <w:top w:val="single" w:sz="8" w:color="004878"/>
              <w:bottom w:val="single" w:sz="8" w:color="F0EFF7"/>
            </w:tcBorders>
            <w:shd w:val="clear" w:color="auto" w:fill="F0EFF7"/>
          </w:tcPr>
          <w:p>
            <w:pPr>
              <w:ind w:left="100"/>
              <w:spacing w:after="0"/>
              <w:rPr>
                <w:sz w:val="20"/>
                <w:szCs w:val="20"/>
                <w:color w:val="auto"/>
              </w:rPr>
            </w:pPr>
            <w:r>
              <w:rPr>
                <w:rFonts w:ascii="Arial" w:cs="Arial" w:eastAsia="Arial" w:hAnsi="Arial"/>
                <w:sz w:val="18"/>
                <w:szCs w:val="18"/>
                <w:color w:val="004878"/>
              </w:rPr>
              <w:t>3.</w:t>
            </w:r>
          </w:p>
        </w:tc>
        <w:tc>
          <w:tcPr>
            <w:tcW w:w="9420" w:type="dxa"/>
            <w:vAlign w:val="bottom"/>
            <w:tcBorders>
              <w:top w:val="single" w:sz="8" w:color="004878"/>
              <w:bottom w:val="single" w:sz="8" w:color="F0EFF7"/>
              <w:right w:val="single" w:sz="8" w:color="004878"/>
            </w:tcBorders>
            <w:shd w:val="clear" w:color="auto" w:fill="F0EFF7"/>
          </w:tcPr>
          <w:p>
            <w:pPr>
              <w:ind w:left="100"/>
              <w:spacing w:after="0"/>
              <w:rPr>
                <w:sz w:val="20"/>
                <w:szCs w:val="20"/>
                <w:color w:val="auto"/>
              </w:rPr>
            </w:pPr>
            <w:r>
              <w:rPr>
                <w:rFonts w:ascii="Arial" w:cs="Arial" w:eastAsia="Arial" w:hAnsi="Arial"/>
                <w:sz w:val="18"/>
                <w:szCs w:val="18"/>
                <w:color w:val="004878"/>
                <w:w w:val="99"/>
              </w:rPr>
              <w:t>Advisory vote on the compensation of the Company’s named executive officers as presented in the Proxy Statement.</w:t>
            </w:r>
          </w:p>
        </w:tc>
        <w:tc>
          <w:tcPr>
            <w:tcW w:w="1260" w:type="dxa"/>
            <w:vAlign w:val="bottom"/>
            <w:tcBorders>
              <w:top w:val="single" w:sz="8" w:color="004878"/>
              <w:bottom w:val="single" w:sz="8" w:color="F0EFF7"/>
            </w:tcBorders>
            <w:shd w:val="clear" w:color="auto" w:fill="F0EFF7"/>
          </w:tcPr>
          <w:p>
            <w:pPr>
              <w:ind w:left="340"/>
              <w:spacing w:after="0"/>
              <w:rPr>
                <w:sz w:val="20"/>
                <w:szCs w:val="20"/>
                <w:color w:val="auto"/>
              </w:rPr>
            </w:pPr>
            <w:r>
              <w:rPr>
                <w:rFonts w:ascii="Arial" w:cs="Arial" w:eastAsia="Arial" w:hAnsi="Arial"/>
                <w:sz w:val="18"/>
                <w:szCs w:val="18"/>
                <w:b w:val="1"/>
                <w:bCs w:val="1"/>
                <w:color w:val="004878"/>
              </w:rPr>
              <w:t>For</w:t>
            </w:r>
          </w:p>
        </w:tc>
      </w:tr>
      <w:tr>
        <w:trPr>
          <w:trHeight w:val="249"/>
        </w:trPr>
        <w:tc>
          <w:tcPr>
            <w:tcW w:w="340" w:type="dxa"/>
            <w:vAlign w:val="bottom"/>
            <w:tcBorders>
              <w:top w:val="single" w:sz="8" w:color="004878"/>
            </w:tcBorders>
            <w:shd w:val="clear" w:color="auto" w:fill="F0EFF7"/>
          </w:tcPr>
          <w:p>
            <w:pPr>
              <w:ind w:left="100"/>
              <w:spacing w:after="0"/>
              <w:rPr>
                <w:sz w:val="20"/>
                <w:szCs w:val="20"/>
                <w:color w:val="auto"/>
              </w:rPr>
            </w:pPr>
            <w:r>
              <w:rPr>
                <w:rFonts w:ascii="Arial" w:cs="Arial" w:eastAsia="Arial" w:hAnsi="Arial"/>
                <w:sz w:val="18"/>
                <w:szCs w:val="18"/>
                <w:color w:val="004878"/>
              </w:rPr>
              <w:t>4.</w:t>
            </w:r>
          </w:p>
        </w:tc>
        <w:tc>
          <w:tcPr>
            <w:tcW w:w="9420" w:type="dxa"/>
            <w:vAlign w:val="bottom"/>
            <w:tcBorders>
              <w:top w:val="single" w:sz="8" w:color="004878"/>
              <w:right w:val="single" w:sz="8" w:color="004878"/>
            </w:tcBorders>
            <w:shd w:val="clear" w:color="auto" w:fill="F0EFF7"/>
          </w:tcPr>
          <w:p>
            <w:pPr>
              <w:ind w:left="100"/>
              <w:spacing w:after="0"/>
              <w:rPr>
                <w:sz w:val="20"/>
                <w:szCs w:val="20"/>
                <w:color w:val="auto"/>
              </w:rPr>
            </w:pPr>
            <w:r>
              <w:rPr>
                <w:rFonts w:ascii="Arial" w:cs="Arial" w:eastAsia="Arial" w:hAnsi="Arial"/>
                <w:sz w:val="18"/>
                <w:szCs w:val="18"/>
                <w:color w:val="004878"/>
                <w:w w:val="99"/>
              </w:rPr>
              <w:t>Ratify the appointment of Ernst &amp; Young LLP as the Company’s independent registered public accounting firm for the</w:t>
            </w:r>
          </w:p>
        </w:tc>
        <w:tc>
          <w:tcPr>
            <w:tcW w:w="1260" w:type="dxa"/>
            <w:vAlign w:val="bottom"/>
            <w:tcBorders>
              <w:top w:val="single" w:sz="8" w:color="004878"/>
            </w:tcBorders>
            <w:shd w:val="clear" w:color="auto" w:fill="F0EFF7"/>
          </w:tcPr>
          <w:p>
            <w:pPr>
              <w:ind w:left="340"/>
              <w:spacing w:after="0"/>
              <w:rPr>
                <w:sz w:val="20"/>
                <w:szCs w:val="20"/>
                <w:color w:val="auto"/>
              </w:rPr>
            </w:pPr>
            <w:r>
              <w:rPr>
                <w:rFonts w:ascii="Arial" w:cs="Arial" w:eastAsia="Arial" w:hAnsi="Arial"/>
                <w:sz w:val="18"/>
                <w:szCs w:val="18"/>
                <w:b w:val="1"/>
                <w:bCs w:val="1"/>
                <w:color w:val="004878"/>
              </w:rPr>
              <w:t>For</w:t>
            </w:r>
          </w:p>
        </w:tc>
      </w:tr>
      <w:tr>
        <w:trPr>
          <w:trHeight w:val="251"/>
        </w:trPr>
        <w:tc>
          <w:tcPr>
            <w:tcW w:w="340" w:type="dxa"/>
            <w:vAlign w:val="bottom"/>
            <w:tcBorders>
              <w:bottom w:val="single" w:sz="8" w:color="F0EFF7"/>
            </w:tcBorders>
            <w:shd w:val="clear" w:color="auto" w:fill="F0EFF7"/>
          </w:tcPr>
          <w:p>
            <w:pPr>
              <w:spacing w:after="0"/>
              <w:rPr>
                <w:sz w:val="21"/>
                <w:szCs w:val="21"/>
                <w:color w:val="auto"/>
              </w:rPr>
            </w:pPr>
          </w:p>
        </w:tc>
        <w:tc>
          <w:tcPr>
            <w:tcW w:w="9420" w:type="dxa"/>
            <w:vAlign w:val="bottom"/>
            <w:tcBorders>
              <w:bottom w:val="single" w:sz="8" w:color="F0EFF7"/>
              <w:right w:val="single" w:sz="8" w:color="004878"/>
            </w:tcBorders>
            <w:shd w:val="clear" w:color="auto" w:fill="F0EFF7"/>
          </w:tcPr>
          <w:p>
            <w:pPr>
              <w:ind w:left="100"/>
              <w:spacing w:after="0"/>
              <w:rPr>
                <w:sz w:val="20"/>
                <w:szCs w:val="20"/>
                <w:color w:val="auto"/>
              </w:rPr>
            </w:pPr>
            <w:r>
              <w:rPr>
                <w:rFonts w:ascii="Arial" w:cs="Arial" w:eastAsia="Arial" w:hAnsi="Arial"/>
                <w:sz w:val="18"/>
                <w:szCs w:val="18"/>
                <w:color w:val="004878"/>
              </w:rPr>
              <w:t>fiscal year ending December 31, 2021.</w:t>
            </w:r>
          </w:p>
        </w:tc>
        <w:tc>
          <w:tcPr>
            <w:tcW w:w="1260" w:type="dxa"/>
            <w:vAlign w:val="bottom"/>
            <w:tcBorders>
              <w:bottom w:val="single" w:sz="8" w:color="F0EFF7"/>
            </w:tcBorders>
            <w:shd w:val="clear" w:color="auto" w:fill="F0EFF7"/>
          </w:tcPr>
          <w:p>
            <w:pPr>
              <w:spacing w:after="0"/>
              <w:rPr>
                <w:sz w:val="21"/>
                <w:szCs w:val="21"/>
                <w:color w:val="auto"/>
              </w:rPr>
            </w:pPr>
          </w:p>
        </w:tc>
      </w:tr>
      <w:tr>
        <w:trPr>
          <w:trHeight w:val="20"/>
        </w:trPr>
        <w:tc>
          <w:tcPr>
            <w:tcW w:w="340" w:type="dxa"/>
            <w:vAlign w:val="bottom"/>
            <w:shd w:val="clear" w:color="auto" w:fill="004878"/>
          </w:tcPr>
          <w:p>
            <w:pPr>
              <w:spacing w:after="0" w:line="20" w:lineRule="exact"/>
              <w:rPr>
                <w:sz w:val="1"/>
                <w:szCs w:val="1"/>
                <w:color w:val="auto"/>
              </w:rPr>
            </w:pPr>
          </w:p>
        </w:tc>
        <w:tc>
          <w:tcPr>
            <w:tcW w:w="9420" w:type="dxa"/>
            <w:vAlign w:val="bottom"/>
            <w:tcBorders>
              <w:right w:val="single" w:sz="8" w:color="004878"/>
            </w:tcBorders>
            <w:shd w:val="clear" w:color="auto" w:fill="004878"/>
          </w:tcPr>
          <w:p>
            <w:pPr>
              <w:spacing w:after="0" w:line="20" w:lineRule="exact"/>
              <w:rPr>
                <w:sz w:val="1"/>
                <w:szCs w:val="1"/>
                <w:color w:val="auto"/>
              </w:rPr>
            </w:pPr>
          </w:p>
        </w:tc>
        <w:tc>
          <w:tcPr>
            <w:tcW w:w="1260" w:type="dxa"/>
            <w:vAlign w:val="bottom"/>
            <w:shd w:val="clear" w:color="auto" w:fill="00487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-1508125</wp:posOffset>
            </wp:positionV>
            <wp:extent cx="6995160" cy="45091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4509135"/>
                    </a:xfrm>
                    <a:prstGeom prst="rect">
                      <a:avLst/>
                    </a:prstGeom>
                    <a:noFill/>
                  </pic:spPr>
                </pic:pic>
              </a:graphicData>
            </a:graphic>
          </wp:anchor>
        </w:drawing>
      </w:r>
    </w:p>
    <w:p>
      <w:pPr>
        <w:spacing w:after="0" w:line="11"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color w:val="004878"/>
        </w:rPr>
        <w:t xml:space="preserve">NOTE: </w:t>
      </w:r>
      <w:r>
        <w:rPr>
          <w:rFonts w:ascii="Arial" w:cs="Arial" w:eastAsia="Arial" w:hAnsi="Arial"/>
          <w:sz w:val="18"/>
          <w:szCs w:val="18"/>
          <w:color w:val="004878"/>
        </w:rPr>
        <w:t>In their discretion, the proxies are authorized to vote upon such other business as may properly come before the meeting or any</w:t>
      </w:r>
      <w:r>
        <w:rPr>
          <w:rFonts w:ascii="Arial" w:cs="Arial" w:eastAsia="Arial" w:hAnsi="Arial"/>
          <w:sz w:val="18"/>
          <w:szCs w:val="18"/>
          <w:b w:val="1"/>
          <w:bCs w:val="1"/>
          <w:color w:val="004878"/>
        </w:rPr>
        <w:t xml:space="preserve"> </w:t>
      </w:r>
      <w:r>
        <w:rPr>
          <w:rFonts w:ascii="Arial" w:cs="Arial" w:eastAsia="Arial" w:hAnsi="Arial"/>
          <w:sz w:val="18"/>
          <w:szCs w:val="18"/>
          <w:color w:val="004878"/>
        </w:rPr>
        <w:t>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2734945</wp:posOffset>
            </wp:positionV>
            <wp:extent cx="6995160" cy="240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Arial" w:cs="Arial" w:eastAsia="Arial" w:hAnsi="Arial"/>
          <w:sz w:val="18"/>
          <w:szCs w:val="18"/>
          <w:color w:val="FFFFFF"/>
        </w:rPr>
        <w:t>Prefer to receive an email instead? While voting on www.proxyvote.com, be sure to click “Sign up for E-delivery”.</w:t>
      </w:r>
    </w:p>
    <w:p>
      <w:pPr>
        <w:spacing w:after="0" w:line="200" w:lineRule="exact"/>
        <w:rPr>
          <w:sz w:val="20"/>
          <w:szCs w:val="20"/>
          <w:color w:val="auto"/>
        </w:rPr>
      </w:pPr>
    </w:p>
    <w:p>
      <w:pPr>
        <w:spacing w:after="0" w:line="317" w:lineRule="exact"/>
        <w:rPr>
          <w:sz w:val="20"/>
          <w:szCs w:val="20"/>
          <w:color w:val="auto"/>
        </w:rPr>
      </w:pPr>
    </w:p>
    <w:p>
      <w:pPr>
        <w:ind w:left="4080"/>
        <w:spacing w:after="0"/>
        <w:rPr>
          <w:sz w:val="20"/>
          <w:szCs w:val="20"/>
          <w:color w:val="auto"/>
        </w:rPr>
      </w:pPr>
      <w:r>
        <w:rPr>
          <w:rFonts w:ascii="Arial" w:cs="Arial" w:eastAsia="Arial" w:hAnsi="Arial"/>
          <w:sz w:val="13"/>
          <w:szCs w:val="13"/>
          <w:color w:val="666666"/>
        </w:rPr>
        <w:t>D38894-P50460</w:t>
      </w:r>
    </w:p>
    <w:sectPr>
      <w:pgSz w:w="11900" w:h="16838" w:orient="portrait"/>
      <w:cols w:equalWidth="0" w:num="1">
        <w:col w:w="11020"/>
      </w:cols>
      <w:pgMar w:left="440" w:top="25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2021-03-25T19:48:14Z</dcterms:created>
  <dcterms:modified xsi:type="dcterms:W3CDTF">2021-03-25T19:48:14Z</dcterms:modified>
</cp:coreProperties>
</file>