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15, 2011</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ACADIA HEALTHCARE COMPANY,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480" w:type="dxa"/>
        <w:tblCellMar>
          <w:top w:w="0" w:type="dxa"/>
          <w:left w:w="0" w:type="dxa"/>
          <w:bottom w:w="0" w:type="dxa"/>
          <w:right w:w="0" w:type="dxa"/>
        </w:tblCellMar>
      </w:tblPr>
      <w:tr>
        <w:trPr>
          <w:trHeight w:val="218"/>
        </w:trPr>
        <w:tc>
          <w:tcPr>
            <w:tcW w:w="4720" w:type="dxa"/>
            <w:vAlign w:val="bottom"/>
          </w:tcPr>
          <w:p>
            <w:pPr>
              <w:jc w:val="center"/>
              <w:ind w:right="1861"/>
              <w:spacing w:after="0"/>
              <w:rPr>
                <w:sz w:val="20"/>
                <w:szCs w:val="20"/>
                <w:color w:val="auto"/>
              </w:rPr>
            </w:pPr>
            <w:r>
              <w:rPr>
                <w:rFonts w:ascii="Arial" w:cs="Arial" w:eastAsia="Arial" w:hAnsi="Arial"/>
                <w:sz w:val="18"/>
                <w:szCs w:val="18"/>
                <w:b w:val="1"/>
                <w:bCs w:val="1"/>
                <w:color w:val="auto"/>
                <w:w w:val="88"/>
              </w:rPr>
              <w:t>Delaware</w:t>
            </w:r>
          </w:p>
        </w:tc>
        <w:tc>
          <w:tcPr>
            <w:tcW w:w="3020" w:type="dxa"/>
            <w:vAlign w:val="bottom"/>
          </w:tcPr>
          <w:p>
            <w:pPr>
              <w:jc w:val="right"/>
              <w:ind w:right="44"/>
              <w:spacing w:after="0"/>
              <w:rPr>
                <w:sz w:val="20"/>
                <w:szCs w:val="20"/>
                <w:color w:val="auto"/>
              </w:rPr>
            </w:pPr>
            <w:r>
              <w:rPr>
                <w:rFonts w:ascii="Arial" w:cs="Arial" w:eastAsia="Arial" w:hAnsi="Arial"/>
                <w:sz w:val="18"/>
                <w:szCs w:val="18"/>
                <w:b w:val="1"/>
                <w:bCs w:val="1"/>
                <w:color w:val="auto"/>
              </w:rPr>
              <w:t>45-2492228</w:t>
            </w:r>
          </w:p>
        </w:tc>
      </w:tr>
      <w:tr>
        <w:trPr>
          <w:trHeight w:val="149"/>
        </w:trPr>
        <w:tc>
          <w:tcPr>
            <w:tcW w:w="4720" w:type="dxa"/>
            <w:vAlign w:val="bottom"/>
          </w:tcPr>
          <w:p>
            <w:pPr>
              <w:jc w:val="center"/>
              <w:ind w:right="188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20" w:type="dxa"/>
            <w:vAlign w:val="bottom"/>
          </w:tcPr>
          <w:p>
            <w:pPr>
              <w:jc w:val="center"/>
              <w:ind w:left="18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720" w:type="dxa"/>
            <w:vAlign w:val="bottom"/>
          </w:tcPr>
          <w:p>
            <w:pPr>
              <w:jc w:val="center"/>
              <w:ind w:right="1881"/>
              <w:spacing w:after="0"/>
              <w:rPr>
                <w:sz w:val="20"/>
                <w:szCs w:val="20"/>
                <w:color w:val="auto"/>
              </w:rPr>
            </w:pPr>
            <w:r>
              <w:rPr>
                <w:rFonts w:ascii="Arial" w:cs="Arial" w:eastAsia="Arial" w:hAnsi="Arial"/>
                <w:sz w:val="14"/>
                <w:szCs w:val="14"/>
                <w:b w:val="1"/>
                <w:bCs w:val="1"/>
                <w:color w:val="auto"/>
                <w:w w:val="88"/>
              </w:rPr>
              <w:t>incorporation or organization)</w:t>
            </w:r>
          </w:p>
        </w:tc>
        <w:tc>
          <w:tcPr>
            <w:tcW w:w="3020" w:type="dxa"/>
            <w:vAlign w:val="bottom"/>
          </w:tcPr>
          <w:p>
            <w:pPr>
              <w:jc w:val="center"/>
              <w:ind w:left="18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720" w:type="dxa"/>
            <w:vAlign w:val="bottom"/>
          </w:tcPr>
          <w:p>
            <w:pPr>
              <w:jc w:val="center"/>
              <w:ind w:right="1881"/>
              <w:spacing w:after="0"/>
              <w:rPr>
                <w:sz w:val="20"/>
                <w:szCs w:val="20"/>
                <w:color w:val="auto"/>
              </w:rPr>
            </w:pPr>
            <w:r>
              <w:rPr>
                <w:rFonts w:ascii="Arial" w:cs="Arial" w:eastAsia="Arial" w:hAnsi="Arial"/>
                <w:sz w:val="18"/>
                <w:szCs w:val="18"/>
                <w:b w:val="1"/>
                <w:bCs w:val="1"/>
                <w:color w:val="auto"/>
                <w:w w:val="88"/>
              </w:rPr>
              <w:t>830 Crescent Centre Drive, Suite 610</w:t>
            </w:r>
          </w:p>
        </w:tc>
        <w:tc>
          <w:tcPr>
            <w:tcW w:w="3020" w:type="dxa"/>
            <w:vAlign w:val="bottom"/>
          </w:tcPr>
          <w:p>
            <w:pPr>
              <w:spacing w:after="0"/>
              <w:rPr>
                <w:sz w:val="24"/>
                <w:szCs w:val="24"/>
                <w:color w:val="auto"/>
              </w:rPr>
            </w:pPr>
          </w:p>
        </w:tc>
      </w:tr>
      <w:tr>
        <w:trPr>
          <w:trHeight w:val="216"/>
        </w:trPr>
        <w:tc>
          <w:tcPr>
            <w:tcW w:w="4720" w:type="dxa"/>
            <w:vAlign w:val="bottom"/>
          </w:tcPr>
          <w:p>
            <w:pPr>
              <w:jc w:val="center"/>
              <w:ind w:right="1881"/>
              <w:spacing w:after="0"/>
              <w:rPr>
                <w:sz w:val="20"/>
                <w:szCs w:val="20"/>
                <w:color w:val="auto"/>
              </w:rPr>
            </w:pPr>
            <w:r>
              <w:rPr>
                <w:rFonts w:ascii="Arial" w:cs="Arial" w:eastAsia="Arial" w:hAnsi="Arial"/>
                <w:sz w:val="18"/>
                <w:szCs w:val="18"/>
                <w:b w:val="1"/>
                <w:bCs w:val="1"/>
                <w:color w:val="auto"/>
                <w:w w:val="85"/>
              </w:rPr>
              <w:t>Suite 610</w:t>
            </w:r>
          </w:p>
        </w:tc>
        <w:tc>
          <w:tcPr>
            <w:tcW w:w="3020" w:type="dxa"/>
            <w:vAlign w:val="bottom"/>
          </w:tcPr>
          <w:p>
            <w:pPr>
              <w:spacing w:after="0"/>
              <w:rPr>
                <w:sz w:val="18"/>
                <w:szCs w:val="18"/>
                <w:color w:val="auto"/>
              </w:rPr>
            </w:pPr>
          </w:p>
        </w:tc>
      </w:tr>
      <w:tr>
        <w:trPr>
          <w:trHeight w:val="231"/>
        </w:trPr>
        <w:tc>
          <w:tcPr>
            <w:tcW w:w="4720" w:type="dxa"/>
            <w:vAlign w:val="bottom"/>
          </w:tcPr>
          <w:p>
            <w:pPr>
              <w:jc w:val="center"/>
              <w:ind w:right="1861"/>
              <w:spacing w:after="0"/>
              <w:rPr>
                <w:sz w:val="20"/>
                <w:szCs w:val="20"/>
                <w:color w:val="auto"/>
              </w:rPr>
            </w:pPr>
            <w:r>
              <w:rPr>
                <w:rFonts w:ascii="Arial" w:cs="Arial" w:eastAsia="Arial" w:hAnsi="Arial"/>
                <w:sz w:val="18"/>
                <w:szCs w:val="18"/>
                <w:b w:val="1"/>
                <w:bCs w:val="1"/>
                <w:color w:val="auto"/>
                <w:w w:val="86"/>
              </w:rPr>
              <w:t>Franklin, Tennessee</w:t>
            </w:r>
          </w:p>
        </w:tc>
        <w:tc>
          <w:tcPr>
            <w:tcW w:w="3020" w:type="dxa"/>
            <w:vAlign w:val="bottom"/>
          </w:tcPr>
          <w:p>
            <w:pPr>
              <w:jc w:val="right"/>
              <w:ind w:right="244"/>
              <w:spacing w:after="0"/>
              <w:rPr>
                <w:sz w:val="20"/>
                <w:szCs w:val="20"/>
                <w:color w:val="auto"/>
              </w:rPr>
            </w:pPr>
            <w:r>
              <w:rPr>
                <w:rFonts w:ascii="Arial" w:cs="Arial" w:eastAsia="Arial" w:hAnsi="Arial"/>
                <w:sz w:val="18"/>
                <w:szCs w:val="18"/>
                <w:b w:val="1"/>
                <w:bCs w:val="1"/>
                <w:color w:val="auto"/>
              </w:rPr>
              <w:t>37067</w:t>
            </w:r>
          </w:p>
        </w:tc>
      </w:tr>
      <w:tr>
        <w:trPr>
          <w:trHeight w:val="174"/>
        </w:trPr>
        <w:tc>
          <w:tcPr>
            <w:tcW w:w="4720" w:type="dxa"/>
            <w:vAlign w:val="bottom"/>
          </w:tcPr>
          <w:p>
            <w:pPr>
              <w:jc w:val="center"/>
              <w:ind w:right="186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20" w:type="dxa"/>
            <w:vAlign w:val="bottom"/>
          </w:tcPr>
          <w:p>
            <w:pPr>
              <w:jc w:val="center"/>
              <w:ind w:left="188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Acadia Healthcare Company, Inc. 2011 Incentive Compensation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Christopher L. Howard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Acadia Healthcare Company,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830 Crescent Centre Drive, Suite 610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Franklin, Tennessee 37067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(615) 861-6000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Copy to</w:t>
      </w:r>
      <w:r>
        <w:rPr>
          <w:rFonts w:ascii="Arial" w:cs="Arial" w:eastAsia="Arial" w:hAnsi="Arial"/>
          <w:sz w:val="18"/>
          <w:szCs w:val="18"/>
          <w:b w:val="1"/>
          <w:bCs w:val="1"/>
          <w:i w:val="1"/>
          <w:iCs w:val="1"/>
          <w:color w:val="auto"/>
        </w:rPr>
        <w:t>:</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Carol Anne Huff</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Richard W. Porter,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Kirkland &amp; Ellis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North LaSalle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Illinois 60654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(312) 862-2000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20" w:type="dxa"/>
            <w:vAlign w:val="bottom"/>
            <w:gridSpan w:val="2"/>
          </w:tcPr>
          <w:p>
            <w:pPr>
              <w:spacing w:after="0"/>
              <w:rPr>
                <w:sz w:val="20"/>
                <w:szCs w:val="20"/>
                <w:color w:val="auto"/>
              </w:rPr>
            </w:pPr>
            <w:r>
              <w:rPr>
                <w:rFonts w:ascii="Arial" w:cs="Arial" w:eastAsia="Arial" w:hAnsi="Arial"/>
                <w:sz w:val="18"/>
                <w:szCs w:val="18"/>
                <w:color w:val="auto"/>
                <w:w w:val="95"/>
              </w:rPr>
              <w:t>Large accelerated filer</w:t>
            </w:r>
          </w:p>
        </w:tc>
        <w:tc>
          <w:tcPr>
            <w:tcW w:w="18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920" w:type="dxa"/>
            <w:vAlign w:val="bottom"/>
            <w:gridSpan w:val="2"/>
          </w:tcPr>
          <w:p>
            <w:pPr>
              <w:ind w:left="600"/>
              <w:spacing w:after="0"/>
              <w:rPr>
                <w:sz w:val="20"/>
                <w:szCs w:val="20"/>
                <w:color w:val="auto"/>
              </w:rPr>
            </w:pPr>
            <w:r>
              <w:rPr>
                <w:rFonts w:ascii="Arial" w:cs="Arial" w:eastAsia="Arial" w:hAnsi="Arial"/>
                <w:sz w:val="18"/>
                <w:szCs w:val="18"/>
                <w:color w:val="auto"/>
              </w:rPr>
              <w:t>Accelerated filer</w:t>
            </w:r>
          </w:p>
        </w:tc>
        <w:tc>
          <w:tcPr>
            <w:tcW w:w="960" w:type="dxa"/>
            <w:vAlign w:val="bottom"/>
          </w:tcPr>
          <w:p>
            <w:pPr>
              <w:spacing w:after="0"/>
              <w:rPr>
                <w:sz w:val="23"/>
                <w:szCs w:val="23"/>
                <w:color w:val="auto"/>
              </w:rPr>
            </w:pP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2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5180" w:type="dxa"/>
            <w:vAlign w:val="bottom"/>
            <w:gridSpan w:val="5"/>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88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58"/>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90"/>
        </w:trPr>
        <w:tc>
          <w:tcPr>
            <w:tcW w:w="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90"/>
              <w:spacing w:after="0" w:line="118"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4"/>
              <w:spacing w:after="0" w:line="118" w:lineRule="exact"/>
              <w:rPr>
                <w:sz w:val="20"/>
                <w:szCs w:val="20"/>
                <w:color w:val="auto"/>
              </w:rPr>
            </w:pPr>
            <w:r>
              <w:rPr>
                <w:rFonts w:ascii="Arial" w:cs="Arial" w:eastAsia="Arial" w:hAnsi="Arial"/>
                <w:sz w:val="12"/>
                <w:szCs w:val="12"/>
                <w:b w:val="1"/>
                <w:bCs w:val="1"/>
                <w:color w:val="auto"/>
              </w:rPr>
              <w:t>Proposed maximum</w:t>
            </w:r>
          </w:p>
        </w:tc>
        <w:tc>
          <w:tcPr>
            <w:tcW w:w="32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88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86"/>
              </w:rPr>
              <w:t>Title of securities to be</w:t>
            </w:r>
          </w:p>
        </w:tc>
        <w:tc>
          <w:tcPr>
            <w:tcW w:w="9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ind w:left="440"/>
              <w:spacing w:after="0" w:line="135" w:lineRule="exact"/>
              <w:rPr>
                <w:sz w:val="20"/>
                <w:szCs w:val="20"/>
                <w:color w:val="auto"/>
              </w:rPr>
            </w:pPr>
            <w:r>
              <w:rPr>
                <w:rFonts w:ascii="Arial" w:cs="Arial" w:eastAsia="Arial" w:hAnsi="Arial"/>
                <w:sz w:val="14"/>
                <w:szCs w:val="14"/>
                <w:b w:val="1"/>
                <w:bCs w:val="1"/>
                <w:color w:val="auto"/>
              </w:rPr>
              <w:t>Amount to be</w:t>
            </w:r>
          </w:p>
        </w:tc>
        <w:tc>
          <w:tcPr>
            <w:tcW w:w="240" w:type="dxa"/>
            <w:vAlign w:val="bottom"/>
          </w:tcPr>
          <w:p>
            <w:pPr>
              <w:spacing w:after="0"/>
              <w:rPr>
                <w:sz w:val="11"/>
                <w:szCs w:val="11"/>
                <w:color w:val="auto"/>
              </w:rPr>
            </w:pPr>
          </w:p>
        </w:tc>
        <w:tc>
          <w:tcPr>
            <w:tcW w:w="1360" w:type="dxa"/>
            <w:vAlign w:val="bottom"/>
            <w:tcBorders>
              <w:right w:val="single" w:sz="8" w:color="auto"/>
            </w:tcBorders>
          </w:tcPr>
          <w:p>
            <w:pPr>
              <w:jc w:val="center"/>
              <w:ind w:right="90"/>
              <w:spacing w:after="0" w:line="135" w:lineRule="exact"/>
              <w:rPr>
                <w:sz w:val="20"/>
                <w:szCs w:val="20"/>
                <w:color w:val="auto"/>
              </w:rPr>
            </w:pPr>
            <w:r>
              <w:rPr>
                <w:rFonts w:ascii="Arial" w:cs="Arial" w:eastAsia="Arial" w:hAnsi="Arial"/>
                <w:sz w:val="14"/>
                <w:szCs w:val="14"/>
                <w:b w:val="1"/>
                <w:bCs w:val="1"/>
                <w:color w:val="auto"/>
                <w:w w:val="86"/>
              </w:rPr>
              <w:t>offering price per</w:t>
            </w:r>
          </w:p>
        </w:tc>
        <w:tc>
          <w:tcPr>
            <w:tcW w:w="1600" w:type="dxa"/>
            <w:vAlign w:val="bottom"/>
            <w:tcBorders>
              <w:right w:val="single" w:sz="8" w:color="auto"/>
            </w:tcBorders>
          </w:tcPr>
          <w:p>
            <w:pPr>
              <w:jc w:val="center"/>
              <w:ind w:left="4"/>
              <w:spacing w:after="0" w:line="135" w:lineRule="exact"/>
              <w:rPr>
                <w:sz w:val="20"/>
                <w:szCs w:val="20"/>
                <w:color w:val="auto"/>
              </w:rPr>
            </w:pPr>
            <w:r>
              <w:rPr>
                <w:rFonts w:ascii="Arial" w:cs="Arial" w:eastAsia="Arial" w:hAnsi="Arial"/>
                <w:sz w:val="14"/>
                <w:szCs w:val="14"/>
                <w:b w:val="1"/>
                <w:bCs w:val="1"/>
                <w:color w:val="auto"/>
                <w:w w:val="84"/>
              </w:rPr>
              <w:t>aggregate offering</w:t>
            </w:r>
          </w:p>
        </w:tc>
        <w:tc>
          <w:tcPr>
            <w:tcW w:w="3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registration</w:t>
            </w:r>
          </w:p>
        </w:tc>
        <w:tc>
          <w:tcPr>
            <w:tcW w:w="280" w:type="dxa"/>
            <w:vAlign w:val="bottom"/>
          </w:tcPr>
          <w:p>
            <w:pPr>
              <w:spacing w:after="0"/>
              <w:rPr>
                <w:sz w:val="11"/>
                <w:szCs w:val="11"/>
                <w:color w:val="auto"/>
              </w:rPr>
            </w:pPr>
          </w:p>
        </w:tc>
      </w:tr>
      <w:tr>
        <w:trPr>
          <w:trHeight w:val="176"/>
        </w:trPr>
        <w:tc>
          <w:tcPr>
            <w:tcW w:w="2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2"/>
              </w:rPr>
              <w:t>registered</w:t>
            </w: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ind w:left="460"/>
              <w:spacing w:after="0" w:line="176" w:lineRule="exact"/>
              <w:rPr>
                <w:sz w:val="20"/>
                <w:szCs w:val="20"/>
                <w:color w:val="auto"/>
              </w:rPr>
            </w:pPr>
            <w:r>
              <w:rPr>
                <w:rFonts w:ascii="Arial" w:cs="Arial" w:eastAsia="Arial" w:hAnsi="Arial"/>
                <w:sz w:val="13"/>
                <w:szCs w:val="13"/>
                <w:b w:val="1"/>
                <w:bCs w:val="1"/>
                <w:color w:val="auto"/>
              </w:rPr>
              <w:t xml:space="preserve">registered </w:t>
            </w:r>
            <w:r>
              <w:rPr>
                <w:rFonts w:ascii="Arial" w:cs="Arial" w:eastAsia="Arial" w:hAnsi="Arial"/>
                <w:sz w:val="20"/>
                <w:szCs w:val="20"/>
                <w:b w:val="1"/>
                <w:bCs w:val="1"/>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90"/>
              <w:spacing w:after="0" w:line="176" w:lineRule="exact"/>
              <w:rPr>
                <w:sz w:val="20"/>
                <w:szCs w:val="20"/>
                <w:color w:val="auto"/>
              </w:rPr>
            </w:pPr>
            <w:r>
              <w:rPr>
                <w:rFonts w:ascii="Arial" w:cs="Arial" w:eastAsia="Arial" w:hAnsi="Arial"/>
                <w:sz w:val="13"/>
                <w:szCs w:val="13"/>
                <w:b w:val="1"/>
                <w:bCs w:val="1"/>
                <w:color w:val="auto"/>
                <w:w w:val="87"/>
              </w:rPr>
              <w:t xml:space="preserve">share </w:t>
            </w:r>
            <w:r>
              <w:rPr>
                <w:rFonts w:ascii="Arial" w:cs="Arial" w:eastAsia="Arial" w:hAnsi="Arial"/>
                <w:sz w:val="20"/>
                <w:szCs w:val="20"/>
                <w:b w:val="1"/>
                <w:bCs w:val="1"/>
                <w:color w:val="auto"/>
                <w:w w:val="87"/>
                <w:vertAlign w:val="superscript"/>
              </w:rPr>
              <w:t>(3)</w:t>
            </w:r>
          </w:p>
        </w:tc>
        <w:tc>
          <w:tcPr>
            <w:tcW w:w="1600" w:type="dxa"/>
            <w:vAlign w:val="bottom"/>
            <w:tcBorders>
              <w:bottom w:val="single" w:sz="8" w:color="auto"/>
              <w:right w:val="single" w:sz="8" w:color="auto"/>
            </w:tcBorders>
          </w:tcPr>
          <w:p>
            <w:pPr>
              <w:jc w:val="center"/>
              <w:ind w:left="24"/>
              <w:spacing w:after="0" w:line="176" w:lineRule="exact"/>
              <w:rPr>
                <w:sz w:val="20"/>
                <w:szCs w:val="20"/>
                <w:color w:val="auto"/>
              </w:rPr>
            </w:pPr>
            <w:r>
              <w:rPr>
                <w:rFonts w:ascii="Arial" w:cs="Arial" w:eastAsia="Arial" w:hAnsi="Arial"/>
                <w:sz w:val="13"/>
                <w:szCs w:val="13"/>
                <w:b w:val="1"/>
                <w:bCs w:val="1"/>
                <w:color w:val="auto"/>
                <w:w w:val="90"/>
              </w:rPr>
              <w:t xml:space="preserve">price </w:t>
            </w:r>
            <w:r>
              <w:rPr>
                <w:rFonts w:ascii="Arial" w:cs="Arial" w:eastAsia="Arial" w:hAnsi="Arial"/>
                <w:sz w:val="20"/>
                <w:szCs w:val="20"/>
                <w:b w:val="1"/>
                <w:bCs w:val="1"/>
                <w:color w:val="auto"/>
                <w:w w:val="90"/>
                <w:vertAlign w:val="superscript"/>
              </w:rPr>
              <w:t>(3)</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fee</w:t>
            </w:r>
          </w:p>
        </w:tc>
        <w:tc>
          <w:tcPr>
            <w:tcW w:w="280" w:type="dxa"/>
            <w:vAlign w:val="bottom"/>
            <w:tcBorders>
              <w:bottom w:val="single" w:sz="8" w:color="auto"/>
            </w:tcBorders>
          </w:tcPr>
          <w:p>
            <w:pPr>
              <w:spacing w:after="0"/>
              <w:rPr>
                <w:sz w:val="15"/>
                <w:szCs w:val="15"/>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46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2,700,000</w:t>
            </w:r>
            <w:r>
              <w:rPr>
                <w:rFonts w:ascii="Arial" w:cs="Arial" w:eastAsia="Arial" w:hAnsi="Arial"/>
                <w:sz w:val="11"/>
                <w:szCs w:val="11"/>
                <w:color w:val="auto"/>
              </w:rPr>
              <w:t>(2)</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88"/>
              </w:rPr>
              <w:t>$9.15</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7"/>
              </w:rPr>
              <w:t>$24,705,000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$2,831.19</w:t>
            </w:r>
          </w:p>
        </w:tc>
        <w:tc>
          <w:tcPr>
            <w:tcW w:w="28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59" w:lineRule="exact"/>
        <w:rPr>
          <w:sz w:val="24"/>
          <w:szCs w:val="24"/>
          <w:color w:val="auto"/>
        </w:rPr>
      </w:pPr>
    </w:p>
    <w:p>
      <w:pPr>
        <w:ind w:left="460" w:right="40" w:hanging="452"/>
        <w:spacing w:after="0" w:line="284"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shall also cover any additional shares of common stock which become issuable under the above-named plan by reason of any stock dividend, stock split, recapitalization or any other similar transaction effected without the receipt of consideration which results in an increase in the number of shares of our outstanding common stock.</w:t>
      </w:r>
    </w:p>
    <w:p>
      <w:pPr>
        <w:spacing w:after="0" w:line="1"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that are currently authorized for issuance under the Acadia Healthcare Company, Inc. 2011 Incentive Compensation Plan (the “2011 Plan”).</w:t>
      </w:r>
    </w:p>
    <w:p>
      <w:pPr>
        <w:ind w:left="460" w:right="24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offering price is calculated pursuant to Rule 457(c) and Rule 457(h) under the Securities Act on the basis of the average of the high and low sale prices for the shares of common stock reported on The NASDAQ Stock Market LLC on November 10, 2011, solely for the purpose of calculating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INFORMATION REQUIRED IN THE SECTION 10(a)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218" w:lineRule="exact"/>
        <w:rPr>
          <w:sz w:val="20"/>
          <w:szCs w:val="20"/>
          <w:color w:val="auto"/>
        </w:rPr>
      </w:pPr>
    </w:p>
    <w:p>
      <w:pPr>
        <w:ind w:left="460" w:hanging="452"/>
        <w:spacing w:after="0" w:line="25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documents containing the information specified in Part I will be delivered in accordance with Rule 428(b)(1) under the Securities Act. Such documents are not required to be, and are not, filed with the Securities and Exchange Commission (the “Commission”), either as part of this Registration Statement or as prospectuses or prospectus supplements pursuant to Rule 424 under the Securities Act. These documents, and the documents incorporated by reference in this Registration Statement pursuant to Item 3 of Part II of the Form S-8, taken together, constitute a prospectus that meets the requirements of Section 10(a) of the Securities Act.</w:t>
      </w:r>
    </w:p>
    <w:p>
      <w:pPr>
        <w:sectPr>
          <w:pgSz w:w="11900" w:h="16838" w:orient="portrait"/>
          <w:cols w:equalWidth="0" w:num="1">
            <w:col w:w="11400"/>
          </w:cols>
          <w:pgMar w:left="240" w:top="274" w:right="2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documents, which have been filed by the Registrant with the Commission, are incorporated in this Registration Statement by reference:</w:t>
      </w:r>
    </w:p>
    <w:p>
      <w:pPr>
        <w:spacing w:after="0" w:line="113" w:lineRule="exact"/>
        <w:rPr>
          <w:sz w:val="20"/>
          <w:szCs w:val="20"/>
          <w:color w:val="auto"/>
        </w:rPr>
      </w:pPr>
    </w:p>
    <w:p>
      <w:pPr>
        <w:ind w:left="460" w:right="20" w:firstLine="443"/>
        <w:spacing w:after="0" w:line="259" w:lineRule="auto"/>
        <w:tabs>
          <w:tab w:leader="none" w:pos="113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Prospectus filed with the Commission on September 29, 2011 pursuant to Rule 424(b) of the Securities Act, which relates to the Registrant’s Registration Statement on Form S-4, initially filed with the Commission on July 13, 2011 (Registration No. 333-175523) (the “Registration Statement”);</w:t>
      </w:r>
    </w:p>
    <w:p>
      <w:pPr>
        <w:spacing w:after="0" w:line="59"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October 26, 2011, October 27, 2011, November 1, 2011 and November 14, 2011;</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Quarterly Report on Form 10-Q filed with the Commission on November 14, 2011;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w:t>
      </w:r>
    </w:p>
    <w:p>
      <w:pPr>
        <w:spacing w:after="0" w:line="15" w:lineRule="exact"/>
        <w:rPr>
          <w:sz w:val="20"/>
          <w:szCs w:val="20"/>
          <w:color w:val="auto"/>
        </w:rPr>
      </w:pPr>
    </w:p>
    <w:p>
      <w:pPr>
        <w:ind w:left="460"/>
        <w:spacing w:after="0" w:line="323" w:lineRule="auto"/>
        <w:rPr>
          <w:sz w:val="20"/>
          <w:szCs w:val="20"/>
          <w:color w:val="auto"/>
        </w:rPr>
      </w:pPr>
      <w:r>
        <w:rPr>
          <w:rFonts w:ascii="Arial" w:cs="Arial" w:eastAsia="Arial" w:hAnsi="Arial"/>
          <w:sz w:val="16"/>
          <w:szCs w:val="16"/>
          <w:color w:val="auto"/>
        </w:rPr>
        <w:t>Form 8-A, filed with the Commission pursuant to Section 12(b) of the Securities Exchange Act of 1934, as amended (the “Exchange Act”), on October 31, 2011 (Registration No. 001-35331), including any amendments or reports filed for the purpose of updating such descriptions.</w:t>
      </w:r>
    </w:p>
    <w:p>
      <w:pPr>
        <w:spacing w:after="0" w:line="9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All reports and other documents subsequently filed by the Registrant pursuant to Sections 13(a), 13(c), 14 and 15(d) of the Exchange Act after the date of this Registration Statement, but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4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validity of the shares of common stock offered hereby will be passed upon by Kirkland &amp; Ellis LLP, Chicago, Illinois (a limited liability partnership which includes professional corporations). Certain partners of Kirkland &amp; Ellis LLP are partners in a partnership that is an investor in one or more investment funds affiliated with Waud Capital Partners, L.L.C.</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Registrant is incorporated under the laws of the State of Delaware. 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Registrant’s amended and restated certificate of incorporation provides for this limitation of liability.</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60"/>
          </w:cols>
          <w:pgMar w:left="240" w:top="490" w:right="299" w:bottom="1440" w:gutter="0" w:footer="0" w:header="0"/>
        </w:sectPr>
      </w:pPr>
    </w:p>
    <w:bookmarkStart w:id="3" w:name="page4"/>
    <w:bookmarkEnd w:id="3"/>
    <w:p>
      <w:pPr>
        <w:ind w:firstLine="456"/>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or her conduct was illegal. A Delaware corporation may indemnify any persons who are, were or are threatened to be made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spacing w:after="0" w:line="11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or her status as such, whether or not the corporation would otherwise have the power to indemnify him under Section 145.</w:t>
      </w:r>
    </w:p>
    <w:p>
      <w:pPr>
        <w:spacing w:after="0" w:line="143"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The Registrant’s amended and restated bylaws provide that the Registrant must indemnify its directors and officers to the fullest extent authorized by the DGCL and must also pay expenses incurred in defending any such proceeding in advance of its final disposition; provided, that if and to the extent required by the DGCL, the advancement of expenses shall only be made upon delivery of an undertaking, by or on behalf of an indemnified person, to repay all amounts so advanced if it should be determined ultimately that such person is not entitled to be indemnified.</w:t>
      </w:r>
    </w:p>
    <w:p>
      <w:pPr>
        <w:spacing w:after="0" w:line="113"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The indemnification rights set forth above shall not be exclusive of any other right which an indemnified person may have or hereafter acquire under any statute, provision of the Registrant’s certificate of incorporation or bylaws, agreement, vote of stockholders or disinterested directors or otherwise.</w:t>
      </w:r>
    </w:p>
    <w:p>
      <w:pPr>
        <w:spacing w:after="0" w:line="8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Registrant maintains standard policies of insurance that provide coverage (1) to its directors and officers against loss arising from claims made by reason of breach of duty or other wrongful act and (2) to the Registrant with respect to indemnification payments that it may make to such directors and officers.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 is made to the attached Exhibit Index, which is incorporated herein by reference.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80" w:right="27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1140" w:hanging="237"/>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the Registration Statement:</w:t>
      </w:r>
    </w:p>
    <w:p>
      <w:pPr>
        <w:spacing w:after="0" w:line="113" w:lineRule="exact"/>
        <w:rPr>
          <w:rFonts w:ascii="Arial" w:cs="Arial" w:eastAsia="Arial" w:hAnsi="Arial"/>
          <w:sz w:val="16"/>
          <w:szCs w:val="16"/>
          <w:color w:val="auto"/>
        </w:rPr>
      </w:pPr>
    </w:p>
    <w:p>
      <w:pPr>
        <w:ind w:left="2100" w:hanging="211"/>
        <w:spacing w:after="0"/>
        <w:tabs>
          <w:tab w:leader="none" w:pos="21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1500" w:firstLine="389"/>
        <w:spacing w:after="0" w:line="290" w:lineRule="auto"/>
        <w:tabs>
          <w:tab w:leader="none" w:pos="2155"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37" w:lineRule="exact"/>
        <w:rPr>
          <w:rFonts w:ascii="Arial" w:cs="Arial" w:eastAsia="Arial" w:hAnsi="Arial"/>
          <w:sz w:val="16"/>
          <w:szCs w:val="16"/>
          <w:color w:val="auto"/>
        </w:rPr>
      </w:pPr>
    </w:p>
    <w:p>
      <w:pPr>
        <w:ind w:left="1500" w:right="120" w:firstLine="389"/>
        <w:spacing w:after="0" w:line="268" w:lineRule="auto"/>
        <w:tabs>
          <w:tab w:leader="none" w:pos="2204"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59" w:lineRule="exact"/>
        <w:rPr>
          <w:sz w:val="20"/>
          <w:szCs w:val="20"/>
          <w:color w:val="auto"/>
        </w:rPr>
      </w:pPr>
    </w:p>
    <w:p>
      <w:pPr>
        <w:ind w:left="460" w:right="20" w:firstLine="881"/>
        <w:spacing w:after="0" w:line="259" w:lineRule="auto"/>
        <w:tabs>
          <w:tab w:leader="none" w:pos="158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right="380" w:firstLine="881"/>
        <w:spacing w:after="0" w:line="268" w:lineRule="auto"/>
        <w:tabs>
          <w:tab w:leader="none" w:pos="158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right="60" w:firstLine="443"/>
        <w:spacing w:after="0" w:line="255" w:lineRule="auto"/>
        <w:tabs>
          <w:tab w:leader="none" w:pos="114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61" w:lineRule="exact"/>
        <w:rPr>
          <w:rFonts w:ascii="Arial" w:cs="Arial" w:eastAsia="Arial" w:hAnsi="Arial"/>
          <w:sz w:val="18"/>
          <w:szCs w:val="18"/>
          <w:color w:val="auto"/>
        </w:rPr>
      </w:pPr>
    </w:p>
    <w:p>
      <w:pPr>
        <w:ind w:left="460" w:right="40" w:firstLine="443"/>
        <w:spacing w:after="0" w:line="312" w:lineRule="auto"/>
        <w:tabs>
          <w:tab w:leader="none" w:pos="1137" w:val="left"/>
        </w:tabs>
        <w:numPr>
          <w:ilvl w:val="0"/>
          <w:numId w:val="6"/>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1" w:lineRule="exact"/>
        <w:rPr>
          <w:rFonts w:ascii="Arial" w:cs="Arial" w:eastAsia="Arial" w:hAnsi="Arial"/>
          <w:sz w:val="15"/>
          <w:szCs w:val="15"/>
          <w:color w:val="auto"/>
        </w:rPr>
      </w:pPr>
    </w:p>
    <w:p>
      <w:pPr>
        <w:ind w:left="5680" w:hanging="112"/>
        <w:spacing w:after="0"/>
        <w:tabs>
          <w:tab w:leader="none" w:pos="5680" w:val="left"/>
        </w:tabs>
        <w:numPr>
          <w:ilvl w:val="2"/>
          <w:numId w:val="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Franklin of Tennessee, on November 15, 2011.</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ACADIA HEALTHCARE COMPANY,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Joey A.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Joey A. Jacobs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the undersigned officers and directors of Acadia Healthcare Company, Inc., hereby severally constitute and appoint Christopher L. Howard and Reeve B. Waud,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any subsequent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Signature</w:t>
            </w:r>
          </w:p>
        </w:tc>
        <w:tc>
          <w:tcPr>
            <w:tcW w:w="1140" w:type="dxa"/>
            <w:vAlign w:val="bottom"/>
          </w:tcPr>
          <w:p>
            <w:pPr>
              <w:spacing w:after="0"/>
              <w:rPr>
                <w:sz w:val="15"/>
                <w:szCs w:val="15"/>
                <w:color w:val="auto"/>
              </w:rPr>
            </w:pPr>
          </w:p>
        </w:tc>
        <w:tc>
          <w:tcPr>
            <w:tcW w:w="3640" w:type="dxa"/>
            <w:vAlign w:val="bottom"/>
            <w:tcBorders>
              <w:bottom w:val="single" w:sz="8" w:color="auto"/>
            </w:tcBorders>
          </w:tcPr>
          <w:p>
            <w:pPr>
              <w:ind w:left="1700"/>
              <w:spacing w:after="0"/>
              <w:rPr>
                <w:sz w:val="20"/>
                <w:szCs w:val="20"/>
                <w:color w:val="auto"/>
              </w:rPr>
            </w:pPr>
            <w:r>
              <w:rPr>
                <w:rFonts w:ascii="Arial" w:cs="Arial" w:eastAsia="Arial" w:hAnsi="Arial"/>
                <w:sz w:val="14"/>
                <w:szCs w:val="14"/>
                <w:color w:val="auto"/>
              </w:rPr>
              <w:t>Title</w:t>
            </w:r>
          </w:p>
        </w:tc>
        <w:tc>
          <w:tcPr>
            <w:tcW w:w="114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r>
      <w:tr>
        <w:trPr>
          <w:trHeight w:val="316"/>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Joey A. Jacobs</w:t>
            </w:r>
          </w:p>
        </w:tc>
        <w:tc>
          <w:tcPr>
            <w:tcW w:w="5920" w:type="dxa"/>
            <w:vAlign w:val="bottom"/>
            <w:gridSpan w:val="3"/>
          </w:tcPr>
          <w:p>
            <w:pPr>
              <w:ind w:left="1140"/>
              <w:spacing w:after="0"/>
              <w:rPr>
                <w:sz w:val="20"/>
                <w:szCs w:val="20"/>
                <w:color w:val="auto"/>
              </w:rPr>
            </w:pPr>
            <w:r>
              <w:rPr>
                <w:rFonts w:ascii="Arial" w:cs="Arial" w:eastAsia="Arial" w:hAnsi="Arial"/>
                <w:sz w:val="18"/>
                <w:szCs w:val="18"/>
                <w:color w:val="auto"/>
              </w:rPr>
              <w:t>Chief Executive Officer</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November 15, 2011</w:t>
            </w:r>
          </w:p>
        </w:tc>
      </w:tr>
      <w:tr>
        <w:trPr>
          <w:trHeight w:val="218"/>
        </w:trPr>
        <w:tc>
          <w:tcPr>
            <w:tcW w:w="3880" w:type="dxa"/>
            <w:vAlign w:val="bottom"/>
          </w:tcPr>
          <w:p>
            <w:pPr>
              <w:jc w:val="center"/>
              <w:spacing w:after="0"/>
              <w:rPr>
                <w:sz w:val="20"/>
                <w:szCs w:val="20"/>
                <w:color w:val="auto"/>
              </w:rPr>
            </w:pPr>
            <w:r>
              <w:rPr>
                <w:rFonts w:ascii="Arial" w:cs="Arial" w:eastAsia="Arial" w:hAnsi="Arial"/>
                <w:sz w:val="18"/>
                <w:szCs w:val="18"/>
                <w:color w:val="auto"/>
                <w:w w:val="86"/>
              </w:rPr>
              <w:t>Joey A. Jacobs</w:t>
            </w:r>
          </w:p>
        </w:tc>
        <w:tc>
          <w:tcPr>
            <w:tcW w:w="5920" w:type="dxa"/>
            <w:vAlign w:val="bottom"/>
            <w:gridSpan w:val="3"/>
          </w:tcPr>
          <w:p>
            <w:pPr>
              <w:ind w:left="1140"/>
              <w:spacing w:after="0"/>
              <w:rPr>
                <w:sz w:val="20"/>
                <w:szCs w:val="20"/>
                <w:color w:val="auto"/>
              </w:rPr>
            </w:pPr>
            <w:r>
              <w:rPr>
                <w:rFonts w:ascii="Arial" w:cs="Arial" w:eastAsia="Arial" w:hAnsi="Arial"/>
                <w:sz w:val="18"/>
                <w:szCs w:val="18"/>
                <w:color w:val="auto"/>
              </w:rPr>
              <w:t>(Principal executive officer)</w:t>
            </w:r>
          </w:p>
        </w:tc>
        <w:tc>
          <w:tcPr>
            <w:tcW w:w="1620" w:type="dxa"/>
            <w:vAlign w:val="bottom"/>
          </w:tcPr>
          <w:p>
            <w:pPr>
              <w:spacing w:after="0"/>
              <w:rPr>
                <w:sz w:val="18"/>
                <w:szCs w:val="18"/>
                <w:color w:val="auto"/>
              </w:rPr>
            </w:pPr>
          </w:p>
        </w:tc>
      </w:tr>
      <w:tr>
        <w:trPr>
          <w:trHeight w:val="329"/>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Jack E. Polson</w:t>
            </w:r>
          </w:p>
        </w:tc>
        <w:tc>
          <w:tcPr>
            <w:tcW w:w="5920" w:type="dxa"/>
            <w:vAlign w:val="bottom"/>
            <w:gridSpan w:val="3"/>
          </w:tcPr>
          <w:p>
            <w:pPr>
              <w:ind w:left="1140"/>
              <w:spacing w:after="0"/>
              <w:rPr>
                <w:sz w:val="20"/>
                <w:szCs w:val="20"/>
                <w:color w:val="auto"/>
              </w:rPr>
            </w:pPr>
            <w:r>
              <w:rPr>
                <w:rFonts w:ascii="Arial" w:cs="Arial" w:eastAsia="Arial" w:hAnsi="Arial"/>
                <w:sz w:val="18"/>
                <w:szCs w:val="18"/>
                <w:color w:val="auto"/>
              </w:rPr>
              <w:t>Chief Financial Officer</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November 15, 2011</w:t>
            </w:r>
          </w:p>
        </w:tc>
      </w:tr>
      <w:tr>
        <w:trPr>
          <w:trHeight w:val="218"/>
        </w:trPr>
        <w:tc>
          <w:tcPr>
            <w:tcW w:w="3880" w:type="dxa"/>
            <w:vAlign w:val="bottom"/>
          </w:tcPr>
          <w:p>
            <w:pPr>
              <w:jc w:val="center"/>
              <w:spacing w:after="0"/>
              <w:rPr>
                <w:sz w:val="20"/>
                <w:szCs w:val="20"/>
                <w:color w:val="auto"/>
              </w:rPr>
            </w:pPr>
            <w:r>
              <w:rPr>
                <w:rFonts w:ascii="Arial" w:cs="Arial" w:eastAsia="Arial" w:hAnsi="Arial"/>
                <w:sz w:val="18"/>
                <w:szCs w:val="18"/>
                <w:color w:val="auto"/>
                <w:w w:val="85"/>
              </w:rPr>
              <w:t>Jack E. Polson</w:t>
            </w:r>
          </w:p>
        </w:tc>
        <w:tc>
          <w:tcPr>
            <w:tcW w:w="5920" w:type="dxa"/>
            <w:vAlign w:val="bottom"/>
            <w:gridSpan w:val="3"/>
          </w:tcPr>
          <w:p>
            <w:pPr>
              <w:ind w:left="1140"/>
              <w:spacing w:after="0"/>
              <w:rPr>
                <w:sz w:val="20"/>
                <w:szCs w:val="20"/>
                <w:color w:val="auto"/>
              </w:rPr>
            </w:pPr>
            <w:r>
              <w:rPr>
                <w:rFonts w:ascii="Arial" w:cs="Arial" w:eastAsia="Arial" w:hAnsi="Arial"/>
                <w:sz w:val="18"/>
                <w:szCs w:val="18"/>
                <w:color w:val="auto"/>
              </w:rPr>
              <w:t>(Principal financial officer)</w:t>
            </w:r>
          </w:p>
        </w:tc>
        <w:tc>
          <w:tcPr>
            <w:tcW w:w="1620" w:type="dxa"/>
            <w:vAlign w:val="bottom"/>
          </w:tcPr>
          <w:p>
            <w:pPr>
              <w:spacing w:after="0"/>
              <w:rPr>
                <w:sz w:val="18"/>
                <w:szCs w:val="18"/>
                <w:color w:val="auto"/>
              </w:rPr>
            </w:pPr>
          </w:p>
        </w:tc>
      </w:tr>
      <w:tr>
        <w:trPr>
          <w:trHeight w:val="329"/>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Duckworth</w:t>
            </w:r>
          </w:p>
        </w:tc>
        <w:tc>
          <w:tcPr>
            <w:tcW w:w="5920" w:type="dxa"/>
            <w:vAlign w:val="bottom"/>
            <w:gridSpan w:val="3"/>
          </w:tcPr>
          <w:p>
            <w:pPr>
              <w:ind w:left="1140"/>
              <w:spacing w:after="0"/>
              <w:rPr>
                <w:sz w:val="20"/>
                <w:szCs w:val="20"/>
                <w:color w:val="auto"/>
              </w:rPr>
            </w:pPr>
            <w:r>
              <w:rPr>
                <w:rFonts w:ascii="Arial" w:cs="Arial" w:eastAsia="Arial" w:hAnsi="Arial"/>
                <w:sz w:val="18"/>
                <w:szCs w:val="18"/>
                <w:color w:val="auto"/>
              </w:rPr>
              <w:t>Controller</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November 15, 2011</w:t>
            </w:r>
          </w:p>
        </w:tc>
      </w:tr>
      <w:tr>
        <w:trPr>
          <w:trHeight w:val="218"/>
        </w:trPr>
        <w:tc>
          <w:tcPr>
            <w:tcW w:w="3880" w:type="dxa"/>
            <w:vAlign w:val="bottom"/>
          </w:tcPr>
          <w:p>
            <w:pPr>
              <w:jc w:val="center"/>
              <w:spacing w:after="0"/>
              <w:rPr>
                <w:sz w:val="20"/>
                <w:szCs w:val="20"/>
                <w:color w:val="auto"/>
              </w:rPr>
            </w:pPr>
            <w:r>
              <w:rPr>
                <w:rFonts w:ascii="Arial" w:cs="Arial" w:eastAsia="Arial" w:hAnsi="Arial"/>
                <w:sz w:val="18"/>
                <w:szCs w:val="18"/>
                <w:color w:val="auto"/>
                <w:w w:val="92"/>
              </w:rPr>
              <w:t>David Duckworth</w:t>
            </w:r>
          </w:p>
        </w:tc>
        <w:tc>
          <w:tcPr>
            <w:tcW w:w="5920" w:type="dxa"/>
            <w:vAlign w:val="bottom"/>
            <w:gridSpan w:val="3"/>
          </w:tcPr>
          <w:p>
            <w:pPr>
              <w:ind w:left="1140"/>
              <w:spacing w:after="0"/>
              <w:rPr>
                <w:sz w:val="20"/>
                <w:szCs w:val="20"/>
                <w:color w:val="auto"/>
              </w:rPr>
            </w:pPr>
            <w:r>
              <w:rPr>
                <w:rFonts w:ascii="Arial" w:cs="Arial" w:eastAsia="Arial" w:hAnsi="Arial"/>
                <w:sz w:val="18"/>
                <w:szCs w:val="18"/>
                <w:color w:val="auto"/>
              </w:rPr>
              <w:t>(Principal accounting officer)</w:t>
            </w:r>
          </w:p>
        </w:tc>
        <w:tc>
          <w:tcPr>
            <w:tcW w:w="1620" w:type="dxa"/>
            <w:vAlign w:val="bottom"/>
          </w:tcPr>
          <w:p>
            <w:pPr>
              <w:spacing w:after="0"/>
              <w:rPr>
                <w:sz w:val="18"/>
                <w:szCs w:val="18"/>
                <w:color w:val="auto"/>
              </w:rPr>
            </w:pPr>
          </w:p>
        </w:tc>
      </w:tr>
      <w:tr>
        <w:trPr>
          <w:trHeight w:val="330"/>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Bruce A. Shear</w:t>
            </w:r>
          </w:p>
        </w:tc>
        <w:tc>
          <w:tcPr>
            <w:tcW w:w="5920" w:type="dxa"/>
            <w:vAlign w:val="bottom"/>
            <w:gridSpan w:val="3"/>
          </w:tcPr>
          <w:p>
            <w:pPr>
              <w:ind w:left="1140"/>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November 15, 2011</w:t>
            </w:r>
          </w:p>
        </w:tc>
      </w:tr>
      <w:tr>
        <w:trPr>
          <w:trHeight w:val="217"/>
        </w:trPr>
        <w:tc>
          <w:tcPr>
            <w:tcW w:w="3880" w:type="dxa"/>
            <w:vAlign w:val="bottom"/>
          </w:tcPr>
          <w:p>
            <w:pPr>
              <w:jc w:val="center"/>
              <w:spacing w:after="0"/>
              <w:rPr>
                <w:sz w:val="20"/>
                <w:szCs w:val="20"/>
                <w:color w:val="auto"/>
              </w:rPr>
            </w:pPr>
            <w:r>
              <w:rPr>
                <w:rFonts w:ascii="Arial" w:cs="Arial" w:eastAsia="Arial" w:hAnsi="Arial"/>
                <w:sz w:val="18"/>
                <w:szCs w:val="18"/>
                <w:color w:val="auto"/>
                <w:w w:val="88"/>
              </w:rPr>
              <w:t>Bruce A. Shear</w:t>
            </w:r>
          </w:p>
        </w:tc>
        <w:tc>
          <w:tcPr>
            <w:tcW w:w="1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56"/>
        </w:trPr>
        <w:tc>
          <w:tcPr>
            <w:tcW w:w="3880" w:type="dxa"/>
            <w:vAlign w:val="bottom"/>
          </w:tcPr>
          <w:p>
            <w:pPr>
              <w:spacing w:after="0"/>
              <w:rPr>
                <w:sz w:val="24"/>
                <w:szCs w:val="24"/>
                <w:color w:val="auto"/>
              </w:rPr>
            </w:pPr>
          </w:p>
        </w:tc>
        <w:tc>
          <w:tcPr>
            <w:tcW w:w="4780" w:type="dxa"/>
            <w:vAlign w:val="bottom"/>
            <w:gridSpan w:val="2"/>
          </w:tcPr>
          <w:p>
            <w:pPr>
              <w:ind w:left="1680"/>
              <w:spacing w:after="0"/>
              <w:rPr>
                <w:sz w:val="20"/>
                <w:szCs w:val="20"/>
                <w:color w:val="auto"/>
              </w:rPr>
            </w:pPr>
            <w:r>
              <w:rPr>
                <w:rFonts w:ascii="Arial" w:cs="Arial" w:eastAsia="Arial" w:hAnsi="Arial"/>
                <w:sz w:val="18"/>
                <w:szCs w:val="18"/>
                <w:color w:val="auto"/>
              </w:rPr>
              <w:t>- 5 -</w:t>
            </w: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490" w:right="239" w:bottom="1440" w:gutter="0" w:footer="0" w:header="0"/>
        </w:sectPr>
      </w:pPr>
    </w:p>
    <w:bookmarkStart w:id="6" w:name="page7"/>
    <w:bookmarkEnd w:id="6"/>
    <w:p>
      <w:pPr>
        <w:jc w:val="center"/>
        <w:ind w:right="1480"/>
        <w:spacing w:after="0"/>
        <w:rPr>
          <w:sz w:val="20"/>
          <w:szCs w:val="20"/>
          <w:color w:val="auto"/>
        </w:rPr>
      </w:pPr>
      <w:r>
        <w:rPr>
          <w:rFonts w:ascii="Arial" w:cs="Arial" w:eastAsia="Arial" w:hAnsi="Arial"/>
          <w:sz w:val="18"/>
          <w:szCs w:val="18"/>
          <w:color w:val="auto"/>
        </w:rPr>
        <w:t>/s/ Reeve B. Waud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19685</wp:posOffset>
            </wp:positionV>
            <wp:extent cx="24612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Reeve B. Waud</w:t>
      </w:r>
    </w:p>
    <w:p>
      <w:pPr>
        <w:spacing w:after="0" w:line="117" w:lineRule="exact"/>
        <w:rPr>
          <w:sz w:val="20"/>
          <w:szCs w:val="20"/>
          <w:color w:val="auto"/>
        </w:rPr>
      </w:pPr>
    </w:p>
    <w:p>
      <w:pPr>
        <w:jc w:val="center"/>
        <w:ind w:right="1480"/>
        <w:spacing w:after="0"/>
        <w:rPr>
          <w:sz w:val="20"/>
          <w:szCs w:val="20"/>
          <w:color w:val="auto"/>
        </w:rPr>
      </w:pPr>
      <w:r>
        <w:rPr>
          <w:rFonts w:ascii="Arial" w:cs="Arial" w:eastAsia="Arial" w:hAnsi="Arial"/>
          <w:sz w:val="16"/>
          <w:szCs w:val="16"/>
          <w:color w:val="auto"/>
        </w:rPr>
        <w:t>/s/ Charles E.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34290</wp:posOffset>
            </wp:positionV>
            <wp:extent cx="24612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9"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Charles E. Edwards</w:t>
      </w:r>
    </w:p>
    <w:p>
      <w:pPr>
        <w:spacing w:after="0" w:line="117" w:lineRule="exact"/>
        <w:rPr>
          <w:sz w:val="20"/>
          <w:szCs w:val="20"/>
          <w:color w:val="auto"/>
        </w:rPr>
      </w:pPr>
    </w:p>
    <w:p>
      <w:pPr>
        <w:jc w:val="center"/>
        <w:ind w:right="1480"/>
        <w:spacing w:after="0"/>
        <w:rPr>
          <w:sz w:val="20"/>
          <w:szCs w:val="20"/>
          <w:color w:val="auto"/>
        </w:rPr>
      </w:pPr>
      <w:r>
        <w:rPr>
          <w:rFonts w:ascii="Arial" w:cs="Arial" w:eastAsia="Arial" w:hAnsi="Arial"/>
          <w:sz w:val="16"/>
          <w:szCs w:val="16"/>
          <w:color w:val="auto"/>
        </w:rPr>
        <w:t>/s/ Matthew A.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34290</wp:posOffset>
            </wp:positionV>
            <wp:extent cx="24612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9"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Matthew A. London</w:t>
      </w:r>
    </w:p>
    <w:p>
      <w:pPr>
        <w:spacing w:after="0" w:line="117" w:lineRule="exact"/>
        <w:rPr>
          <w:sz w:val="20"/>
          <w:szCs w:val="20"/>
          <w:color w:val="auto"/>
        </w:rPr>
      </w:pPr>
    </w:p>
    <w:p>
      <w:pPr>
        <w:jc w:val="center"/>
        <w:ind w:right="1480"/>
        <w:spacing w:after="0"/>
        <w:rPr>
          <w:sz w:val="20"/>
          <w:szCs w:val="20"/>
          <w:color w:val="auto"/>
        </w:rPr>
      </w:pPr>
      <w:r>
        <w:rPr>
          <w:rFonts w:ascii="Arial" w:cs="Arial" w:eastAsia="Arial" w:hAnsi="Arial"/>
          <w:sz w:val="16"/>
          <w:szCs w:val="16"/>
          <w:color w:val="auto"/>
        </w:rPr>
        <w:t>/s/ Gary A. Mecklenburg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34290</wp:posOffset>
            </wp:positionV>
            <wp:extent cx="24612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9"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Gary A. Mecklenburg</w:t>
      </w:r>
    </w:p>
    <w:p>
      <w:pPr>
        <w:spacing w:after="0" w:line="117"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/s/ William F. Grieco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19685</wp:posOffset>
            </wp:positionV>
            <wp:extent cx="24612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William F. Grieco</w:t>
      </w:r>
    </w:p>
    <w:p>
      <w:pPr>
        <w:spacing w:after="0" w:line="20" w:lineRule="exact"/>
        <w:rPr>
          <w:sz w:val="20"/>
          <w:szCs w:val="20"/>
          <w:color w:val="auto"/>
        </w:rPr>
      </w:pPr>
      <w:r>
        <w:rPr>
          <w:sz w:val="20"/>
          <w:szCs w:val="20"/>
          <w:color w:val="auto"/>
        </w:rPr>
        <w:br w:type="column"/>
      </w: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-206375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75" w:lineRule="exact"/>
        <w:rPr>
          <w:sz w:val="20"/>
          <w:szCs w:val="20"/>
          <w:color w:val="auto"/>
        </w:rPr>
      </w:pP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15, 2011</w:t>
      </w:r>
    </w:p>
    <w:p>
      <w:pPr>
        <w:spacing w:after="0" w:line="395" w:lineRule="exact"/>
        <w:rPr>
          <w:sz w:val="20"/>
          <w:szCs w:val="20"/>
          <w:color w:val="auto"/>
        </w:rPr>
      </w:pP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15, 2011</w:t>
      </w:r>
    </w:p>
    <w:p>
      <w:pPr>
        <w:spacing w:after="0" w:line="395" w:lineRule="exact"/>
        <w:rPr>
          <w:sz w:val="20"/>
          <w:szCs w:val="20"/>
          <w:color w:val="auto"/>
        </w:rPr>
      </w:pP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15, 2011</w:t>
      </w:r>
    </w:p>
    <w:p>
      <w:pPr>
        <w:spacing w:after="0" w:line="395" w:lineRule="exact"/>
        <w:rPr>
          <w:sz w:val="20"/>
          <w:szCs w:val="20"/>
          <w:color w:val="auto"/>
        </w:rPr>
      </w:pP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15, 2011</w:t>
      </w: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- 6 -</w:t>
      </w:r>
    </w:p>
    <w:p>
      <w:pPr>
        <w:sectPr>
          <w:pgSz w:w="11900" w:h="16838" w:orient="portrait"/>
          <w:cols w:equalWidth="0" w:num="2">
            <w:col w:w="3220" w:space="720"/>
            <w:col w:w="6280"/>
          </w:cols>
          <w:pgMar w:left="1320" w:top="280"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jc w:val="center"/>
              <w:ind w:right="973"/>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10340" w:type="dxa"/>
            <w:vAlign w:val="bottom"/>
          </w:tcPr>
          <w:p>
            <w:pPr>
              <w:spacing w:after="0"/>
              <w:rPr>
                <w:sz w:val="24"/>
                <w:szCs w:val="2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10340" w:type="dxa"/>
            <w:vAlign w:val="bottom"/>
            <w:tcBorders>
              <w:bottom w:val="single" w:sz="8" w:color="auto"/>
            </w:tcBorders>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Amended and Restated Certificate of Incorporation of the Registrant (incorporated by reference to Exhibit 3.1 to the Registrant’s Registration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Statement on Form S-4 (Reg. No. 333-175523))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Amended and Restated Bylaws of the Registrant (incorporated by reference to Exhibit 3.2 to the Registrant’s Registration Statement on Form S-4</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(Reg. No. 333-175523))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Acadia Healthcare Company, Inc. 2011 Incentive Compensation Plan (incorporated by reference to Exhibit 10.23 to the Registrant’s Registration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Statement on Form S-4 (Reg. No. 333-175523))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Specimen Common Stock Certificate of Acadia Healthcare Company, Inc. (incorporated by reference to Exhibit 4.2 to the Registrant’s</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Registration Statement on Form S-4 (Reg. No. 333-175523))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Kirkland &amp; Ellis LLP, with respect to the legality of the shares of common stock being registered hereby</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Consent of Ernst &amp; Young LLP, an independent registered public accounting firm, with respect to the audited financials of Acadia Healthcare</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Company,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Consent of Ernst &amp; Young, LLP, an independent registered public accounting firm, with respect to the audited financials of Youth &amp; Family</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Centered Services, Inc.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23.3</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Consent of Ernst &amp; Young, LLP, an independent registered public accounting firm, with respect to the audited financials of MeadowWood</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Behavioral Health System</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23.4</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BDO USA, LLP, an independent registered public accounting firm, with respect to the audited financials of PHC,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23.5</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Kirkland &amp; Ellis LLP (included in Exhibit 5.1)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Power of Attorney of certain officers and directors of the Registrant to file future amendments (set forth on the signature page of this Registration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Statement)</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473"/>
              <w:spacing w:after="0"/>
              <w:rPr>
                <w:sz w:val="20"/>
                <w:szCs w:val="20"/>
                <w:color w:val="auto"/>
              </w:rPr>
            </w:pPr>
            <w:r>
              <w:rPr>
                <w:rFonts w:ascii="Arial" w:cs="Arial" w:eastAsia="Arial" w:hAnsi="Arial"/>
                <w:sz w:val="18"/>
                <w:szCs w:val="18"/>
                <w:color w:val="auto"/>
              </w:rPr>
              <w:t>- 7 -</w:t>
            </w:r>
          </w:p>
        </w:tc>
      </w:tr>
    </w:tbl>
    <w:p>
      <w:pPr>
        <w:jc w:val="right"/>
        <w:ind w:right="5473"/>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118110</wp:posOffset>
            </wp:positionV>
            <wp:extent cx="2118360" cy="386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18360" cy="3860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680"/>
        <w:spacing w:after="0"/>
        <w:rPr>
          <w:sz w:val="20"/>
          <w:szCs w:val="20"/>
          <w:color w:val="auto"/>
        </w:rPr>
      </w:pPr>
      <w:r>
        <w:rPr>
          <w:rFonts w:ascii="Arial" w:cs="Arial" w:eastAsia="Arial" w:hAnsi="Arial"/>
          <w:sz w:val="18"/>
          <w:szCs w:val="18"/>
          <w:color w:val="auto"/>
        </w:rPr>
        <w:t>Telephone:</w:t>
      </w:r>
    </w:p>
    <w:p>
      <w:pPr>
        <w:spacing w:after="0" w:line="15" w:lineRule="exact"/>
        <w:rPr>
          <w:sz w:val="20"/>
          <w:szCs w:val="20"/>
          <w:color w:val="auto"/>
        </w:rPr>
      </w:pPr>
    </w:p>
    <w:p>
      <w:pPr>
        <w:jc w:val="center"/>
        <w:ind w:right="2680"/>
        <w:spacing w:after="0"/>
        <w:rPr>
          <w:sz w:val="20"/>
          <w:szCs w:val="20"/>
          <w:color w:val="auto"/>
        </w:rPr>
      </w:pPr>
      <w:r>
        <w:rPr>
          <w:rFonts w:ascii="Arial" w:cs="Arial" w:eastAsia="Arial" w:hAnsi="Arial"/>
          <w:sz w:val="16"/>
          <w:szCs w:val="16"/>
          <w:color w:val="auto"/>
        </w:rPr>
        <w:t>(312) 862-2000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300 N. LaSalle</w:t>
      </w:r>
    </w:p>
    <w:p>
      <w:pPr>
        <w:spacing w:after="0" w:line="15" w:lineRule="exact"/>
        <w:rPr>
          <w:sz w:val="20"/>
          <w:szCs w:val="20"/>
          <w:color w:val="auto"/>
        </w:rPr>
      </w:pPr>
    </w:p>
    <w:p>
      <w:pPr>
        <w:jc w:val="center"/>
        <w:ind w:right="2800"/>
        <w:spacing w:after="0"/>
        <w:rPr>
          <w:sz w:val="20"/>
          <w:szCs w:val="20"/>
          <w:color w:val="auto"/>
        </w:rPr>
      </w:pPr>
      <w:r>
        <w:rPr>
          <w:rFonts w:ascii="Arial" w:cs="Arial" w:eastAsia="Arial" w:hAnsi="Arial"/>
          <w:sz w:val="16"/>
          <w:szCs w:val="16"/>
          <w:color w:val="auto"/>
        </w:rPr>
        <w:t>Chicago, Illinois 60654</w:t>
      </w:r>
    </w:p>
    <w:p>
      <w:pPr>
        <w:spacing w:after="0" w:line="32"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www.kirkland.com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Facsimile:</w:t>
      </w:r>
    </w:p>
    <w:p>
      <w:pPr>
        <w:spacing w:after="0" w:line="1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(212) 862-2200</w:t>
      </w:r>
    </w:p>
    <w:p>
      <w:pPr>
        <w:spacing w:after="0" w:line="417" w:lineRule="exact"/>
        <w:rPr>
          <w:sz w:val="20"/>
          <w:szCs w:val="20"/>
          <w:color w:val="auto"/>
        </w:rPr>
      </w:pPr>
    </w:p>
    <w:p>
      <w:pPr>
        <w:sectPr>
          <w:pgSz w:w="11900" w:h="16838" w:orient="portrait"/>
          <w:cols w:equalWidth="0" w:num="3">
            <w:col w:w="4300" w:space="720"/>
            <w:col w:w="4440" w:space="720"/>
            <w:col w:w="1240"/>
          </w:cols>
          <w:pgMar w:left="240" w:top="125"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November 15, 2011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Acadia Healthcare Company,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830 Crescent Centre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610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Franklin, Tennessee 37067</w:t>
      </w:r>
    </w:p>
    <w:p>
      <w:pPr>
        <w:sectPr>
          <w:pgSz w:w="11900" w:h="16838" w:orient="portrait"/>
          <w:cols w:equalWidth="0" w:num="1">
            <w:col w:w="11420"/>
          </w:cols>
          <w:pgMar w:left="240" w:top="125" w:right="239" w:bottom="1440" w:gutter="0" w:footer="0" w:header="0"/>
          <w:type w:val="continuous"/>
        </w:sectPr>
      </w:pP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Registration Statement on Form S-8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providing this letter in our capacity as special counsel to Acadia Healthcare Company,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filing by the Company of a Registration Statement on Form S-8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covering up to 2,700,000 shares of common stock of the Company, par value $0.01 per share (the “</w:t>
      </w:r>
      <w:r>
        <w:rPr>
          <w:rFonts w:ascii="Arial" w:cs="Arial" w:eastAsia="Arial" w:hAnsi="Arial"/>
          <w:sz w:val="16"/>
          <w:szCs w:val="16"/>
          <w:u w:val="single" w:color="auto"/>
          <w:color w:val="auto"/>
        </w:rPr>
        <w:t>Plan Shares</w:t>
      </w:r>
      <w:r>
        <w:rPr>
          <w:rFonts w:ascii="Arial" w:cs="Arial" w:eastAsia="Arial" w:hAnsi="Arial"/>
          <w:sz w:val="16"/>
          <w:szCs w:val="16"/>
          <w:color w:val="auto"/>
        </w:rPr>
        <w:t>”). The Plan Shares comprise 2,700,000 shares available for future issuance under the Acadia Healthcare Company, Inc. 2011 Incentive Compensation Plan (the “</w:t>
      </w:r>
      <w:r>
        <w:rPr>
          <w:rFonts w:ascii="Arial" w:cs="Arial" w:eastAsia="Arial" w:hAnsi="Arial"/>
          <w:sz w:val="16"/>
          <w:szCs w:val="16"/>
          <w:u w:val="single" w:color="auto"/>
          <w:color w:val="auto"/>
        </w:rPr>
        <w:t>Plan</w:t>
      </w:r>
      <w:r>
        <w:rPr>
          <w:rFonts w:ascii="Arial" w:cs="Arial" w:eastAsia="Arial" w:hAnsi="Arial"/>
          <w:sz w:val="16"/>
          <w:szCs w:val="16"/>
          <w:color w:val="auto"/>
        </w:rPr>
        <w:t>”). For purposes of this letter, we have examined such documents, records, certificates, resolutions and other instruments deemed necessary as a basis for this opinion.</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Based upon and subject to the assumptions and limitations stated in this letter, we advise you that the Plan Shares are duly authorized and, when (i) the Registration Statement related to the Plan Shares becomes effective under the Act, (ii) the Plan Shares have been duly issued in accordance with the terms of the Plan, the Company’s Amended and Restated Certificate of Incorporation, as certified by the Secretary of State of the State of Delaware on October 28, 2011 (the “</w:t>
      </w:r>
      <w:r>
        <w:rPr>
          <w:rFonts w:ascii="Arial" w:cs="Arial" w:eastAsia="Arial" w:hAnsi="Arial"/>
          <w:sz w:val="16"/>
          <w:szCs w:val="16"/>
          <w:u w:val="single" w:color="auto"/>
          <w:color w:val="auto"/>
        </w:rPr>
        <w:t>Amended Charter</w:t>
      </w:r>
      <w:r>
        <w:rPr>
          <w:rFonts w:ascii="Arial" w:cs="Arial" w:eastAsia="Arial" w:hAnsi="Arial"/>
          <w:sz w:val="16"/>
          <w:szCs w:val="16"/>
          <w:color w:val="auto"/>
        </w:rPr>
        <w:t>”), and the Company’s Amended and Restated By-Laws, the Plan Shares will be validly issued, fully paid and non-assessable.</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opinion expressed above is subject to the qualification that we express no opinion as to the applicability of, compliance with, or effect of any laws except the General Corporation Law of the State of Delaware.</w:t>
      </w:r>
    </w:p>
    <w:p>
      <w:pPr>
        <w:spacing w:after="0" w:line="132"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We have relied without independent investigation upon, among other things, an assurance from the Company that the number of shares which the Company is authorized to issue in its Amended Charter exceeds the number of shares outstanding and the number of shares which the Company is obligated to issue (or had otherwise reserved for issuance) for any purposes other than issuances in connection with the Plan by at least the number of Plan Shares which may be</w:t>
      </w:r>
    </w:p>
    <w:p>
      <w:pPr>
        <w:spacing w:after="0" w:line="75" w:lineRule="exact"/>
        <w:rPr>
          <w:sz w:val="20"/>
          <w:szCs w:val="20"/>
          <w:color w:val="auto"/>
        </w:rPr>
      </w:pPr>
    </w:p>
    <w:p>
      <w:pPr>
        <w:jc w:val="center"/>
        <w:spacing w:after="0"/>
        <w:tabs>
          <w:tab w:leader="none" w:pos="200" w:val="left"/>
          <w:tab w:leader="none" w:pos="200" w:val="left"/>
          <w:tab w:leader="none" w:pos="200" w:val="left"/>
          <w:tab w:leader="none" w:pos="200" w:val="left"/>
          <w:tab w:leader="none" w:pos="200" w:val="left"/>
          <w:tab w:leader="none" w:pos="200" w:val="left"/>
          <w:tab w:leader="none" w:pos="200" w:val="left"/>
          <w:tab w:leader="none" w:pos="200" w:val="left"/>
        </w:tabs>
        <w:rPr>
          <w:sz w:val="20"/>
          <w:szCs w:val="20"/>
          <w:color w:val="auto"/>
        </w:rPr>
      </w:pPr>
      <w:r>
        <w:rPr>
          <w:rFonts w:ascii="Arial" w:cs="Arial" w:eastAsia="Arial" w:hAnsi="Arial"/>
          <w:sz w:val="18"/>
          <w:szCs w:val="18"/>
          <w:color w:val="auto"/>
        </w:rPr>
        <w:t>New York</w:t>
        <w:tab/>
        <w:t>Hong Kong</w:t>
        <w:tab/>
        <w:t>London</w:t>
        <w:tab/>
        <w:t>Los Angeles</w:t>
        <w:tab/>
        <w:t>Munich</w:t>
        <w:tab/>
        <w:t>Palo Alto</w:t>
        <w:tab/>
        <w:t>San Francisco</w:t>
        <w:tab/>
        <w:t>Shanghai</w:t>
      </w:r>
      <w:r>
        <w:rPr>
          <w:sz w:val="20"/>
          <w:szCs w:val="20"/>
          <w:color w:val="auto"/>
        </w:rPr>
        <w:tab/>
      </w:r>
      <w:r>
        <w:rPr>
          <w:rFonts w:ascii="Arial" w:cs="Arial" w:eastAsia="Arial" w:hAnsi="Arial"/>
          <w:sz w:val="16"/>
          <w:szCs w:val="16"/>
          <w:color w:val="auto"/>
        </w:rPr>
        <w:t>Washington, D.C.</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Acadia Healthcare Company,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15,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issued in connection with the Plan and we have assumed that such condition will remain true at all future times relevant to this opinion. We have assumed that the Company will cause certificates, if any, representing the Plan Shares issued in the future to be properly executed and delivered and will take all other actions appropriate for the issuances of such Plan Shares. Our opinion assumes that the Registration Statement related to the Plan Shares will become effective under the Act before any Plan Shares covered by such Registration Statement are sold.</w:t>
      </w:r>
    </w:p>
    <w:p>
      <w:pPr>
        <w:spacing w:after="0" w:line="11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hereby consent to the filing of this opinion with the Commission as Exhibit 5.1 to the Registration Statement. In giving this consent, we do not thereby admit that we are in the category of persons whose consent is required under Section 7 of the Act or the rules and regulations of the Commission.</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do not find it necessary for the purposes of this opinion, and accordingly we do not purport to cover herein, the application of the securities or “Blue Sky” laws of the various states to the issuance and sale of the Plan Shares.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opinion is limited to the specific issues addressed herein, and no opinion may be inferred or implied beyond that expressly stated herein. We assume no obligation to revise or supplement this opinion should the present laws of the State of Delaware be changed by legislative action, judicial decision or otherwise.</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opinion is furnished to you in connection with the filing of the Registration Statement and is not to be used, circulated, quoted or otherwise relied upon for any other purpose.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Kirkland &amp; Ellis LLP</w:t>
      </w:r>
    </w:p>
    <w:p>
      <w:pPr>
        <w:sectPr>
          <w:pgSz w:w="11900" w:h="16838" w:orient="portrait"/>
          <w:cols w:equalWidth="0" w:num="1">
            <w:col w:w="11380"/>
          </w:cols>
          <w:pgMar w:left="240" w:top="280" w:right="2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July 12, 2011, in the Registration Statement (Form S-4 No. 333-175523) and related Prospectus of Acadia Healthcare Company, Inc. for the registration of 5,297,022 shares of its common stock and to the incorporation by reference of our report dated July 12, 2011, with respect to the consolidated financial statements of Acadia Healthcare Company, LLC in Form S-8 relating to the registration of 2,700,000 shares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2011</w:t>
      </w:r>
    </w:p>
    <w:p>
      <w:pPr>
        <w:sectPr>
          <w:pgSz w:w="11900" w:h="16838" w:orient="portrait"/>
          <w:cols w:equalWidth="0" w:num="1">
            <w:col w:w="11420"/>
          </w:cols>
          <w:pgMar w:left="240" w:top="125"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March 31, 2011, with respect to the consolidated financial statements of Youth and Family Centered Services, Inc. and Subsidiaries included in the Registration Statement (Form S-4 No. 333-175523) and related Prospectus of Acadia Healthcare Company, Inc. for the registration of 5,297,022 shares of its common stock and to the incorporation by reference of our report dated March 31, 2011, with respect to the consolidated financial statements of Youth and Family Centered Services, Inc. and Subsidiaries in Form S-8 relating to the registration of 2,700,000 shares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2011</w:t>
      </w:r>
    </w:p>
    <w:p>
      <w:pPr>
        <w:sectPr>
          <w:pgSz w:w="11900" w:h="16838" w:orient="portrait"/>
          <w:cols w:equalWidth="0" w:num="1">
            <w:col w:w="11420"/>
          </w:cols>
          <w:pgMar w:left="240" w:top="12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June 24, 2011, except for Note 8 as to which the date is August 18, 2011, with respect to the consolidated financial statements of HHC Delaware, Inc. and Subsidiary included in the Registration Statement (Form S-4 No. 333-175523) and related Prospectus of Acadia Healthcare Company, Inc. for the registration of 5,297,022 shares of its common stock and to the incorporation by reference of our report dated June 24, 2011, except for Note 8 as to which the date is August 18, 2011, with respect to the consolidated financial statements of HHC Delaware, Inc. and Subsidiary incorporated by reference in Form S-8 relating to the registration of 2,700,000 shares of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2011</w:t>
      </w:r>
    </w:p>
    <w:p>
      <w:pPr>
        <w:sectPr>
          <w:pgSz w:w="11900" w:h="16838" w:orient="portrait"/>
          <w:cols w:equalWidth="0" w:num="1">
            <w:col w:w="11420"/>
          </w:cols>
          <w:pgMar w:left="240" w:top="125"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filed by Acadia Healthcare Company, Inc. of our report dated August 18, 2011, relating to the consolidated financial statements of PHC, Inc. and subsidiaries for the year ended June 30, 2011 appearing in Acadia Healthcare Company, Inc.’s Amendment No. 3 to Form S-4.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5">
    <w:nsid w:val="507ED7AB"/>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2019-12-11T07:22:27Z</dcterms:created>
  <dcterms:modified xsi:type="dcterms:W3CDTF">2019-12-11T07:22:27Z</dcterms:modified>
</cp:coreProperties>
</file>