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600"/>
        <w:spacing w:after="0"/>
        <w:rPr>
          <w:sz w:val="20"/>
          <w:szCs w:val="20"/>
          <w:color w:val="auto"/>
        </w:rPr>
      </w:pPr>
      <w:r>
        <w:rPr>
          <w:rFonts w:ascii="Arial" w:cs="Arial" w:eastAsia="Arial" w:hAnsi="Arial"/>
          <w:sz w:val="19"/>
          <w:szCs w:val="19"/>
          <w:b w:val="1"/>
          <w:bCs w:val="1"/>
          <w:color w:val="auto"/>
        </w:rPr>
        <w:t>Date of Report (Date of earliest event reported): November 14,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135890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Acadia Healthcare Company,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001-35331</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46-2492228</w:t>
      </w:r>
    </w:p>
    <w:p>
      <w:pPr>
        <w:spacing w:after="0" w:line="47"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830 Crescent Centre Drive, Suite 610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Franklin, Tennessee 37067</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615-861-6000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6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On November 1, 2011, Acadia Healthcare Company, Inc. (“Acadia”) completed its acquisition of PHC, Inc. (“PHC”) and the sale of $150,000,000 in aggregate principal amount of its 12.875% senior notes due 2018 (“Senior Notes”). The unaudited pro forma condensed combined financial data summarized below for the nine months ended September 30, 2011 and 2010 and the year ended December 31, 2010 gives effect to Acadia’s merger with PHC and issuance of Senior Notes on November 1, 2011, Acadia’s acquisition of Youth and Family Centered Services, Inc. (“YFCS”) and related transactions on April 1, 2011 and PHC’s acquisition of MeadowWood Behavioral Health System (“MeadowWood”) from HHC Delaware, Inc. (“HHC Delaware”) and related transactions on July 1, 2011, as if these transactions occurred on January 1, 2010.</w:t>
      </w:r>
    </w:p>
    <w:p>
      <w:pPr>
        <w:spacing w:after="0" w:line="14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4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61"/>
        </w:trPr>
        <w:tc>
          <w:tcPr>
            <w:tcW w:w="6260" w:type="dxa"/>
            <w:vAlign w:val="bottom"/>
          </w:tcPr>
          <w:p>
            <w:pPr>
              <w:spacing w:after="0"/>
              <w:rPr>
                <w:sz w:val="14"/>
                <w:szCs w:val="14"/>
                <w:color w:val="auto"/>
              </w:rPr>
            </w:pPr>
          </w:p>
        </w:tc>
        <w:tc>
          <w:tcPr>
            <w:tcW w:w="242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4"/>
          </w:tcPr>
          <w:p>
            <w:pPr>
              <w:jc w:val="right"/>
              <w:ind w:right="220"/>
              <w:spacing w:after="0" w:line="142" w:lineRule="exact"/>
              <w:rPr>
                <w:sz w:val="20"/>
                <w:szCs w:val="20"/>
                <w:color w:val="auto"/>
              </w:rPr>
            </w:pPr>
            <w:r>
              <w:rPr>
                <w:rFonts w:ascii="Arial" w:cs="Arial" w:eastAsia="Arial" w:hAnsi="Arial"/>
                <w:sz w:val="14"/>
                <w:szCs w:val="14"/>
                <w:color w:val="auto"/>
                <w:w w:val="96"/>
              </w:rPr>
              <w:t>(Dollars in thousands)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$252,235</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239,718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320,298</w:t>
            </w:r>
          </w:p>
        </w:tc>
        <w:tc>
          <w:tcPr>
            <w:tcW w:w="0" w:type="dxa"/>
            <w:vAlign w:val="bottom"/>
          </w:tcPr>
          <w:p>
            <w:pPr>
              <w:spacing w:after="0"/>
              <w:rPr>
                <w:sz w:val="1"/>
                <w:szCs w:val="1"/>
                <w:color w:val="auto"/>
              </w:rPr>
            </w:pPr>
          </w:p>
        </w:tc>
      </w:tr>
      <w:tr>
        <w:trPr>
          <w:trHeight w:val="208"/>
        </w:trPr>
        <w:tc>
          <w:tcPr>
            <w:tcW w:w="6260" w:type="dxa"/>
            <w:vAlign w:val="bottom"/>
          </w:tcPr>
          <w:p>
            <w:pPr>
              <w:spacing w:after="0"/>
              <w:rPr>
                <w:sz w:val="20"/>
                <w:szCs w:val="20"/>
                <w:color w:val="auto"/>
              </w:rPr>
            </w:pPr>
            <w:r>
              <w:rPr>
                <w:rFonts w:ascii="Arial" w:cs="Arial" w:eastAsia="Arial" w:hAnsi="Arial"/>
                <w:sz w:val="18"/>
                <w:szCs w:val="18"/>
                <w:color w:val="auto"/>
                <w:w w:val="98"/>
              </w:rPr>
              <w:t>Salaries, wages and benefits (including equity-based compensation expense of</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w w:val="96"/>
              </w:rPr>
              <w:t>$19,925, $128 and $203 for the nine months ended September 30, 2011, nine</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months ended September 30, 2010 and year ended December 31, 2010,</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172,838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141,550</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189,000</w:t>
            </w:r>
          </w:p>
        </w:tc>
        <w:tc>
          <w:tcPr>
            <w:tcW w:w="0" w:type="dxa"/>
            <w:vAlign w:val="bottom"/>
          </w:tcPr>
          <w:p>
            <w:pPr>
              <w:spacing w:after="0"/>
              <w:rPr>
                <w:sz w:val="1"/>
                <w:szCs w:val="1"/>
                <w:color w:val="auto"/>
              </w:rPr>
            </w:pPr>
          </w:p>
        </w:tc>
      </w:tr>
      <w:tr>
        <w:trPr>
          <w:trHeight w:val="217"/>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13,095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18,245</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Supplies</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12,400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11,484</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15,305</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10,046</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24,988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23,051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32,723</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doubtful accounts</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5,217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6,141</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3,717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4,781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5,977</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21,289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28,264</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Impairment of goodwill</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23,528</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Sponsor management fees</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Legal settlement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261,925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228,159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329,229</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(Loss) income from continuing operations before income taxes</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(9,690)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11,559</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(8,931)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60" w:type="dxa"/>
            <w:vAlign w:val="bottom"/>
          </w:tcPr>
          <w:p>
            <w:pPr>
              <w:spacing w:after="0"/>
              <w:rPr>
                <w:sz w:val="20"/>
                <w:szCs w:val="20"/>
                <w:color w:val="auto"/>
              </w:rPr>
            </w:pPr>
            <w:r>
              <w:rPr>
                <w:rFonts w:ascii="Arial" w:cs="Arial" w:eastAsia="Arial" w:hAnsi="Arial"/>
                <w:sz w:val="18"/>
                <w:szCs w:val="18"/>
                <w:color w:val="auto"/>
              </w:rPr>
              <w:t>(Loss) income from continuing operations</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(15,624)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6,659</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(11,631)</w:t>
            </w:r>
          </w:p>
        </w:tc>
        <w:tc>
          <w:tcPr>
            <w:tcW w:w="0" w:type="dxa"/>
            <w:vAlign w:val="bottom"/>
          </w:tcPr>
          <w:p>
            <w:pPr>
              <w:spacing w:after="0"/>
              <w:rPr>
                <w:sz w:val="1"/>
                <w:szCs w:val="1"/>
                <w:color w:val="auto"/>
              </w:rPr>
            </w:pPr>
          </w:p>
        </w:tc>
      </w:tr>
      <w:tr>
        <w:trPr>
          <w:trHeight w:val="217"/>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Net (loss) income</w:t>
            </w: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60" w:type="dxa"/>
            <w:vAlign w:val="bottom"/>
            <w:vMerge w:val="continue"/>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 (16,453)</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6,092</w:t>
            </w:r>
          </w:p>
        </w:tc>
        <w:tc>
          <w:tcPr>
            <w:tcW w:w="5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(16,162)</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913"/>
        <w:spacing w:after="0" w:line="291" w:lineRule="auto"/>
        <w:rPr>
          <w:sz w:val="20"/>
          <w:szCs w:val="20"/>
          <w:color w:val="auto"/>
        </w:rPr>
      </w:pPr>
      <w:r>
        <w:rPr>
          <w:rFonts w:ascii="Arial" w:cs="Arial" w:eastAsia="Arial" w:hAnsi="Arial"/>
          <w:sz w:val="16"/>
          <w:szCs w:val="16"/>
          <w:color w:val="auto"/>
        </w:rPr>
        <w:t>The unaudited pro forma combined financial data is for illustrative purposes only and does not purport to represent what Acadia’s results of operations would have been had the events noted above occurred on the assumed date. The unaudited pro forma combined financial data gives effect to the interest rate of 12.875% for the Senior Notes and has otherwise been prepared on a basis consistent with the unaudited pro forma combined financial data set forth in Acadia’s Registration Statement on Form S-4 filed with the Securities and Exchange Commission (the “SEC”) on September 27, 2011. For further information regarding the methodology and assumptions used in connection with such unaudited pro forma combined financial data, please see the “Unaudited Pro Forma Condensed Combined Financial Information” set forth in Exhibit 99.1.</w:t>
      </w:r>
    </w:p>
    <w:p>
      <w:pPr>
        <w:spacing w:after="0" w:line="120" w:lineRule="exact"/>
        <w:rPr>
          <w:sz w:val="20"/>
          <w:szCs w:val="20"/>
          <w:color w:val="auto"/>
        </w:rPr>
      </w:pPr>
    </w:p>
    <w:p>
      <w:pPr>
        <w:ind w:right="140" w:firstLine="913"/>
        <w:spacing w:after="0" w:line="289" w:lineRule="auto"/>
        <w:rPr>
          <w:sz w:val="20"/>
          <w:szCs w:val="20"/>
          <w:color w:val="auto"/>
        </w:rPr>
      </w:pPr>
      <w:r>
        <w:rPr>
          <w:rFonts w:ascii="Arial" w:cs="Arial" w:eastAsia="Arial" w:hAnsi="Arial"/>
          <w:sz w:val="16"/>
          <w:szCs w:val="16"/>
          <w:color w:val="auto"/>
        </w:rPr>
        <w:t>Pro Forma EBITDA and Pro Forma Adjusted EBITDA are financial measures not recognized under GAAP. Acadia defines Pro Forma EBITDA as pro forma net income (loss) adjusted for pro forma loss from discontinued operations, pro forma net interest expense, pro forma income tax provision (benefit) and pro forma depreciation and amortization. Acadia defines Pro Forma Adjusted EBITDA as Pro Forma EBITDA, adjusted for pro forma equity-based compensation expense, pro forma transaction-related expenses, pro forma management fees, pro forma impairment charges, pro forma legal settlement and pro forma integration and closing costs. For the nine months ended September 30, 2011, Pro Forma Adjusted EBITDA also includes adjustments relating to a rate increase on one of PHC’s contracts, anticipated future operating income at the Seven Hills Behavioral Center, the elimination of rent expense associated with PHC’s subsidiary, Detroit Behavioral Institute, Inc., and pro forma cost savings/synergies in connection with the PHC merger. For a reconciliation of unaudited pro forma combined net income (loss) to Pro Forma EBITDA and Pro Forma Adjusted EBITDA, please see the table below.</w:t>
      </w:r>
    </w:p>
    <w:p>
      <w:pPr>
        <w:spacing w:after="0" w:line="118"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Acadia presents Pro Forma EBITDA and Pro Forma Adjusted EBITDA because they are measures management uses to assess financial performance. Acadia believes that companies in its industry use measures of Pro Forma EBITDA as common performance measurements. Acadia also believes that securities analysts, investors and other interested parties frequently use measures of Pro Forma EBITDA as financial performance measures and as indicators of ability to service debt obligations. While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2" w:name="page3"/>
    <w:bookmarkEnd w:id="2"/>
    <w:p>
      <w:pPr>
        <w:ind w:right="1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providing useful information, measures of Pro Forma EBITDA, including Adjusted Pro Forma EBITDA, should not be considered in isolation or as a substitute for consolidated statement of operations and cash flows data prepared in accordance with GAAP and should not be construed as an indication of Acadia’s operating performance or as a measure of liquidity. Pro Forma Adjusted EBITDA may have material limitations as a performance measure because it excludes items that are necessary elements of Acadia’s costs and operations. In addition, “EBITDA,” “Adjusted EBITDA” or similar measures presented by other companies may not be comparable to Acadia’s presentation, since each company may define these terms differently.</w:t>
      </w:r>
    </w:p>
    <w:p>
      <w:pPr>
        <w:spacing w:after="0" w:line="1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28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84"/>
              </w:rPr>
              <w:t>Nine months ended</w:t>
            </w: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6400" w:type="dxa"/>
            <w:vAlign w:val="bottom"/>
          </w:tcPr>
          <w:p>
            <w:pPr>
              <w:spacing w:after="0"/>
              <w:rPr>
                <w:sz w:val="14"/>
                <w:szCs w:val="14"/>
                <w:color w:val="auto"/>
              </w:rPr>
            </w:pPr>
          </w:p>
        </w:tc>
        <w:tc>
          <w:tcPr>
            <w:tcW w:w="228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85"/>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42"/>
        </w:trPr>
        <w:tc>
          <w:tcPr>
            <w:tcW w:w="64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6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4"/>
          </w:tcPr>
          <w:p>
            <w:pPr>
              <w:ind w:left="120"/>
              <w:spacing w:after="0" w:line="142" w:lineRule="exact"/>
              <w:rPr>
                <w:sz w:val="20"/>
                <w:szCs w:val="20"/>
                <w:color w:val="auto"/>
              </w:rPr>
            </w:pPr>
            <w:r>
              <w:rPr>
                <w:rFonts w:ascii="Arial" w:cs="Arial" w:eastAsia="Arial" w:hAnsi="Arial"/>
                <w:sz w:val="14"/>
                <w:szCs w:val="14"/>
                <w:color w:val="auto"/>
                <w:w w:val="96"/>
              </w:rPr>
              <w:t>(Dollars in thousands)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Pro Forma Net Income (Loss) to Pro Forma EBITDA:</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Net (loss) income (a)</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2"/>
              </w:rPr>
              <w:t>$ (16,453)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6,092</w:t>
            </w:r>
          </w:p>
        </w:tc>
        <w:tc>
          <w:tcPr>
            <w:tcW w:w="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(16,162)</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567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4,531</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Interest expense, net</w:t>
            </w:r>
          </w:p>
        </w:tc>
        <w:tc>
          <w:tcPr>
            <w:tcW w:w="640" w:type="dxa"/>
            <w:vAlign w:val="bottom"/>
          </w:tcPr>
          <w:p>
            <w:pPr>
              <w:jc w:val="right"/>
              <w:spacing w:after="0"/>
              <w:rPr>
                <w:sz w:val="20"/>
                <w:szCs w:val="20"/>
                <w:color w:val="auto"/>
              </w:rPr>
            </w:pPr>
            <w:r>
              <w:rPr>
                <w:rFonts w:ascii="Arial" w:cs="Arial" w:eastAsia="Arial" w:hAnsi="Arial"/>
                <w:sz w:val="18"/>
                <w:szCs w:val="18"/>
                <w:color w:val="auto"/>
              </w:rPr>
              <w:t>21,289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21,269</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28,264</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4,781</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5,977</w:t>
            </w:r>
          </w:p>
        </w:tc>
        <w:tc>
          <w:tcPr>
            <w:tcW w:w="100" w:type="dxa"/>
            <w:vAlign w:val="bottom"/>
          </w:tcPr>
          <w:p>
            <w:pPr>
              <w:spacing w:after="0"/>
              <w:rPr>
                <w:sz w:val="19"/>
                <w:szCs w:val="19"/>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 Forma EBITDA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$ 15,316</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37,609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25,310</w:t>
            </w:r>
          </w:p>
        </w:tc>
      </w:tr>
      <w:tr>
        <w:trPr>
          <w:trHeight w:val="323"/>
        </w:trPr>
        <w:tc>
          <w:tcPr>
            <w:tcW w:w="6400" w:type="dxa"/>
            <w:vAlign w:val="bottom"/>
          </w:tcPr>
          <w:p>
            <w:pPr>
              <w:spacing w:after="0"/>
              <w:rPr>
                <w:sz w:val="20"/>
                <w:szCs w:val="20"/>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Equity-based compensation expense (b)</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128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Transaction-related expenses (c)</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433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Impairment charges (e)</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23,528</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Legal settlement (f)</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Integration and closing costs (g)</w:t>
            </w:r>
          </w:p>
        </w:tc>
        <w:tc>
          <w:tcPr>
            <w:tcW w:w="640" w:type="dxa"/>
            <w:vAlign w:val="bottom"/>
          </w:tcPr>
          <w:p>
            <w:pPr>
              <w:jc w:val="right"/>
              <w:spacing w:after="0"/>
              <w:rPr>
                <w:sz w:val="20"/>
                <w:szCs w:val="20"/>
                <w:color w:val="auto"/>
              </w:rPr>
            </w:pPr>
            <w:r>
              <w:rPr>
                <w:rFonts w:ascii="Arial" w:cs="Arial" w:eastAsia="Arial" w:hAnsi="Arial"/>
                <w:sz w:val="18"/>
                <w:szCs w:val="18"/>
                <w:color w:val="auto"/>
              </w:rPr>
              <w:t>947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Rate increase on a PHC contract (h)</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Anticipated operating income at the Seven Hills Behavioral Center (i)</w:t>
            </w:r>
          </w:p>
        </w:tc>
        <w:tc>
          <w:tcPr>
            <w:tcW w:w="640" w:type="dxa"/>
            <w:vAlign w:val="bottom"/>
          </w:tcPr>
          <w:p>
            <w:pPr>
              <w:jc w:val="right"/>
              <w:spacing w:after="0"/>
              <w:rPr>
                <w:sz w:val="20"/>
                <w:szCs w:val="20"/>
                <w:color w:val="auto"/>
              </w:rPr>
            </w:pPr>
            <w:r>
              <w:rPr>
                <w:rFonts w:ascii="Arial" w:cs="Arial" w:eastAsia="Arial" w:hAnsi="Arial"/>
                <w:sz w:val="18"/>
                <w:szCs w:val="18"/>
                <w:color w:val="auto"/>
              </w:rPr>
              <w:t>225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Rent elimination (j)</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Cost savings/synergies (k)</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Adjusted EBITDA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$ 40,649</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38,170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49,660</w:t>
            </w:r>
          </w:p>
        </w:tc>
      </w:tr>
      <w:tr>
        <w:trPr>
          <w:trHeight w:val="20"/>
        </w:trPr>
        <w:tc>
          <w:tcPr>
            <w:tcW w:w="6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40" w:hanging="452"/>
        <w:spacing w:after="0" w:line="283"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Transaction-related expenses related to the acquisition of YFCS and the PHC merger of approximately $13.0 million for the nine months ended September 30, 2011 have been excluded from the computation of pro forma net income. In addition, advisory fees paid to Waud Capital Partners of approximately $1.0 million for the nine months ended September 30, 2011 have been excluded from the computation of pro forma net income due to the termination of the professional services agreement between Acadia and Waud Capital Partners on November 1, 2011.</w:t>
      </w:r>
    </w:p>
    <w:p>
      <w:pPr>
        <w:spacing w:after="0" w:line="2" w:lineRule="exact"/>
        <w:rPr>
          <w:rFonts w:ascii="Arial" w:cs="Arial" w:eastAsia="Arial" w:hAnsi="Arial"/>
          <w:sz w:val="16"/>
          <w:szCs w:val="16"/>
          <w:color w:val="auto"/>
        </w:rPr>
      </w:pPr>
    </w:p>
    <w:p>
      <w:pPr>
        <w:ind w:left="460" w:right="8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Represents the equity-based compensation expense of Acadia, YFCS and PHC for the respective periods. Acadia recognized $19.8 million of equity-based compensation expense in the nine months ended September 30, 2011 related to equity units issued in conjunction with the YFCS acquisition.</w:t>
      </w:r>
    </w:p>
    <w:p>
      <w:pPr>
        <w:spacing w:after="0" w:line="1" w:lineRule="exact"/>
        <w:rPr>
          <w:rFonts w:ascii="Arial" w:cs="Arial" w:eastAsia="Arial" w:hAnsi="Arial"/>
          <w:sz w:val="16"/>
          <w:szCs w:val="16"/>
          <w:color w:val="auto"/>
        </w:rPr>
      </w:pPr>
    </w:p>
    <w:p>
      <w:pPr>
        <w:ind w:left="460" w:right="100" w:hanging="452"/>
        <w:spacing w:after="0" w:line="300" w:lineRule="auto"/>
        <w:tabs>
          <w:tab w:leader="none" w:pos="46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Represents a portion of the acquisition-related fees and expenses incurred by Acadia in the respective periods, but excludes certain one-time transaction related expenses associated with the acquisition of YFCS and the PHC merger that were excluded from the computation of pro forma net income. See note</w:t>
      </w:r>
    </w:p>
    <w:p>
      <w:pPr>
        <w:ind w:left="460"/>
        <w:spacing w:after="0"/>
        <w:rPr>
          <w:rFonts w:ascii="Arial" w:cs="Arial" w:eastAsia="Arial" w:hAnsi="Arial"/>
          <w:sz w:val="15"/>
          <w:szCs w:val="15"/>
          <w:color w:val="auto"/>
        </w:rPr>
      </w:pPr>
      <w:r>
        <w:rPr>
          <w:rFonts w:ascii="Arial" w:cs="Arial" w:eastAsia="Arial" w:hAnsi="Arial"/>
          <w:sz w:val="18"/>
          <w:szCs w:val="18"/>
          <w:color w:val="auto"/>
        </w:rPr>
        <w:t>(a).</w:t>
      </w:r>
    </w:p>
    <w:p>
      <w:pPr>
        <w:spacing w:after="0" w:line="9" w:lineRule="exact"/>
        <w:rPr>
          <w:rFonts w:ascii="Arial" w:cs="Arial" w:eastAsia="Arial" w:hAnsi="Arial"/>
          <w:sz w:val="15"/>
          <w:szCs w:val="15"/>
          <w:color w:val="auto"/>
        </w:rPr>
      </w:pPr>
    </w:p>
    <w:p>
      <w:pPr>
        <w:ind w:left="460" w:right="18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the management fees paid by MeadowWood to its former parent companies and a portion of the management fees paid by Acadia to its equity sponsor, Waud Capital Partners, that was not excluded in the computation of pro forma net income.</w:t>
      </w:r>
    </w:p>
    <w:p>
      <w:pPr>
        <w:ind w:left="460" w:right="24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connection with the execution of the sale agreement and plan of merger for the purchase of YFCS, YFCS recorded an impairment charge of approximately $23.5 million for the year ended December 31, 2010 as a result of management’s conclusion that the carrying value of goodwill exceeded the fair value implied by the sale of the company.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Represents legal settlement expenses recognized by PHC resulting from an employee wrongful termination suit against PHC that was settled in April 2011.</w:t>
      </w:r>
    </w:p>
    <w:p>
      <w:pPr>
        <w:spacing w:after="0" w:line="43" w:lineRule="exact"/>
        <w:rPr>
          <w:rFonts w:ascii="Arial" w:cs="Arial" w:eastAsia="Arial" w:hAnsi="Arial"/>
          <w:sz w:val="15"/>
          <w:szCs w:val="15"/>
          <w:color w:val="auto"/>
        </w:rPr>
      </w:pPr>
    </w:p>
    <w:p>
      <w:pPr>
        <w:ind w:left="46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costs incurred by Acadia related to the closing of the YFCS corporate office, including the costs of temporarily retaining certain employees for a transitional period following the acquisition date.</w:t>
      </w:r>
    </w:p>
    <w:p>
      <w:pPr>
        <w:ind w:left="460" w:hanging="452"/>
        <w:spacing w:after="0" w:line="25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the increased revenue that would have resulted from an increased rate on one of PHC’s contracts that became effective in March 2011, assuming such increased rate had been effective throughout all periods presented. The increased rate was estimated by multiplying the historical plan enrollment by the newly-contracted rate, which resulted in an approximate $0.17 million increase in revenue and EBITDA for each month prior to March 2011 in which the rate was not effective.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 w:name="page4"/>
    <w:bookmarkEnd w:id="3"/>
    <w:p>
      <w:pPr>
        <w:ind w:left="460" w:right="160" w:hanging="452"/>
        <w:spacing w:after="0" w:line="252"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Seven Hills Behavioral Center was opened in the fourth quarter of 2008 and became certified by the Center for Medicare and Medicaid Services in July 2010. The adjustment represents the estimated additional operating income that would have been generated by this facility if it had operated at expected levels for the nine months ended September 30, 2011. This adjustment is based upon the difference between the actual operating income for the Seven Hills Behavioral Center in the nine months ended September 30, 2011 and the operating income that we anticipate the facility will achieve when it operates at expected levels.</w:t>
      </w:r>
    </w:p>
    <w:p>
      <w:pPr>
        <w:ind w:left="460" w:right="20" w:hanging="452"/>
        <w:spacing w:after="0" w:line="300"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Represents rent payments relating to PHC’s subsidiary, Detroit Behavioral Institute, Inc. (d/b/a Capstone Academy), as if the leased property had been owned by PHC throughout the periods presented. PHC currently leases the Capstone Academy property. The lessor financed the acquisition of the property through the issuance of notes to certain lenders. On November 13, 2010, PHC, through its subsidiary Detroit Behavioral Institute, Inc. (d/b/a Capstone Academy), purchased the notes from the lenders. The lessor was in default at the time PHC purchased the notes, and PHC initiated foreclosure proceedings in court. Upon completion of the foreclosure proceedings, the property will be owned by the Company and rent expense will no longer be incurred.</w:t>
      </w:r>
    </w:p>
    <w:p>
      <w:pPr>
        <w:spacing w:after="0" w:line="2" w:lineRule="exact"/>
        <w:rPr>
          <w:rFonts w:ascii="Arial" w:cs="Arial" w:eastAsia="Arial" w:hAnsi="Arial"/>
          <w:sz w:val="15"/>
          <w:szCs w:val="15"/>
          <w:color w:val="auto"/>
        </w:rPr>
      </w:pPr>
    </w:p>
    <w:p>
      <w:pPr>
        <w:ind w:left="460" w:hanging="452"/>
        <w:spacing w:after="0" w:line="25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Acadia expects to realize annual cost savings of approximately $3.4 million beginning in fiscal 2012 as a result of the Merger and the elimination of certain redundant positions, professional services and other expenses, as well as the efficiencies of integrating corporate functions within a larger company framework.</w:t>
      </w:r>
    </w:p>
    <w:p>
      <w:pPr>
        <w:spacing w:after="0" w:line="144" w:lineRule="exact"/>
        <w:rPr>
          <w:sz w:val="20"/>
          <w:szCs w:val="20"/>
          <w:color w:val="auto"/>
        </w:rPr>
      </w:pPr>
    </w:p>
    <w:p>
      <w:pPr>
        <w:ind w:right="580" w:firstLine="913"/>
        <w:spacing w:after="0" w:line="332" w:lineRule="auto"/>
        <w:rPr>
          <w:sz w:val="20"/>
          <w:szCs w:val="20"/>
          <w:color w:val="auto"/>
        </w:rPr>
      </w:pPr>
      <w:r>
        <w:rPr>
          <w:rFonts w:ascii="Arial" w:cs="Arial" w:eastAsia="Arial" w:hAnsi="Arial"/>
          <w:sz w:val="16"/>
          <w:szCs w:val="16"/>
          <w:color w:val="auto"/>
        </w:rPr>
        <w:t>Acadia may not be able to achieve all of the expected benefits from the synergies and cost savings described in the table. This information is inherently uncertain and is not intended to represent what Acadia’s financial position or results of operations might be for any future period.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This Current Report on Form 8-K and Exhibit 99.1 contain forward-looking statements based on current projections about operations, industry, financial condition and liquidity. Words such as “will,” “should,” “anticipate,” “predict,” “potential,” “estimate,” “expect,” “continue,” “may,” “project,” “intend,” “plan,” “believe” and words and terms of similar substance used in connection with any discussion of future operating or financial performance, the PHC merger or the business of the combined company identify forward-looking statements. In addition, any statements that refer to expectations, projections or other characterizations of future events or circumstances, including any underlying assumptions, are forward-looking statements. Those statements are not guarantees of future performance and are subject to risks, uncertainties and assumptions that are difficult to predict. Therefore, actual results could differ materially and adversely from these forward-looking statements.</w:t>
      </w:r>
    </w:p>
    <w:p>
      <w:pPr>
        <w:spacing w:after="0" w:line="118"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All forward-looking statements reflect present expectations of future events by Acadia’s management and are subject to a number of factors and uncertainties that could cause actual results to differ materially from those described in the forward-looking statements. In addition to the risks related to the businesses of Acadia and the combined company, the uncertainty concerning the matters discussed under “Risk Factors” in Acadia’s Registration Statement on Form S-4 filed with the SEC on September 27, 2011, among others, could cause actual results to differ materially from those described in the forward-looking statements. Investors are cautioned not to place undue reliance on the forward-looking statements. Acadia is not under any obligation, and each expressly disclaims any obligation, to update or alter any forward-looking statements, whether as a result of new information, future events or otherwise.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40"/>
        <w:spacing w:after="0"/>
        <w:tabs>
          <w:tab w:leader="none" w:pos="11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14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99.l</w:t>
      </w:r>
      <w:r>
        <w:rPr>
          <w:sz w:val="20"/>
          <w:szCs w:val="20"/>
          <w:color w:val="auto"/>
        </w:rPr>
        <w:tab/>
      </w:r>
      <w:r>
        <w:rPr>
          <w:rFonts w:ascii="Arial" w:cs="Arial" w:eastAsia="Arial" w:hAnsi="Arial"/>
          <w:sz w:val="16"/>
          <w:szCs w:val="16"/>
          <w:color w:val="auto"/>
        </w:rPr>
        <w:t>Unaudited Pro Forma Condensed Combined Financial Information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ACADIA HEALTHCARE COMPANY,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Jack Polson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Jack Polson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5" w:name="page6"/>
    <w:bookmarkEnd w:id="5"/>
    <w:p>
      <w:pPr>
        <w:ind w:left="10520"/>
        <w:spacing w:after="0"/>
        <w:rPr>
          <w:sz w:val="20"/>
          <w:szCs w:val="20"/>
          <w:color w:val="auto"/>
        </w:rPr>
      </w:pPr>
      <w:r>
        <w:rPr>
          <w:rFonts w:ascii="Arial" w:cs="Arial" w:eastAsia="Arial" w:hAnsi="Arial"/>
          <w:sz w:val="16"/>
          <w:szCs w:val="16"/>
          <w:b w:val="1"/>
          <w:bCs w:val="1"/>
          <w:color w:val="auto"/>
        </w:rPr>
        <w:t>Exhibit 99.1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following tables set forth the unaudited pro forma condensed combined financial data for Acadia, YFCS, PHC and MeadowWood as a combined company, giving effect to (1) Acadia’s acquisition of YFCS and the related debt and equity financing transactions on April 1, 2011, (2) PHC’s acquisition of MeadowWood and related debt financing transaction on July 1, 2011 and (3) Acadia’s merger with PHC and the related issuance of senior notes on November 1, 2011, as if each had occurred on September 30, 2011 for the unaudited pro forma condensed combined balance sheet and January 1, 2010 for the unaudited pro forma condensed combined statements of operations. Acadia’s condensed consolidated balance sheet as of September 30, 2011 reflects the acquisition of YFCS and related debt and equity transactions and Acadia’s condensed consolidated statement of operations reflects the results of YFCS operations for the period from April 1, 2011 to September 30, 2011. PHC’s condensed consolidated balance sheet as of September 30, 2011 reflects the acquisition of MeadowWood and related debt financing transaction on July 1, 2011.</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fiscal years of Acadia, YFCS and HHC Delaware end December 31 while the fiscal year of PHC ends on June 30. The combined company will use Acadia’s fiscal year ending December 31.</w:t>
      </w:r>
    </w:p>
    <w:p>
      <w:pPr>
        <w:spacing w:after="0" w:line="132" w:lineRule="exact"/>
        <w:rPr>
          <w:sz w:val="20"/>
          <w:szCs w:val="20"/>
          <w:color w:val="auto"/>
        </w:rPr>
      </w:pPr>
    </w:p>
    <w:p>
      <w:pPr>
        <w:ind w:firstLine="456"/>
        <w:spacing w:after="0" w:line="304" w:lineRule="auto"/>
        <w:rPr>
          <w:sz w:val="20"/>
          <w:szCs w:val="20"/>
          <w:color w:val="auto"/>
        </w:rPr>
      </w:pPr>
      <w:r>
        <w:rPr>
          <w:rFonts w:ascii="Arial" w:cs="Arial" w:eastAsia="Arial" w:hAnsi="Arial"/>
          <w:sz w:val="15"/>
          <w:szCs w:val="15"/>
          <w:color w:val="auto"/>
        </w:rPr>
        <w:t>The unaudited pro forma condensed combined balance sheet combines Acadia’s unaudited consolidated balance sheet as of September 30, 2011 with the consolidated balance sheet of PHC and the unaudited condensed consolidated balance sheet of HHC Delaware as of September 30, 2011. The unaudited pro forma condensed combined statement of operations for the nine months ended September 30, 2010 combines Acadia’s unaudited condensed consolidated statement of operations for the nine months ended September 30, 2010 with the unaudited condensed consolidated statement of operations of YFCS for the nine months ended September 30, 2010, the unaudited condensed consolidated statement of operations of HHC Delaware for the nine months ended September 30, 2010 and the unaudited condensed consolidated statement of operations of PHC for the nine months ended September 30, 2010 (which was derived from the audited consolidated statement of operations of PHC for the fiscal year ended June 30, 2010 less the unaudited condensed consolidated statement of operations of PHC for the six months ended December 31, 2009 plus the unaudited condensed consolidated statement of operations of PHC for the three months ended September 30, 2010). The unaudited pro forma condensed combined statement of operations for the nine months ended September 30, 2011 combines Acadia’s unaudited condensed consolidated statement of operations for the nine months ended September 30, 2011 with the unaudited condensed consolidated statement of operations of YFCS, the unaudited condensed consolidated statement of operations of HHC Delaware from January 1, 2011 through the date of the YFCS acquisition (April 1, 2011) and the unaudited condensed consolidated statement of operations of PHC for the nine months ended September 30, 2011 (which was derived from the audited consolidated statement of operations of PHC for the fiscal year ended June 30, 2011 less the unaudited condensed consolidated statement of operations of PHC for the six months ended December 31, 2010 plus the unaudited condensed consolidated statement of operations of PHC for the three months ended September 30, 2011). The unaudited pro forma condensed combined statement of operations for the year ended December 31, 2010 combines Acadia’s audited consolidated statement of operations for the year ended December 31, 2010 with the audited consolidated statement of operations of YFCS for the year ended December 31, 2010, the audited consolidated statement of operations of HHC Delaware for the year ended December 31, 2010 and the unaudited condensed consolidated statement of operations of PHC for the twelve months ended December 31, 2010 (which was derived from the audited consolidated statement of operations of PHC for the fiscal year ended June 30, 2010 less the unaudited condensed consolidated statement of operations of PHC for the six months ended December 31, 2009 plus the unaudited condensed consolidated statement of operations of PHC for the six months ended December 31, 2010).</w:t>
      </w:r>
    </w:p>
    <w:p>
      <w:pPr>
        <w:spacing w:after="0" w:line="114"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unaudited pro forma condensed combined financial data has been prepared using the acquisition method of accounting for business combinations under GAAP. The adjustments necessary to fairly present the unaudited pro forma condensed combined financial data have been made based on available information and in the opinion of management are reasonable. Assumptions underlying the pro forma adjustments are described in the accompanying notes, which should be read in conjunction with this unaudited pro forma condensed combined financial data. The pro forma adjustments are preliminary and revisions to the fair value of assets acquired and liabilities assumed and the financing of the transactions may have a significant impact on the pro forma adjustments. A final valuation of assets acquired and liabilities assumed in the YFCS, MeadowWood and PHC acquisitions has not been completed and the completion of fair value determinations will most likely result in changes in the values assigned to property and equipment and other assets (including intangibles) acquired and liabilities assumed.</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unaudited pro forma condensed combined financial data is for illustrative purposes only and does not purport to represent what our financial position or results of operations actually would have been had the events noted above in fact occurred on the assumed dates or to project our financial position or results of operations for any future date or future period.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PRO FORMA CONDENSED COMBINED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PRO FORMA</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ACADIA </w:t>
            </w:r>
            <w:r>
              <w:rPr>
                <w:rFonts w:ascii="Arial" w:cs="Arial" w:eastAsia="Arial" w:hAnsi="Arial"/>
                <w:sz w:val="22"/>
                <w:szCs w:val="22"/>
                <w:b w:val="1"/>
                <w:bCs w:val="1"/>
                <w:color w:val="auto"/>
                <w:vertAlign w:val="superscript"/>
              </w:rPr>
              <w:t>(1)</w:t>
            </w:r>
          </w:p>
        </w:tc>
        <w:tc>
          <w:tcPr>
            <w:tcW w:w="96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7"/>
              </w:rPr>
              <w:t xml:space="preserve">PHC </w:t>
            </w:r>
            <w:r>
              <w:rPr>
                <w:rFonts w:ascii="Arial" w:cs="Arial" w:eastAsia="Arial" w:hAnsi="Arial"/>
                <w:sz w:val="22"/>
                <w:szCs w:val="22"/>
                <w:b w:val="1"/>
                <w:bCs w:val="1"/>
                <w:color w:val="auto"/>
                <w:w w:val="97"/>
                <w:vertAlign w:val="superscript"/>
              </w:rPr>
              <w:t>(3)</w:t>
            </w:r>
          </w:p>
        </w:tc>
        <w:tc>
          <w:tcPr>
            <w:tcW w:w="100" w:type="dxa"/>
            <w:vAlign w:val="bottom"/>
          </w:tcPr>
          <w:p>
            <w:pPr>
              <w:spacing w:after="0"/>
              <w:rPr>
                <w:sz w:val="12"/>
                <w:szCs w:val="12"/>
                <w:color w:val="auto"/>
              </w:rPr>
            </w:pPr>
          </w:p>
        </w:tc>
        <w:tc>
          <w:tcPr>
            <w:tcW w:w="13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MERGER</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440" w:type="dxa"/>
            <w:vAlign w:val="bottom"/>
          </w:tcPr>
          <w:p>
            <w:pPr>
              <w:spacing w:after="0"/>
              <w:rPr>
                <w:sz w:val="20"/>
                <w:szCs w:val="20"/>
                <w:color w:val="auto"/>
              </w:rPr>
            </w:pPr>
            <w:r>
              <w:rPr>
                <w:rFonts w:ascii="Arial" w:cs="Arial" w:eastAsia="Arial" w:hAnsi="Arial"/>
                <w:sz w:val="14"/>
                <w:szCs w:val="14"/>
                <w:b w:val="1"/>
                <w:bCs w:val="1"/>
                <w:i w:val="1"/>
                <w:iCs w:val="1"/>
                <w:color w:val="auto"/>
                <w:w w:val="86"/>
              </w:rPr>
              <w:t>NOTES</w:t>
            </w:r>
          </w:p>
        </w:tc>
        <w:tc>
          <w:tcPr>
            <w:tcW w:w="28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3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300" w:type="dxa"/>
            <w:vAlign w:val="bottom"/>
          </w:tcPr>
          <w:p>
            <w:pPr>
              <w:ind w:left="8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25,469</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12,466</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37,935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36,357</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22,506</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57,783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14,206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147,081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10,447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33,657</w:t>
            </w:r>
          </w:p>
        </w:tc>
        <w:tc>
          <w:tcPr>
            <w:tcW w:w="38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0"/>
              </w:rPr>
              <w:t>(7)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191,185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9,501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3,966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3,800</w:t>
            </w:r>
          </w:p>
        </w:tc>
        <w:tc>
          <w:tcPr>
            <w:tcW w:w="38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(8a)</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(648)</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(1,324)</w:t>
            </w:r>
          </w:p>
        </w:tc>
        <w:tc>
          <w:tcPr>
            <w:tcW w:w="440" w:type="dxa"/>
            <w:vAlign w:val="bottom"/>
          </w:tcPr>
          <w:p>
            <w:pPr>
              <w:jc w:val="center"/>
              <w:spacing w:after="0"/>
              <w:rPr>
                <w:sz w:val="20"/>
                <w:szCs w:val="20"/>
                <w:color w:val="auto"/>
              </w:rPr>
            </w:pPr>
            <w:r>
              <w:rPr>
                <w:rFonts w:ascii="Arial" w:cs="Arial" w:eastAsia="Arial" w:hAnsi="Arial"/>
                <w:sz w:val="18"/>
                <w:szCs w:val="18"/>
                <w:color w:val="auto"/>
                <w:w w:val="90"/>
              </w:rPr>
              <w:t>(6)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269,609</w:t>
            </w: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51,825</w:t>
            </w: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37,592</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359,026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3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86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6,750</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235</w:t>
            </w:r>
          </w:p>
        </w:tc>
        <w:tc>
          <w:tcPr>
            <w:tcW w:w="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(235)</w:t>
            </w:r>
          </w:p>
        </w:tc>
        <w:tc>
          <w:tcPr>
            <w:tcW w:w="440" w:type="dxa"/>
            <w:vAlign w:val="bottom"/>
          </w:tcPr>
          <w:p>
            <w:pPr>
              <w:jc w:val="center"/>
              <w:spacing w:after="0"/>
              <w:rPr>
                <w:sz w:val="20"/>
                <w:szCs w:val="20"/>
                <w:color w:val="auto"/>
              </w:rPr>
            </w:pPr>
            <w:r>
              <w:rPr>
                <w:rFonts w:ascii="Arial" w:cs="Arial" w:eastAsia="Arial" w:hAnsi="Arial"/>
                <w:sz w:val="18"/>
                <w:szCs w:val="18"/>
                <w:color w:val="auto"/>
                <w:w w:val="90"/>
              </w:rPr>
              <w:t>(9)</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860"/>
              <w:spacing w:after="0"/>
              <w:rPr>
                <w:sz w:val="20"/>
                <w:szCs w:val="20"/>
                <w:color w:val="auto"/>
              </w:rPr>
            </w:pPr>
            <w:r>
              <w:rPr>
                <w:rFonts w:ascii="Arial" w:cs="Arial" w:eastAsia="Arial" w:hAnsi="Arial"/>
                <w:sz w:val="18"/>
                <w:szCs w:val="18"/>
                <w:color w:val="auto"/>
              </w:rPr>
              <w:t>Accrued salaries and benefits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12,276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2,572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accrued liabilities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6,394</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36,604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7,041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(235)</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131,375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26,206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121,279</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278,860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24,844</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38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0"/>
              </w:rPr>
              <w:t>(7)</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192,623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34,147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121,227</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347,997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Equity:</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(208)</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8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105,481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28,267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(28,267)</w:t>
            </w:r>
          </w:p>
        </w:tc>
        <w:tc>
          <w:tcPr>
            <w:tcW w:w="440" w:type="dxa"/>
            <w:vAlign w:val="bottom"/>
          </w:tcPr>
          <w:p>
            <w:pPr>
              <w:jc w:val="center"/>
              <w:spacing w:after="0"/>
              <w:rPr>
                <w:sz w:val="20"/>
                <w:szCs w:val="20"/>
                <w:color w:val="auto"/>
              </w:rPr>
            </w:pPr>
            <w:r>
              <w:rPr>
                <w:rFonts w:ascii="Arial" w:cs="Arial" w:eastAsia="Arial" w:hAnsi="Arial"/>
                <w:sz w:val="18"/>
                <w:szCs w:val="18"/>
                <w:color w:val="auto"/>
                <w:w w:val="90"/>
              </w:rPr>
              <w:t>(5)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45,678</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(7a)</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(74,441)</w:t>
            </w:r>
          </w:p>
        </w:tc>
        <w:tc>
          <w:tcPr>
            <w:tcW w:w="440" w:type="dxa"/>
            <w:vAlign w:val="bottom"/>
          </w:tcPr>
          <w:p>
            <w:pPr>
              <w:jc w:val="center"/>
              <w:spacing w:after="0"/>
              <w:rPr>
                <w:sz w:val="20"/>
                <w:szCs w:val="20"/>
                <w:color w:val="auto"/>
              </w:rPr>
            </w:pPr>
            <w:r>
              <w:rPr>
                <w:rFonts w:ascii="Arial" w:cs="Arial" w:eastAsia="Arial" w:hAnsi="Arial"/>
                <w:sz w:val="18"/>
                <w:szCs w:val="18"/>
                <w:color w:val="auto"/>
                <w:w w:val="90"/>
              </w:rPr>
              <w:t>(8)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Treasury stock</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(1,809)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86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(28,671)</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(8,988)</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8,988</w:t>
            </w:r>
          </w:p>
        </w:tc>
        <w:tc>
          <w:tcPr>
            <w:tcW w:w="38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0"/>
              </w:rPr>
              <w:t>(5)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(65,865)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(37,084)</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(8a)</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(110)</w:t>
            </w:r>
          </w:p>
        </w:tc>
        <w:tc>
          <w:tcPr>
            <w:tcW w:w="440" w:type="dxa"/>
            <w:vAlign w:val="bottom"/>
          </w:tcPr>
          <w:p>
            <w:pPr>
              <w:jc w:val="center"/>
              <w:spacing w:after="0"/>
              <w:rPr>
                <w:sz w:val="20"/>
                <w:szCs w:val="20"/>
                <w:color w:val="auto"/>
              </w:rPr>
            </w:pPr>
            <w:r>
              <w:rPr>
                <w:rFonts w:ascii="Arial" w:cs="Arial" w:eastAsia="Arial" w:hAnsi="Arial"/>
                <w:sz w:val="18"/>
                <w:szCs w:val="18"/>
                <w:color w:val="auto"/>
                <w:w w:val="90"/>
              </w:rPr>
              <w:t>(7)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equity</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76,986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17,678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(83,635)</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269,609</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51,825</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37,592</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359,026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7" w:name="page8"/>
    <w:bookmarkEnd w:id="7"/>
    <w:p>
      <w:pPr>
        <w:jc w:val="center"/>
        <w:ind w:right="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PRO FORMA CONDENSED COMBINED STATEMENT OF OPERATIONS</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the Nine Months Ended September 30,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4"/>
                <w:szCs w:val="14"/>
                <w:b w:val="1"/>
                <w:bCs w:val="1"/>
                <w:color w:val="auto"/>
              </w:rPr>
              <w:t>ACADIA</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4"/>
                <w:szCs w:val="14"/>
                <w:b w:val="1"/>
                <w:bCs w:val="1"/>
                <w:color w:val="auto"/>
              </w:rPr>
              <w:t>PHC</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PRO</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2"/>
              </w:rPr>
              <w:t>PRO</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2"/>
              </w:rPr>
              <w:t>PRO</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FORMA</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PRO</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FORMA</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PRO</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FORMA</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PRO</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212"/>
              <w:spacing w:after="0" w:line="135" w:lineRule="exact"/>
              <w:rPr>
                <w:sz w:val="20"/>
                <w:szCs w:val="20"/>
                <w:color w:val="auto"/>
              </w:rPr>
            </w:pPr>
            <w:r>
              <w:rPr>
                <w:rFonts w:ascii="Arial" w:cs="Arial" w:eastAsia="Arial" w:hAnsi="Arial"/>
                <w:sz w:val="14"/>
                <w:szCs w:val="14"/>
                <w:b w:val="1"/>
                <w:bCs w:val="1"/>
                <w:color w:val="auto"/>
              </w:rPr>
              <w:t>ACADIA</w:t>
            </w:r>
          </w:p>
        </w:tc>
        <w:tc>
          <w:tcPr>
            <w:tcW w:w="120" w:type="dxa"/>
            <w:vAlign w:val="bottom"/>
          </w:tcPr>
          <w:p>
            <w:pPr>
              <w:spacing w:after="0"/>
              <w:rPr>
                <w:sz w:val="11"/>
                <w:szCs w:val="11"/>
                <w:color w:val="auto"/>
              </w:rPr>
            </w:pP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 xml:space="preserve">YFCS </w:t>
            </w:r>
            <w:r>
              <w:rPr>
                <w:rFonts w:ascii="Arial" w:cs="Arial" w:eastAsia="Arial" w:hAnsi="Arial"/>
                <w:sz w:val="22"/>
                <w:szCs w:val="22"/>
                <w:b w:val="1"/>
                <w:bCs w:val="1"/>
                <w:color w:val="auto"/>
                <w:w w:val="94"/>
                <w:vertAlign w:val="superscript"/>
              </w:rPr>
              <w:t>(2)</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YFCS</w:t>
            </w:r>
          </w:p>
        </w:tc>
        <w:tc>
          <w:tcPr>
            <w:tcW w:w="54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FORMA</w:t>
            </w:r>
          </w:p>
        </w:tc>
        <w:tc>
          <w:tcPr>
            <w:tcW w:w="460" w:type="dxa"/>
            <w:vAlign w:val="bottom"/>
            <w:gridSpan w:val="2"/>
            <w:vMerge w:val="restart"/>
          </w:tcPr>
          <w:p>
            <w:pPr>
              <w:spacing w:after="0"/>
              <w:rPr>
                <w:sz w:val="20"/>
                <w:szCs w:val="20"/>
                <w:color w:val="auto"/>
              </w:rPr>
            </w:pPr>
            <w:r>
              <w:rPr>
                <w:rFonts w:ascii="Arial" w:cs="Arial" w:eastAsia="Arial" w:hAnsi="Arial"/>
                <w:sz w:val="27"/>
                <w:szCs w:val="27"/>
                <w:b w:val="1"/>
                <w:bCs w:val="1"/>
                <w:color w:val="auto"/>
                <w:w w:val="80"/>
                <w:vertAlign w:val="subscript"/>
              </w:rPr>
              <w:t>PHC</w:t>
            </w:r>
            <w:r>
              <w:rPr>
                <w:rFonts w:ascii="Arial" w:cs="Arial" w:eastAsia="Arial" w:hAnsi="Arial"/>
                <w:sz w:val="11"/>
                <w:szCs w:val="11"/>
                <w:b w:val="1"/>
                <w:bCs w:val="1"/>
                <w:color w:val="auto"/>
                <w:w w:val="80"/>
              </w:rPr>
              <w:t xml:space="preserve"> (3)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HHC</w:t>
            </w:r>
          </w:p>
        </w:tc>
        <w:tc>
          <w:tcPr>
            <w:tcW w:w="40" w:type="dxa"/>
            <w:vAlign w:val="bottom"/>
          </w:tcPr>
          <w:p>
            <w:pPr>
              <w:spacing w:after="0"/>
              <w:rPr>
                <w:sz w:val="11"/>
                <w:szCs w:val="11"/>
                <w:color w:val="auto"/>
              </w:rPr>
            </w:pPr>
          </w:p>
        </w:tc>
        <w:tc>
          <w:tcPr>
            <w:tcW w:w="12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MEADOWWOOD</w:t>
            </w:r>
          </w:p>
        </w:tc>
        <w:tc>
          <w:tcPr>
            <w:tcW w:w="500" w:type="dxa"/>
            <w:vAlign w:val="bottom"/>
          </w:tcPr>
          <w:p>
            <w:pPr>
              <w:spacing w:after="0"/>
              <w:rPr>
                <w:sz w:val="11"/>
                <w:szCs w:val="11"/>
                <w:color w:val="auto"/>
              </w:rPr>
            </w:pPr>
          </w:p>
        </w:tc>
        <w:tc>
          <w:tcPr>
            <w:tcW w:w="5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FORMA</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MERGER</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7"/>
              </w:rPr>
              <w:t>FORMA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gridSpan w:val="2"/>
          </w:tcPr>
          <w:p>
            <w:pPr>
              <w:ind w:left="20"/>
              <w:spacing w:after="0" w:line="176" w:lineRule="exact"/>
              <w:rPr>
                <w:sz w:val="20"/>
                <w:szCs w:val="20"/>
                <w:color w:val="auto"/>
              </w:rPr>
            </w:pPr>
            <w:r>
              <w:rPr>
                <w:rFonts w:ascii="Arial" w:cs="Arial" w:eastAsia="Arial" w:hAnsi="Arial"/>
                <w:sz w:val="13"/>
                <w:szCs w:val="13"/>
                <w:b w:val="1"/>
                <w:bCs w:val="1"/>
                <w:color w:val="auto"/>
                <w:w w:val="98"/>
              </w:rPr>
              <w:t xml:space="preserve">HEALTHCARE </w:t>
            </w:r>
            <w:r>
              <w:rPr>
                <w:rFonts w:ascii="Arial" w:cs="Arial" w:eastAsia="Arial" w:hAnsi="Arial"/>
                <w:sz w:val="20"/>
                <w:szCs w:val="20"/>
                <w:b w:val="1"/>
                <w:bCs w:val="1"/>
                <w:color w:val="auto"/>
                <w:w w:val="98"/>
                <w:vertAlign w:val="superscript"/>
              </w:rPr>
              <w:t>(1)</w:t>
            </w:r>
          </w:p>
        </w:tc>
        <w:tc>
          <w:tcPr>
            <w:tcW w:w="120" w:type="dxa"/>
            <w:vAlign w:val="bottom"/>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ADJUSTMENTS</w:t>
            </w:r>
          </w:p>
        </w:tc>
        <w:tc>
          <w:tcPr>
            <w:tcW w:w="1180" w:type="dxa"/>
            <w:vAlign w:val="bottom"/>
            <w:gridSpan w:val="4"/>
          </w:tcPr>
          <w:p>
            <w:pPr>
              <w:ind w:left="40"/>
              <w:spacing w:after="0"/>
              <w:rPr>
                <w:sz w:val="20"/>
                <w:szCs w:val="20"/>
                <w:color w:val="auto"/>
              </w:rPr>
            </w:pPr>
            <w:r>
              <w:rPr>
                <w:rFonts w:ascii="Arial" w:cs="Arial" w:eastAsia="Arial" w:hAnsi="Arial"/>
                <w:sz w:val="14"/>
                <w:szCs w:val="14"/>
                <w:b w:val="1"/>
                <w:bCs w:val="1"/>
                <w:i w:val="1"/>
                <w:iCs w:val="1"/>
                <w:color w:val="auto"/>
              </w:rPr>
              <w:t xml:space="preserve">NOTES </w:t>
            </w:r>
            <w:r>
              <w:rPr>
                <w:rFonts w:ascii="Arial" w:cs="Arial" w:eastAsia="Arial" w:hAnsi="Arial"/>
                <w:sz w:val="14"/>
                <w:szCs w:val="14"/>
                <w:b w:val="1"/>
                <w:bCs w:val="1"/>
                <w:color w:val="auto"/>
              </w:rPr>
              <w:t>ACADIA</w:t>
            </w:r>
          </w:p>
        </w:tc>
        <w:tc>
          <w:tcPr>
            <w:tcW w:w="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DELAWARE </w:t>
            </w:r>
            <w:r>
              <w:rPr>
                <w:rFonts w:ascii="Arial" w:cs="Arial" w:eastAsia="Arial" w:hAnsi="Arial"/>
                <w:sz w:val="20"/>
                <w:szCs w:val="20"/>
                <w:b w:val="1"/>
                <w:bCs w:val="1"/>
                <w:color w:val="auto"/>
                <w:vertAlign w:val="superscript"/>
              </w:rPr>
              <w:t>(4)</w:t>
            </w:r>
          </w:p>
        </w:tc>
        <w:tc>
          <w:tcPr>
            <w:tcW w:w="40" w:type="dxa"/>
            <w:vAlign w:val="bottom"/>
          </w:tcPr>
          <w:p>
            <w:pPr>
              <w:spacing w:after="0"/>
              <w:rPr>
                <w:sz w:val="15"/>
                <w:szCs w:val="15"/>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ADJUSTMENTS</w:t>
            </w:r>
          </w:p>
        </w:tc>
        <w:tc>
          <w:tcPr>
            <w:tcW w:w="500" w:type="dxa"/>
            <w:vAlign w:val="bottom"/>
          </w:tcPr>
          <w:p>
            <w:pPr>
              <w:ind w:left="20"/>
              <w:spacing w:after="0"/>
              <w:rPr>
                <w:sz w:val="20"/>
                <w:szCs w:val="20"/>
                <w:color w:val="auto"/>
              </w:rPr>
            </w:pPr>
            <w:r>
              <w:rPr>
                <w:rFonts w:ascii="Arial" w:cs="Arial" w:eastAsia="Arial" w:hAnsi="Arial"/>
                <w:sz w:val="14"/>
                <w:szCs w:val="14"/>
                <w:b w:val="1"/>
                <w:bCs w:val="1"/>
                <w:i w:val="1"/>
                <w:iCs w:val="1"/>
                <w:color w:val="auto"/>
                <w:w w:val="95"/>
              </w:rPr>
              <w:t>NOTES</w:t>
            </w:r>
          </w:p>
        </w:tc>
        <w:tc>
          <w:tcPr>
            <w:tcW w:w="100" w:type="dxa"/>
            <w:vAlign w:val="bottom"/>
          </w:tcPr>
          <w:p>
            <w:pPr>
              <w:spacing w:after="0"/>
              <w:rPr>
                <w:sz w:val="15"/>
                <w:szCs w:val="15"/>
                <w:color w:val="auto"/>
              </w:rPr>
            </w:pPr>
          </w:p>
        </w:tc>
        <w:tc>
          <w:tcPr>
            <w:tcW w:w="460" w:type="dxa"/>
            <w:vAlign w:val="bottom"/>
            <w:gridSpan w:val="2"/>
          </w:tcPr>
          <w:p>
            <w:pPr>
              <w:ind w:left="20"/>
              <w:spacing w:after="0"/>
              <w:rPr>
                <w:sz w:val="20"/>
                <w:szCs w:val="20"/>
                <w:color w:val="auto"/>
              </w:rPr>
            </w:pPr>
            <w:r>
              <w:rPr>
                <w:rFonts w:ascii="Arial" w:cs="Arial" w:eastAsia="Arial" w:hAnsi="Arial"/>
                <w:sz w:val="14"/>
                <w:szCs w:val="14"/>
                <w:b w:val="1"/>
                <w:bCs w:val="1"/>
                <w:color w:val="auto"/>
              </w:rPr>
              <w:t>PHC</w:t>
            </w:r>
          </w:p>
        </w:tc>
        <w:tc>
          <w:tcPr>
            <w:tcW w:w="60" w:type="dxa"/>
            <w:vAlign w:val="bottom"/>
          </w:tcPr>
          <w:p>
            <w:pPr>
              <w:spacing w:after="0"/>
              <w:rPr>
                <w:sz w:val="15"/>
                <w:szCs w:val="15"/>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7"/>
              </w:rPr>
              <w:t>ADJUSTMENTS</w:t>
            </w:r>
          </w:p>
        </w:tc>
        <w:tc>
          <w:tcPr>
            <w:tcW w:w="1360" w:type="dxa"/>
            <w:vAlign w:val="bottom"/>
            <w:gridSpan w:val="4"/>
          </w:tcPr>
          <w:p>
            <w:pPr>
              <w:ind w:left="40"/>
              <w:spacing w:after="0"/>
              <w:rPr>
                <w:sz w:val="20"/>
                <w:szCs w:val="20"/>
                <w:color w:val="auto"/>
              </w:rPr>
            </w:pPr>
            <w:r>
              <w:rPr>
                <w:rFonts w:ascii="Arial" w:cs="Arial" w:eastAsia="Arial" w:hAnsi="Arial"/>
                <w:sz w:val="14"/>
                <w:szCs w:val="14"/>
                <w:b w:val="1"/>
                <w:bCs w:val="1"/>
                <w:i w:val="1"/>
                <w:iCs w:val="1"/>
                <w:color w:val="auto"/>
              </w:rPr>
              <w:t xml:space="preserve">NOTES </w:t>
            </w: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60" w:type="dxa"/>
            <w:vAlign w:val="bottom"/>
            <w:tcBorders>
              <w:top w:val="single" w:sz="8" w:color="auto"/>
            </w:tcBorders>
            <w:gridSpan w:val="13"/>
          </w:tcPr>
          <w:p>
            <w:pPr>
              <w:jc w:val="right"/>
              <w:ind w:right="20"/>
              <w:spacing w:after="0" w:line="142" w:lineRule="exact"/>
              <w:rPr>
                <w:sz w:val="20"/>
                <w:szCs w:val="20"/>
                <w:color w:val="auto"/>
              </w:rPr>
            </w:pPr>
            <w:r>
              <w:rPr>
                <w:rFonts w:ascii="Arial" w:cs="Arial" w:eastAsia="Arial" w:hAnsi="Arial"/>
                <w:sz w:val="14"/>
                <w:szCs w:val="14"/>
                <w:b w:val="1"/>
                <w:bCs w:val="1"/>
                <w:color w:val="auto"/>
                <w:w w:val="85"/>
              </w:rPr>
              <w:t>(Dollars in thousands, except share and per share amounts)</w:t>
            </w: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48,344</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137,781</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186,125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42,637</w:t>
            </w:r>
          </w:p>
        </w:tc>
        <w:tc>
          <w:tcPr>
            <w:tcW w:w="3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10,956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53,593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239,718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tcPr>
          <w:p>
            <w:pPr>
              <w:spacing w:after="0" w:line="138" w:lineRule="exact"/>
              <w:rPr>
                <w:sz w:val="20"/>
                <w:szCs w:val="20"/>
                <w:color w:val="auto"/>
              </w:rPr>
            </w:pPr>
            <w:r>
              <w:rPr>
                <w:rFonts w:ascii="Arial" w:cs="Arial" w:eastAsia="Arial" w:hAnsi="Arial"/>
                <w:sz w:val="14"/>
                <w:szCs w:val="14"/>
                <w:color w:val="auto"/>
                <w:w w:val="93"/>
              </w:rPr>
              <w:t>Salaries, wages</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tcPr>
          <w:p>
            <w:pPr>
              <w:ind w:left="200"/>
              <w:spacing w:after="0" w:line="159" w:lineRule="exact"/>
              <w:rPr>
                <w:sz w:val="20"/>
                <w:szCs w:val="20"/>
                <w:color w:val="auto"/>
              </w:rPr>
            </w:pPr>
            <w:r>
              <w:rPr>
                <w:rFonts w:ascii="Arial" w:cs="Arial" w:eastAsia="Arial" w:hAnsi="Arial"/>
                <w:sz w:val="14"/>
                <w:szCs w:val="14"/>
                <w:color w:val="auto"/>
                <w:w w:val="94"/>
              </w:rPr>
              <w:t>and benefits</w:t>
            </w:r>
          </w:p>
        </w:tc>
        <w:tc>
          <w:tcPr>
            <w:tcW w:w="18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28,980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7"/>
              </w:rPr>
              <w:t>84,940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86"/>
              </w:rPr>
              <w:t>113,920</w:t>
            </w:r>
          </w:p>
        </w:tc>
        <w:tc>
          <w:tcPr>
            <w:tcW w:w="8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w w:val="83"/>
              </w:rPr>
              <w:t>20,990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6,640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93"/>
              </w:rPr>
              <w:t>27,630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141,550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Professional</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fees</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1,151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5,575</w:t>
            </w:r>
          </w:p>
        </w:tc>
        <w:tc>
          <w:tcPr>
            <w:tcW w:w="5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(10)</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6,726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6,354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689</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7,043</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13,769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line="149" w:lineRule="exact"/>
              <w:rPr>
                <w:sz w:val="20"/>
                <w:szCs w:val="20"/>
                <w:color w:val="auto"/>
              </w:rPr>
            </w:pPr>
            <w:r>
              <w:rPr>
                <w:rFonts w:ascii="Arial" w:cs="Arial" w:eastAsia="Arial" w:hAnsi="Arial"/>
                <w:sz w:val="14"/>
                <w:szCs w:val="14"/>
                <w:color w:val="auto"/>
              </w:rPr>
              <w:t>Supplies</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2,851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6,211</w:t>
            </w: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88"/>
              </w:rPr>
              <w:t>(10)</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9,062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1,732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690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2,422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11,484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Rent</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3,904</w:t>
            </w:r>
          </w:p>
        </w:tc>
        <w:tc>
          <w:tcPr>
            <w:tcW w:w="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2,643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tcPr>
          <w:p>
            <w:pPr>
              <w:spacing w:after="0" w:line="138" w:lineRule="exact"/>
              <w:rPr>
                <w:sz w:val="20"/>
                <w:szCs w:val="20"/>
                <w:color w:val="auto"/>
              </w:rPr>
            </w:pPr>
            <w:r>
              <w:rPr>
                <w:rFonts w:ascii="Arial" w:cs="Arial" w:eastAsia="Arial" w:hAnsi="Arial"/>
                <w:sz w:val="14"/>
                <w:szCs w:val="14"/>
                <w:color w:val="auto"/>
                <w:w w:val="94"/>
              </w:rPr>
              <w:t>Other operating</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tcPr>
          <w:p>
            <w:pPr>
              <w:ind w:left="200"/>
              <w:spacing w:after="0" w:line="159" w:lineRule="exact"/>
              <w:rPr>
                <w:sz w:val="20"/>
                <w:szCs w:val="20"/>
                <w:color w:val="auto"/>
              </w:rPr>
            </w:pPr>
            <w:r>
              <w:rPr>
                <w:rFonts w:ascii="Arial" w:cs="Arial" w:eastAsia="Arial" w:hAnsi="Arial"/>
                <w:sz w:val="14"/>
                <w:szCs w:val="14"/>
                <w:color w:val="auto"/>
              </w:rPr>
              <w:t>expenses</w:t>
            </w:r>
          </w:p>
        </w:tc>
        <w:tc>
          <w:tcPr>
            <w:tcW w:w="18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4,980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7"/>
              </w:rPr>
              <w:t>27,972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(15,690)</w:t>
            </w:r>
          </w:p>
        </w:tc>
        <w:tc>
          <w:tcPr>
            <w:tcW w:w="540" w:type="dxa"/>
            <w:vAlign w:val="bottom"/>
          </w:tcPr>
          <w:p>
            <w:pPr>
              <w:jc w:val="center"/>
              <w:spacing w:after="0" w:line="159" w:lineRule="exact"/>
              <w:rPr>
                <w:sz w:val="20"/>
                <w:szCs w:val="20"/>
                <w:color w:val="auto"/>
              </w:rPr>
            </w:pPr>
            <w:r>
              <w:rPr>
                <w:rFonts w:ascii="Arial" w:cs="Arial" w:eastAsia="Arial" w:hAnsi="Arial"/>
                <w:sz w:val="14"/>
                <w:szCs w:val="14"/>
                <w:color w:val="auto"/>
                <w:w w:val="88"/>
              </w:rPr>
              <w:t>(10)</w:t>
            </w:r>
          </w:p>
        </w:tc>
        <w:tc>
          <w:tcPr>
            <w:tcW w:w="8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17,262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4.884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905</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5,789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23,051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Provision for</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doubtful</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accounts</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1,803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295</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2,098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2.207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337</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2,544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4,642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tcPr>
          <w:p>
            <w:pPr>
              <w:spacing w:after="0" w:line="138" w:lineRule="exact"/>
              <w:rPr>
                <w:sz w:val="20"/>
                <w:szCs w:val="20"/>
                <w:color w:val="auto"/>
              </w:rPr>
            </w:pPr>
            <w:r>
              <w:rPr>
                <w:rFonts w:ascii="Arial" w:cs="Arial" w:eastAsia="Arial" w:hAnsi="Arial"/>
                <w:sz w:val="14"/>
                <w:szCs w:val="14"/>
                <w:color w:val="auto"/>
              </w:rPr>
              <w:t>Depreciation</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200"/>
              <w:spacing w:after="0" w:line="149" w:lineRule="exact"/>
              <w:rPr>
                <w:sz w:val="20"/>
                <w:szCs w:val="20"/>
                <w:color w:val="auto"/>
              </w:rPr>
            </w:pPr>
            <w:r>
              <w:rPr>
                <w:rFonts w:ascii="Arial" w:cs="Arial" w:eastAsia="Arial" w:hAnsi="Arial"/>
                <w:sz w:val="14"/>
                <w:szCs w:val="14"/>
                <w:color w:val="auto"/>
              </w:rPr>
              <w:t>and</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tcPr>
          <w:p>
            <w:pPr>
              <w:ind w:left="200"/>
              <w:spacing w:after="0" w:line="159" w:lineRule="exact"/>
              <w:rPr>
                <w:sz w:val="20"/>
                <w:szCs w:val="20"/>
                <w:color w:val="auto"/>
              </w:rPr>
            </w:pPr>
            <w:r>
              <w:rPr>
                <w:rFonts w:ascii="Arial" w:cs="Arial" w:eastAsia="Arial" w:hAnsi="Arial"/>
                <w:sz w:val="14"/>
                <w:szCs w:val="14"/>
                <w:color w:val="auto"/>
                <w:w w:val="94"/>
              </w:rPr>
              <w:t>amortization</w:t>
            </w:r>
          </w:p>
        </w:tc>
        <w:tc>
          <w:tcPr>
            <w:tcW w:w="18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728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2,612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163</w:t>
            </w:r>
          </w:p>
        </w:tc>
        <w:tc>
          <w:tcPr>
            <w:tcW w:w="620" w:type="dxa"/>
            <w:vAlign w:val="bottom"/>
            <w:gridSpan w:val="2"/>
          </w:tcPr>
          <w:p>
            <w:pPr>
              <w:jc w:val="center"/>
              <w:ind w:right="12"/>
              <w:spacing w:after="0" w:line="159" w:lineRule="exact"/>
              <w:rPr>
                <w:sz w:val="20"/>
                <w:szCs w:val="20"/>
                <w:color w:val="auto"/>
              </w:rPr>
            </w:pPr>
            <w:r>
              <w:rPr>
                <w:rFonts w:ascii="Arial" w:cs="Arial" w:eastAsia="Arial" w:hAnsi="Arial"/>
                <w:sz w:val="14"/>
                <w:szCs w:val="14"/>
                <w:color w:val="auto"/>
                <w:w w:val="91"/>
              </w:rPr>
              <w:t>(13a)</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3,503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851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229</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86</w:t>
            </w:r>
          </w:p>
        </w:tc>
        <w:tc>
          <w:tcPr>
            <w:tcW w:w="100" w:type="dxa"/>
            <w:vAlign w:val="bottom"/>
          </w:tcPr>
          <w:p>
            <w:pPr>
              <w:spacing w:after="0"/>
              <w:rPr>
                <w:sz w:val="13"/>
                <w:szCs w:val="13"/>
                <w:color w:val="auto"/>
              </w:rPr>
            </w:pPr>
          </w:p>
        </w:tc>
        <w:tc>
          <w:tcPr>
            <w:tcW w:w="500" w:type="dxa"/>
            <w:vAlign w:val="bottom"/>
          </w:tcPr>
          <w:p>
            <w:pPr>
              <w:jc w:val="center"/>
              <w:spacing w:after="0" w:line="159" w:lineRule="exact"/>
              <w:rPr>
                <w:sz w:val="20"/>
                <w:szCs w:val="20"/>
                <w:color w:val="auto"/>
              </w:rPr>
            </w:pPr>
            <w:r>
              <w:rPr>
                <w:rFonts w:ascii="Arial" w:cs="Arial" w:eastAsia="Arial" w:hAnsi="Arial"/>
                <w:sz w:val="14"/>
                <w:szCs w:val="14"/>
                <w:color w:val="auto"/>
                <w:w w:val="85"/>
              </w:rPr>
              <w:t>(13b)</w:t>
            </w:r>
          </w:p>
        </w:tc>
        <w:tc>
          <w:tcPr>
            <w:tcW w:w="100" w:type="dxa"/>
            <w:vAlign w:val="bottom"/>
          </w:tcPr>
          <w:p>
            <w:pPr>
              <w:spacing w:after="0"/>
              <w:rPr>
                <w:sz w:val="13"/>
                <w:szCs w:val="13"/>
                <w:color w:val="auto"/>
              </w:rPr>
            </w:pPr>
          </w:p>
        </w:tc>
        <w:tc>
          <w:tcPr>
            <w:tcW w:w="4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1,166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112</w:t>
            </w:r>
          </w:p>
        </w:tc>
        <w:tc>
          <w:tcPr>
            <w:tcW w:w="62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7"/>
              </w:rPr>
              <w:t>(13c)</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4,781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5"/>
              </w:rPr>
              <w:t>Interest expense,</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net</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549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5,713</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(734)</w:t>
            </w:r>
          </w:p>
        </w:tc>
        <w:tc>
          <w:tcPr>
            <w:tcW w:w="620" w:type="dxa"/>
            <w:vAlign w:val="bottom"/>
            <w:gridSpan w:val="2"/>
            <w:shd w:val="clear" w:color="auto" w:fill="CCEEFF"/>
          </w:tcPr>
          <w:p>
            <w:pPr>
              <w:jc w:val="center"/>
              <w:ind w:right="12"/>
              <w:spacing w:after="0" w:line="159" w:lineRule="exact"/>
              <w:rPr>
                <w:sz w:val="20"/>
                <w:szCs w:val="20"/>
                <w:color w:val="auto"/>
              </w:rPr>
            </w:pPr>
            <w:r>
              <w:rPr>
                <w:rFonts w:ascii="Arial" w:cs="Arial" w:eastAsia="Arial" w:hAnsi="Arial"/>
                <w:sz w:val="14"/>
                <w:szCs w:val="14"/>
                <w:color w:val="auto"/>
                <w:w w:val="91"/>
              </w:rPr>
              <w:t>(14a)</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5,528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390</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1,187</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(14b)</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1,702</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14,039</w:t>
            </w:r>
          </w:p>
        </w:tc>
        <w:tc>
          <w:tcPr>
            <w:tcW w:w="620" w:type="dxa"/>
            <w:vAlign w:val="bottom"/>
            <w:gridSpan w:val="2"/>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87"/>
              </w:rPr>
              <w:t>(14c)</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21,269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tcPr>
          <w:p>
            <w:pPr>
              <w:spacing w:after="0" w:line="138" w:lineRule="exact"/>
              <w:rPr>
                <w:sz w:val="20"/>
                <w:szCs w:val="20"/>
                <w:color w:val="auto"/>
              </w:rPr>
            </w:pPr>
            <w:r>
              <w:rPr>
                <w:rFonts w:ascii="Arial" w:cs="Arial" w:eastAsia="Arial" w:hAnsi="Arial"/>
                <w:sz w:val="14"/>
                <w:szCs w:val="14"/>
                <w:color w:val="auto"/>
              </w:rPr>
              <w:t>Sponsor</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200"/>
              <w:spacing w:after="0" w:line="149" w:lineRule="exact"/>
              <w:rPr>
                <w:sz w:val="20"/>
                <w:szCs w:val="20"/>
                <w:color w:val="auto"/>
              </w:rPr>
            </w:pPr>
            <w:r>
              <w:rPr>
                <w:rFonts w:ascii="Arial" w:cs="Arial" w:eastAsia="Arial" w:hAnsi="Arial"/>
                <w:sz w:val="14"/>
                <w:szCs w:val="14"/>
                <w:color w:val="auto"/>
                <w:w w:val="88"/>
              </w:rPr>
              <w:t>management</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tcPr>
          <w:p>
            <w:pPr>
              <w:ind w:left="200"/>
              <w:spacing w:after="0" w:line="159" w:lineRule="exact"/>
              <w:rPr>
                <w:sz w:val="20"/>
                <w:szCs w:val="20"/>
                <w:color w:val="auto"/>
              </w:rPr>
            </w:pPr>
            <w:r>
              <w:rPr>
                <w:rFonts w:ascii="Arial" w:cs="Arial" w:eastAsia="Arial" w:hAnsi="Arial"/>
                <w:sz w:val="14"/>
                <w:szCs w:val="14"/>
                <w:color w:val="auto"/>
              </w:rPr>
              <w:t>fees</w:t>
            </w:r>
          </w:p>
        </w:tc>
        <w:tc>
          <w:tcPr>
            <w:tcW w:w="18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105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105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ind w:left="5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105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Transaction-</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related</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expenses</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(104)</w:t>
            </w:r>
          </w:p>
        </w:tc>
        <w:tc>
          <w:tcPr>
            <w:tcW w:w="5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(11)</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960" w:type="dxa"/>
            <w:vAlign w:val="bottom"/>
            <w:gridSpan w:val="2"/>
            <w:vMerge w:val="restart"/>
          </w:tcPr>
          <w:p>
            <w:pPr>
              <w:spacing w:after="0"/>
              <w:rPr>
                <w:sz w:val="20"/>
                <w:szCs w:val="20"/>
                <w:color w:val="auto"/>
              </w:rPr>
            </w:pPr>
            <w:r>
              <w:rPr>
                <w:rFonts w:ascii="Arial" w:cs="Arial" w:eastAsia="Arial" w:hAnsi="Arial"/>
                <w:sz w:val="14"/>
                <w:szCs w:val="14"/>
                <w:color w:val="auto"/>
                <w:w w:val="98"/>
              </w:rPr>
              <w:t>Total expenses</w:t>
            </w: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42,212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82"/>
              </w:rPr>
              <w:t>121,532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(675)</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86"/>
              </w:rPr>
              <w:t>163,069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83"/>
              </w:rPr>
              <w:t>39,770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9,896</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1,273</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3"/>
              </w:rPr>
              <w:t>50,939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14,151</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228,159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Income (loss)</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from</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continuing</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operations</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before</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taxes</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6,132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7"/>
              </w:rPr>
              <w:t>16,249</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675</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23,056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2,867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1,060</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(1,273)</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2,654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(14,151)</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11,559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tcPr>
          <w:p>
            <w:pPr>
              <w:spacing w:after="0" w:line="138" w:lineRule="exact"/>
              <w:rPr>
                <w:sz w:val="20"/>
                <w:szCs w:val="20"/>
                <w:color w:val="auto"/>
              </w:rPr>
            </w:pPr>
            <w:r>
              <w:rPr>
                <w:rFonts w:ascii="Arial" w:cs="Arial" w:eastAsia="Arial" w:hAnsi="Arial"/>
                <w:sz w:val="14"/>
                <w:szCs w:val="14"/>
                <w:color w:val="auto"/>
              </w:rPr>
              <w:t>Provision for</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200"/>
              <w:spacing w:after="0" w:line="149" w:lineRule="exact"/>
              <w:rPr>
                <w:sz w:val="20"/>
                <w:szCs w:val="20"/>
                <w:color w:val="auto"/>
              </w:rPr>
            </w:pPr>
            <w:r>
              <w:rPr>
                <w:rFonts w:ascii="Arial" w:cs="Arial" w:eastAsia="Arial" w:hAnsi="Arial"/>
                <w:sz w:val="14"/>
                <w:szCs w:val="14"/>
                <w:color w:val="auto"/>
              </w:rPr>
              <w:t>income</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tcPr>
          <w:p>
            <w:pPr>
              <w:ind w:left="200"/>
              <w:spacing w:after="0" w:line="159" w:lineRule="exact"/>
              <w:rPr>
                <w:sz w:val="20"/>
                <w:szCs w:val="20"/>
                <w:color w:val="auto"/>
              </w:rPr>
            </w:pPr>
            <w:r>
              <w:rPr>
                <w:rFonts w:ascii="Arial" w:cs="Arial" w:eastAsia="Arial" w:hAnsi="Arial"/>
                <w:sz w:val="14"/>
                <w:szCs w:val="14"/>
                <w:color w:val="auto"/>
              </w:rPr>
              <w:t>taxes</w:t>
            </w:r>
          </w:p>
        </w:tc>
        <w:tc>
          <w:tcPr>
            <w:tcW w:w="18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459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6,174</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2,453</w:t>
            </w:r>
          </w:p>
        </w:tc>
        <w:tc>
          <w:tcPr>
            <w:tcW w:w="540" w:type="dxa"/>
            <w:vAlign w:val="bottom"/>
          </w:tcPr>
          <w:p>
            <w:pPr>
              <w:jc w:val="center"/>
              <w:spacing w:after="0" w:line="159" w:lineRule="exact"/>
              <w:rPr>
                <w:sz w:val="20"/>
                <w:szCs w:val="20"/>
                <w:color w:val="auto"/>
              </w:rPr>
            </w:pPr>
            <w:r>
              <w:rPr>
                <w:rFonts w:ascii="Arial" w:cs="Arial" w:eastAsia="Arial" w:hAnsi="Arial"/>
                <w:sz w:val="14"/>
                <w:szCs w:val="14"/>
                <w:color w:val="auto"/>
                <w:w w:val="88"/>
              </w:rPr>
              <w:t>(15)</w:t>
            </w:r>
          </w:p>
        </w:tc>
        <w:tc>
          <w:tcPr>
            <w:tcW w:w="8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9,356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1,281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433</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(509)</w:t>
            </w:r>
          </w:p>
        </w:tc>
        <w:tc>
          <w:tcPr>
            <w:tcW w:w="500" w:type="dxa"/>
            <w:vAlign w:val="bottom"/>
          </w:tcPr>
          <w:p>
            <w:pPr>
              <w:jc w:val="center"/>
              <w:spacing w:after="0" w:line="159" w:lineRule="exact"/>
              <w:rPr>
                <w:sz w:val="20"/>
                <w:szCs w:val="20"/>
                <w:color w:val="auto"/>
              </w:rPr>
            </w:pPr>
            <w:r>
              <w:rPr>
                <w:rFonts w:ascii="Arial" w:cs="Arial" w:eastAsia="Arial" w:hAnsi="Arial"/>
                <w:sz w:val="14"/>
                <w:szCs w:val="14"/>
                <w:color w:val="auto"/>
                <w:w w:val="96"/>
              </w:rPr>
              <w:t>(16)</w:t>
            </w:r>
          </w:p>
        </w:tc>
        <w:tc>
          <w:tcPr>
            <w:tcW w:w="100" w:type="dxa"/>
            <w:vAlign w:val="bottom"/>
          </w:tcPr>
          <w:p>
            <w:pPr>
              <w:spacing w:after="0"/>
              <w:rPr>
                <w:sz w:val="13"/>
                <w:szCs w:val="13"/>
                <w:color w:val="auto"/>
              </w:rPr>
            </w:pPr>
          </w:p>
        </w:tc>
        <w:tc>
          <w:tcPr>
            <w:tcW w:w="4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1,205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(5,660)</w:t>
            </w:r>
          </w:p>
        </w:tc>
        <w:tc>
          <w:tcPr>
            <w:tcW w:w="520" w:type="dxa"/>
            <w:vAlign w:val="bottom"/>
          </w:tcPr>
          <w:p>
            <w:pPr>
              <w:jc w:val="center"/>
              <w:spacing w:after="0" w:line="159" w:lineRule="exact"/>
              <w:rPr>
                <w:sz w:val="20"/>
                <w:szCs w:val="20"/>
                <w:color w:val="auto"/>
              </w:rPr>
            </w:pPr>
            <w:r>
              <w:rPr>
                <w:rFonts w:ascii="Arial" w:cs="Arial" w:eastAsia="Arial" w:hAnsi="Arial"/>
                <w:sz w:val="14"/>
                <w:szCs w:val="14"/>
                <w:color w:val="auto"/>
                <w:w w:val="96"/>
              </w:rPr>
              <w:t>(16)</w:t>
            </w:r>
          </w:p>
        </w:tc>
        <w:tc>
          <w:tcPr>
            <w:tcW w:w="10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4,900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270</w:t>
            </w:r>
          </w:p>
        </w:tc>
        <w:tc>
          <w:tcPr>
            <w:tcW w:w="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(16)</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960" w:type="dxa"/>
            <w:vAlign w:val="bottom"/>
            <w:gridSpan w:val="2"/>
          </w:tcPr>
          <w:p>
            <w:pPr>
              <w:spacing w:after="0" w:line="145" w:lineRule="exact"/>
              <w:rPr>
                <w:sz w:val="20"/>
                <w:szCs w:val="20"/>
                <w:color w:val="auto"/>
              </w:rPr>
            </w:pPr>
            <w:r>
              <w:rPr>
                <w:rFonts w:ascii="Arial" w:cs="Arial" w:eastAsia="Arial" w:hAnsi="Arial"/>
                <w:sz w:val="14"/>
                <w:szCs w:val="14"/>
                <w:color w:val="auto"/>
              </w:rPr>
              <w:t>Income (loss)</w:t>
            </w: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200"/>
              <w:spacing w:after="0" w:line="149" w:lineRule="exact"/>
              <w:rPr>
                <w:sz w:val="20"/>
                <w:szCs w:val="20"/>
                <w:color w:val="auto"/>
              </w:rPr>
            </w:pPr>
            <w:r>
              <w:rPr>
                <w:rFonts w:ascii="Arial" w:cs="Arial" w:eastAsia="Arial" w:hAnsi="Arial"/>
                <w:sz w:val="14"/>
                <w:szCs w:val="14"/>
                <w:color w:val="auto"/>
              </w:rPr>
              <w:t>from</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200"/>
              <w:spacing w:after="0" w:line="149" w:lineRule="exact"/>
              <w:rPr>
                <w:sz w:val="20"/>
                <w:szCs w:val="20"/>
                <w:color w:val="auto"/>
              </w:rPr>
            </w:pPr>
            <w:r>
              <w:rPr>
                <w:rFonts w:ascii="Arial" w:cs="Arial" w:eastAsia="Arial" w:hAnsi="Arial"/>
                <w:sz w:val="14"/>
                <w:szCs w:val="14"/>
                <w:color w:val="auto"/>
              </w:rPr>
              <w:t>continuing</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tcPr>
          <w:p>
            <w:pPr>
              <w:ind w:left="200"/>
              <w:spacing w:after="0" w:line="159" w:lineRule="exact"/>
              <w:rPr>
                <w:sz w:val="20"/>
                <w:szCs w:val="20"/>
                <w:color w:val="auto"/>
              </w:rPr>
            </w:pPr>
            <w:r>
              <w:rPr>
                <w:rFonts w:ascii="Arial" w:cs="Arial" w:eastAsia="Arial" w:hAnsi="Arial"/>
                <w:sz w:val="14"/>
                <w:szCs w:val="14"/>
                <w:color w:val="auto"/>
              </w:rPr>
              <w:t>operations</w:t>
            </w:r>
          </w:p>
        </w:tc>
        <w:tc>
          <w:tcPr>
            <w:tcW w:w="18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5,673</w:t>
            </w:r>
          </w:p>
        </w:tc>
        <w:tc>
          <w:tcPr>
            <w:tcW w:w="200" w:type="dxa"/>
            <w:vAlign w:val="bottom"/>
            <w:gridSpan w:val="2"/>
          </w:tcPr>
          <w:p>
            <w:pPr>
              <w:ind w:left="120"/>
              <w:spacing w:after="0" w:line="159" w:lineRule="exact"/>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7"/>
              </w:rPr>
              <w:t>10,075</w:t>
            </w:r>
          </w:p>
        </w:tc>
        <w:tc>
          <w:tcPr>
            <w:tcW w:w="220" w:type="dxa"/>
            <w:vAlign w:val="bottom"/>
            <w:gridSpan w:val="2"/>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(1,778)</w:t>
            </w:r>
          </w:p>
        </w:tc>
        <w:tc>
          <w:tcPr>
            <w:tcW w:w="620" w:type="dxa"/>
            <w:vAlign w:val="bottom"/>
            <w:gridSpan w:val="2"/>
          </w:tcPr>
          <w:p>
            <w:pPr>
              <w:ind w:left="540"/>
              <w:spacing w:after="0" w:line="159"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13,700</w:t>
            </w:r>
          </w:p>
        </w:tc>
        <w:tc>
          <w:tcPr>
            <w:tcW w:w="100" w:type="dxa"/>
            <w:vAlign w:val="bottom"/>
          </w:tcPr>
          <w:p>
            <w:pPr>
              <w:spacing w:after="0"/>
              <w:rPr>
                <w:sz w:val="13"/>
                <w:szCs w:val="13"/>
                <w:color w:val="auto"/>
              </w:rPr>
            </w:pP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1,586</w:t>
            </w:r>
          </w:p>
        </w:tc>
        <w:tc>
          <w:tcPr>
            <w:tcW w:w="30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627</w:t>
            </w:r>
          </w:p>
        </w:tc>
        <w:tc>
          <w:tcPr>
            <w:tcW w:w="1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(764)</w:t>
            </w:r>
          </w:p>
        </w:tc>
        <w:tc>
          <w:tcPr>
            <w:tcW w:w="500" w:type="dxa"/>
            <w:vAlign w:val="bottom"/>
          </w:tcPr>
          <w:p>
            <w:pPr>
              <w:spacing w:after="0"/>
              <w:rPr>
                <w:sz w:val="13"/>
                <w:szCs w:val="13"/>
                <w:color w:val="auto"/>
              </w:rPr>
            </w:pPr>
          </w:p>
        </w:tc>
        <w:tc>
          <w:tcPr>
            <w:tcW w:w="10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1,449</w:t>
            </w:r>
          </w:p>
        </w:tc>
        <w:tc>
          <w:tcPr>
            <w:tcW w:w="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(8,491)</w:t>
            </w:r>
          </w:p>
        </w:tc>
        <w:tc>
          <w:tcPr>
            <w:tcW w:w="6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6,659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Earnings per</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5"/>
              </w:rPr>
              <w:t>unit/share—</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from</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continuing</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operations:</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420"/>
              <w:spacing w:after="0" w:line="149" w:lineRule="exact"/>
              <w:rPr>
                <w:sz w:val="20"/>
                <w:szCs w:val="20"/>
                <w:color w:val="auto"/>
              </w:rPr>
            </w:pPr>
            <w:r>
              <w:rPr>
                <w:rFonts w:ascii="Arial" w:cs="Arial" w:eastAsia="Arial" w:hAnsi="Arial"/>
                <w:sz w:val="14"/>
                <w:szCs w:val="14"/>
                <w:color w:val="auto"/>
              </w:rPr>
              <w:t>Basic</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0.32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4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Diluted</w:t>
            </w:r>
          </w:p>
        </w:tc>
        <w:tc>
          <w:tcPr>
            <w:tcW w:w="1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0.32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gridSpan w:val="2"/>
            <w:vMerge w:val="restart"/>
          </w:tcPr>
          <w:p>
            <w:pPr>
              <w:spacing w:after="0"/>
              <w:rPr>
                <w:sz w:val="20"/>
                <w:szCs w:val="20"/>
                <w:color w:val="auto"/>
              </w:rPr>
            </w:pPr>
            <w:r>
              <w:rPr>
                <w:rFonts w:ascii="Arial" w:cs="Arial" w:eastAsia="Arial" w:hAnsi="Arial"/>
                <w:sz w:val="14"/>
                <w:szCs w:val="14"/>
                <w:color w:val="auto"/>
              </w:rPr>
              <w:t>Weighted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9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200"/>
              <w:spacing w:after="0" w:line="149" w:lineRule="exact"/>
              <w:rPr>
                <w:sz w:val="20"/>
                <w:szCs w:val="20"/>
                <w:color w:val="auto"/>
              </w:rPr>
            </w:pPr>
            <w:r>
              <w:rPr>
                <w:rFonts w:ascii="Arial" w:cs="Arial" w:eastAsia="Arial" w:hAnsi="Arial"/>
                <w:sz w:val="14"/>
                <w:szCs w:val="14"/>
                <w:color w:val="auto"/>
              </w:rPr>
              <w:t>average</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tcPr>
          <w:p>
            <w:pPr>
              <w:ind w:left="200"/>
              <w:spacing w:after="0" w:line="159" w:lineRule="exact"/>
              <w:rPr>
                <w:sz w:val="20"/>
                <w:szCs w:val="20"/>
                <w:color w:val="auto"/>
              </w:rPr>
            </w:pPr>
            <w:r>
              <w:rPr>
                <w:rFonts w:ascii="Arial" w:cs="Arial" w:eastAsia="Arial" w:hAnsi="Arial"/>
                <w:sz w:val="14"/>
                <w:szCs w:val="14"/>
                <w:color w:val="auto"/>
              </w:rPr>
              <w:t>shares:</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Basic</w:t>
            </w:r>
          </w:p>
        </w:tc>
        <w:tc>
          <w:tcPr>
            <w:tcW w:w="1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17,633,116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4,891,667</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(18)</w:t>
            </w: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22,524,783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vMerge w:val="restart"/>
          </w:tcPr>
          <w:p>
            <w:pPr>
              <w:ind w:left="420"/>
              <w:spacing w:after="0"/>
              <w:rPr>
                <w:sz w:val="20"/>
                <w:szCs w:val="20"/>
                <w:color w:val="auto"/>
              </w:rPr>
            </w:pPr>
            <w:r>
              <w:rPr>
                <w:rFonts w:ascii="Arial" w:cs="Arial" w:eastAsia="Arial" w:hAnsi="Arial"/>
                <w:sz w:val="14"/>
                <w:szCs w:val="14"/>
                <w:color w:val="auto"/>
              </w:rPr>
              <w:t>Diluted</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color w:val="auto"/>
                <w:w w:val="96"/>
              </w:rPr>
              <w:t>(18)</w:t>
            </w: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line="143" w:lineRule="exact"/>
              <w:rPr>
                <w:sz w:val="20"/>
                <w:szCs w:val="20"/>
                <w:color w:val="auto"/>
              </w:rPr>
            </w:pPr>
            <w:r>
              <w:rPr>
                <w:rFonts w:ascii="Arial" w:cs="Arial" w:eastAsia="Arial" w:hAnsi="Arial"/>
                <w:sz w:val="14"/>
                <w:szCs w:val="14"/>
                <w:color w:val="auto"/>
              </w:rPr>
              <w:t>17,633,116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4,913,376</w:t>
            </w: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w w:val="94"/>
              </w:rPr>
              <w:t>22,546,492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15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500"/>
          </w:cols>
          <w:pgMar w:left="240" w:top="274" w:right="159" w:bottom="1440" w:gutter="0" w:footer="0" w:header="0"/>
        </w:sectPr>
      </w:pPr>
    </w:p>
    <w:bookmarkStart w:id="8" w:name="page9"/>
    <w:bookmarkEnd w:id="8"/>
    <w:p>
      <w:pPr>
        <w:jc w:val="center"/>
        <w:ind w:righ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PRO FORMA CONDENSED COMBINED STATEMENT OF OPERATIONS</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the Nine Months Ended September 30,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4"/>
                <w:szCs w:val="14"/>
                <w:b w:val="1"/>
                <w:bCs w:val="1"/>
                <w:color w:val="auto"/>
              </w:rPr>
              <w:t>ACADIA</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PHC</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PRO</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2"/>
              </w:rPr>
              <w:t>PRO</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2"/>
              </w:rPr>
              <w:t>PRO</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FORMA</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98"/>
              </w:rPr>
              <w:t>PRO</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FORMA</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PRO</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FORMA</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right"/>
              <w:ind w:right="360"/>
              <w:spacing w:after="0" w:line="135" w:lineRule="exact"/>
              <w:rPr>
                <w:sz w:val="20"/>
                <w:szCs w:val="20"/>
                <w:color w:val="auto"/>
              </w:rPr>
            </w:pPr>
            <w:r>
              <w:rPr>
                <w:rFonts w:ascii="Arial" w:cs="Arial" w:eastAsia="Arial" w:hAnsi="Arial"/>
                <w:sz w:val="14"/>
                <w:szCs w:val="14"/>
                <w:b w:val="1"/>
                <w:bCs w:val="1"/>
                <w:color w:val="auto"/>
              </w:rPr>
              <w:t>ACADIA</w:t>
            </w:r>
          </w:p>
        </w:tc>
        <w:tc>
          <w:tcPr>
            <w:tcW w:w="40" w:type="dxa"/>
            <w:vAlign w:val="bottom"/>
          </w:tcPr>
          <w:p>
            <w:pPr>
              <w:spacing w:after="0"/>
              <w:rPr>
                <w:sz w:val="11"/>
                <w:szCs w:val="11"/>
                <w:color w:val="auto"/>
              </w:rPr>
            </w:pP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 xml:space="preserve">YFCS </w:t>
            </w:r>
            <w:r>
              <w:rPr>
                <w:rFonts w:ascii="Arial" w:cs="Arial" w:eastAsia="Arial" w:hAnsi="Arial"/>
                <w:sz w:val="22"/>
                <w:szCs w:val="22"/>
                <w:b w:val="1"/>
                <w:bCs w:val="1"/>
                <w:color w:val="auto"/>
                <w:w w:val="94"/>
                <w:vertAlign w:val="superscript"/>
              </w:rPr>
              <w:t>(2)</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YFCS</w:t>
            </w:r>
          </w:p>
        </w:tc>
        <w:tc>
          <w:tcPr>
            <w:tcW w:w="540" w:type="dxa"/>
            <w:vAlign w:val="bottom"/>
          </w:tcPr>
          <w:p>
            <w:pPr>
              <w:spacing w:after="0"/>
              <w:rPr>
                <w:sz w:val="11"/>
                <w:szCs w:val="11"/>
                <w:color w:val="auto"/>
              </w:rPr>
            </w:pPr>
          </w:p>
        </w:tc>
        <w:tc>
          <w:tcPr>
            <w:tcW w:w="5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FORMA</w:t>
            </w:r>
          </w:p>
        </w:tc>
        <w:tc>
          <w:tcPr>
            <w:tcW w:w="100" w:type="dxa"/>
            <w:vAlign w:val="bottom"/>
          </w:tcPr>
          <w:p>
            <w:pPr>
              <w:spacing w:after="0"/>
              <w:rPr>
                <w:sz w:val="11"/>
                <w:szCs w:val="11"/>
                <w:color w:val="auto"/>
              </w:rPr>
            </w:pPr>
          </w:p>
        </w:tc>
        <w:tc>
          <w:tcPr>
            <w:tcW w:w="560" w:type="dxa"/>
            <w:vAlign w:val="bottom"/>
            <w:gridSpan w:val="3"/>
            <w:vMerge w:val="restart"/>
          </w:tcPr>
          <w:p>
            <w:pPr>
              <w:spacing w:after="0"/>
              <w:rPr>
                <w:sz w:val="20"/>
                <w:szCs w:val="20"/>
                <w:color w:val="auto"/>
              </w:rPr>
            </w:pPr>
            <w:r>
              <w:rPr>
                <w:rFonts w:ascii="Arial" w:cs="Arial" w:eastAsia="Arial" w:hAnsi="Arial"/>
                <w:sz w:val="27"/>
                <w:szCs w:val="27"/>
                <w:b w:val="1"/>
                <w:bCs w:val="1"/>
                <w:color w:val="auto"/>
                <w:w w:val="98"/>
                <w:vertAlign w:val="subscript"/>
              </w:rPr>
              <w:t>PHC</w:t>
            </w:r>
            <w:r>
              <w:rPr>
                <w:rFonts w:ascii="Arial" w:cs="Arial" w:eastAsia="Arial" w:hAnsi="Arial"/>
                <w:sz w:val="11"/>
                <w:szCs w:val="11"/>
                <w:b w:val="1"/>
                <w:bCs w:val="1"/>
                <w:color w:val="auto"/>
                <w:w w:val="98"/>
              </w:rPr>
              <w:t xml:space="preserve"> (3)</w:t>
            </w:r>
          </w:p>
        </w:tc>
        <w:tc>
          <w:tcPr>
            <w:tcW w:w="20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HHC</w:t>
            </w:r>
          </w:p>
        </w:tc>
        <w:tc>
          <w:tcPr>
            <w:tcW w:w="40" w:type="dxa"/>
            <w:vAlign w:val="bottom"/>
          </w:tcPr>
          <w:p>
            <w:pPr>
              <w:spacing w:after="0"/>
              <w:rPr>
                <w:sz w:val="11"/>
                <w:szCs w:val="11"/>
                <w:color w:val="auto"/>
              </w:rPr>
            </w:pPr>
          </w:p>
        </w:tc>
        <w:tc>
          <w:tcPr>
            <w:tcW w:w="12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MEADOWWOOD</w:t>
            </w:r>
          </w:p>
        </w:tc>
        <w:tc>
          <w:tcPr>
            <w:tcW w:w="500" w:type="dxa"/>
            <w:vAlign w:val="bottom"/>
          </w:tcPr>
          <w:p>
            <w:pPr>
              <w:spacing w:after="0"/>
              <w:rPr>
                <w:sz w:val="11"/>
                <w:szCs w:val="11"/>
                <w:color w:val="auto"/>
              </w:rPr>
            </w:pPr>
          </w:p>
        </w:tc>
        <w:tc>
          <w:tcPr>
            <w:tcW w:w="5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FORMA</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MERGER</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rPr>
              <w:t>FORMA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gridSpan w:val="3"/>
          </w:tcPr>
          <w:p>
            <w:pPr>
              <w:ind w:left="20"/>
              <w:spacing w:after="0" w:line="176" w:lineRule="exact"/>
              <w:rPr>
                <w:sz w:val="20"/>
                <w:szCs w:val="20"/>
                <w:color w:val="auto"/>
              </w:rPr>
            </w:pPr>
            <w:r>
              <w:rPr>
                <w:rFonts w:ascii="Arial" w:cs="Arial" w:eastAsia="Arial" w:hAnsi="Arial"/>
                <w:sz w:val="13"/>
                <w:szCs w:val="13"/>
                <w:b w:val="1"/>
                <w:bCs w:val="1"/>
                <w:color w:val="auto"/>
              </w:rPr>
              <w:t xml:space="preserve">HEALTHCARE </w:t>
            </w:r>
            <w:r>
              <w:rPr>
                <w:rFonts w:ascii="Arial" w:cs="Arial" w:eastAsia="Arial" w:hAnsi="Arial"/>
                <w:sz w:val="20"/>
                <w:szCs w:val="20"/>
                <w:b w:val="1"/>
                <w:bCs w:val="1"/>
                <w:color w:val="auto"/>
                <w:vertAlign w:val="superscript"/>
              </w:rPr>
              <w:t>(1)</w:t>
            </w:r>
          </w:p>
        </w:tc>
        <w:tc>
          <w:tcPr>
            <w:tcW w:w="40" w:type="dxa"/>
            <w:vAlign w:val="bottom"/>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ADJUSTMENTS</w:t>
            </w: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w w:val="99"/>
              </w:rPr>
              <w:t xml:space="preserve">NOTES </w:t>
            </w:r>
            <w:r>
              <w:rPr>
                <w:rFonts w:ascii="Arial" w:cs="Arial" w:eastAsia="Arial" w:hAnsi="Arial"/>
                <w:sz w:val="14"/>
                <w:szCs w:val="14"/>
                <w:b w:val="1"/>
                <w:bCs w:val="1"/>
                <w:color w:val="auto"/>
                <w:w w:val="99"/>
              </w:rPr>
              <w:t>ACADIA</w:t>
            </w:r>
          </w:p>
        </w:tc>
        <w:tc>
          <w:tcPr>
            <w:tcW w:w="10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100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DELAWARE </w:t>
            </w:r>
            <w:r>
              <w:rPr>
                <w:rFonts w:ascii="Arial" w:cs="Arial" w:eastAsia="Arial" w:hAnsi="Arial"/>
                <w:sz w:val="20"/>
                <w:szCs w:val="20"/>
                <w:b w:val="1"/>
                <w:bCs w:val="1"/>
                <w:color w:val="auto"/>
                <w:vertAlign w:val="superscript"/>
              </w:rPr>
              <w:t>(4)</w:t>
            </w:r>
          </w:p>
        </w:tc>
        <w:tc>
          <w:tcPr>
            <w:tcW w:w="40" w:type="dxa"/>
            <w:vAlign w:val="bottom"/>
          </w:tcPr>
          <w:p>
            <w:pPr>
              <w:spacing w:after="0"/>
              <w:rPr>
                <w:sz w:val="15"/>
                <w:szCs w:val="15"/>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ADJUSTMENTS</w:t>
            </w:r>
          </w:p>
        </w:tc>
        <w:tc>
          <w:tcPr>
            <w:tcW w:w="500" w:type="dxa"/>
            <w:vAlign w:val="bottom"/>
          </w:tcPr>
          <w:p>
            <w:pPr>
              <w:ind w:left="20"/>
              <w:spacing w:after="0"/>
              <w:rPr>
                <w:sz w:val="20"/>
                <w:szCs w:val="20"/>
                <w:color w:val="auto"/>
              </w:rPr>
            </w:pPr>
            <w:r>
              <w:rPr>
                <w:rFonts w:ascii="Arial" w:cs="Arial" w:eastAsia="Arial" w:hAnsi="Arial"/>
                <w:sz w:val="14"/>
                <w:szCs w:val="14"/>
                <w:b w:val="1"/>
                <w:bCs w:val="1"/>
                <w:i w:val="1"/>
                <w:iCs w:val="1"/>
                <w:color w:val="auto"/>
                <w:w w:val="95"/>
              </w:rPr>
              <w:t>NOTES</w:t>
            </w:r>
          </w:p>
        </w:tc>
        <w:tc>
          <w:tcPr>
            <w:tcW w:w="100" w:type="dxa"/>
            <w:vAlign w:val="bottom"/>
          </w:tcPr>
          <w:p>
            <w:pPr>
              <w:spacing w:after="0"/>
              <w:rPr>
                <w:sz w:val="15"/>
                <w:szCs w:val="15"/>
                <w:color w:val="auto"/>
              </w:rPr>
            </w:pPr>
          </w:p>
        </w:tc>
        <w:tc>
          <w:tcPr>
            <w:tcW w:w="460" w:type="dxa"/>
            <w:vAlign w:val="bottom"/>
            <w:gridSpan w:val="2"/>
          </w:tcPr>
          <w:p>
            <w:pPr>
              <w:ind w:left="20"/>
              <w:spacing w:after="0"/>
              <w:rPr>
                <w:sz w:val="20"/>
                <w:szCs w:val="20"/>
                <w:color w:val="auto"/>
              </w:rPr>
            </w:pPr>
            <w:r>
              <w:rPr>
                <w:rFonts w:ascii="Arial" w:cs="Arial" w:eastAsia="Arial" w:hAnsi="Arial"/>
                <w:sz w:val="14"/>
                <w:szCs w:val="14"/>
                <w:b w:val="1"/>
                <w:bCs w:val="1"/>
                <w:color w:val="auto"/>
              </w:rPr>
              <w:t>PHC</w:t>
            </w:r>
          </w:p>
        </w:tc>
        <w:tc>
          <w:tcPr>
            <w:tcW w:w="60" w:type="dxa"/>
            <w:vAlign w:val="bottom"/>
          </w:tcPr>
          <w:p>
            <w:pPr>
              <w:spacing w:after="0"/>
              <w:rPr>
                <w:sz w:val="15"/>
                <w:szCs w:val="15"/>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7"/>
              </w:rPr>
              <w:t>ADJUSTMENTS</w:t>
            </w:r>
          </w:p>
        </w:tc>
        <w:tc>
          <w:tcPr>
            <w:tcW w:w="1340" w:type="dxa"/>
            <w:vAlign w:val="bottom"/>
            <w:gridSpan w:val="4"/>
          </w:tcPr>
          <w:p>
            <w:pPr>
              <w:jc w:val="right"/>
              <w:ind w:right="60"/>
              <w:spacing w:after="0"/>
              <w:rPr>
                <w:sz w:val="20"/>
                <w:szCs w:val="20"/>
                <w:color w:val="auto"/>
              </w:rPr>
            </w:pPr>
            <w:r>
              <w:rPr>
                <w:rFonts w:ascii="Arial" w:cs="Arial" w:eastAsia="Arial" w:hAnsi="Arial"/>
                <w:sz w:val="14"/>
                <w:szCs w:val="14"/>
                <w:b w:val="1"/>
                <w:bCs w:val="1"/>
                <w:i w:val="1"/>
                <w:iCs w:val="1"/>
                <w:color w:val="auto"/>
                <w:w w:val="98"/>
              </w:rPr>
              <w:t xml:space="preserve">NOTES </w:t>
            </w:r>
            <w:r>
              <w:rPr>
                <w:rFonts w:ascii="Arial" w:cs="Arial" w:eastAsia="Arial" w:hAnsi="Arial"/>
                <w:sz w:val="14"/>
                <w:szCs w:val="14"/>
                <w:b w:val="1"/>
                <w:bCs w:val="1"/>
                <w:color w:val="auto"/>
                <w:w w:val="98"/>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60" w:type="dxa"/>
            <w:vAlign w:val="bottom"/>
            <w:tcBorders>
              <w:top w:val="single" w:sz="8" w:color="auto"/>
            </w:tcBorders>
            <w:gridSpan w:val="13"/>
          </w:tcPr>
          <w:p>
            <w:pPr>
              <w:ind w:left="20"/>
              <w:spacing w:after="0" w:line="142" w:lineRule="exact"/>
              <w:rPr>
                <w:sz w:val="20"/>
                <w:szCs w:val="20"/>
                <w:color w:val="auto"/>
              </w:rPr>
            </w:pPr>
            <w:r>
              <w:rPr>
                <w:rFonts w:ascii="Arial" w:cs="Arial" w:eastAsia="Arial" w:hAnsi="Arial"/>
                <w:sz w:val="14"/>
                <w:szCs w:val="14"/>
                <w:b w:val="1"/>
                <w:bCs w:val="1"/>
                <w:color w:val="auto"/>
                <w:w w:val="85"/>
              </w:rPr>
              <w:t>(Dollars in thousands, except share and per share amounts)</w:t>
            </w: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146,019</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45,686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191,705</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52,989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7,541</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60,530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252,235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tcPr>
          <w:p>
            <w:pPr>
              <w:spacing w:after="0" w:line="138" w:lineRule="exact"/>
              <w:rPr>
                <w:sz w:val="20"/>
                <w:szCs w:val="20"/>
                <w:color w:val="auto"/>
              </w:rPr>
            </w:pPr>
            <w:r>
              <w:rPr>
                <w:rFonts w:ascii="Arial" w:cs="Arial" w:eastAsia="Arial" w:hAnsi="Arial"/>
                <w:sz w:val="14"/>
                <w:szCs w:val="14"/>
                <w:color w:val="auto"/>
                <w:w w:val="93"/>
              </w:rPr>
              <w:t>Salaries, wages</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tcPr>
          <w:p>
            <w:pPr>
              <w:ind w:left="200"/>
              <w:spacing w:after="0" w:line="159" w:lineRule="exact"/>
              <w:rPr>
                <w:sz w:val="20"/>
                <w:szCs w:val="20"/>
                <w:color w:val="auto"/>
              </w:rPr>
            </w:pPr>
            <w:r>
              <w:rPr>
                <w:rFonts w:ascii="Arial" w:cs="Arial" w:eastAsia="Arial" w:hAnsi="Arial"/>
                <w:sz w:val="14"/>
                <w:szCs w:val="14"/>
                <w:color w:val="auto"/>
                <w:w w:val="94"/>
              </w:rPr>
              <w:t>and benefits</w:t>
            </w:r>
          </w:p>
        </w:tc>
        <w:tc>
          <w:tcPr>
            <w:tcW w:w="18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110,750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3"/>
              </w:rPr>
              <w:t>29,502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w w:val="86"/>
              </w:rPr>
              <w:t>140,252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w w:val="83"/>
              </w:rPr>
              <w:t>27,839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4,747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ind w:left="80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93"/>
              </w:rPr>
              <w:t>32,586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172,838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Professional</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fees</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5,111</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1,901</w:t>
            </w:r>
          </w:p>
        </w:tc>
        <w:tc>
          <w:tcPr>
            <w:tcW w:w="5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(10)</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7,012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5,629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454</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80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6,083</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13,095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line="149" w:lineRule="exact"/>
              <w:rPr>
                <w:sz w:val="20"/>
                <w:szCs w:val="20"/>
                <w:color w:val="auto"/>
              </w:rPr>
            </w:pPr>
            <w:r>
              <w:rPr>
                <w:rFonts w:ascii="Arial" w:cs="Arial" w:eastAsia="Arial" w:hAnsi="Arial"/>
                <w:sz w:val="14"/>
                <w:szCs w:val="14"/>
                <w:color w:val="auto"/>
              </w:rPr>
              <w:t>Supplies</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7,665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2,204</w:t>
            </w: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88"/>
              </w:rPr>
              <w:t>(10)</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9,869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2,062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2,531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Rents and leases</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3,725</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1,320</w:t>
            </w:r>
          </w:p>
        </w:tc>
        <w:tc>
          <w:tcPr>
            <w:tcW w:w="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2,755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tcPr>
          <w:p>
            <w:pPr>
              <w:spacing w:after="0" w:line="138" w:lineRule="exact"/>
              <w:rPr>
                <w:sz w:val="20"/>
                <w:szCs w:val="20"/>
                <w:color w:val="auto"/>
              </w:rPr>
            </w:pPr>
            <w:r>
              <w:rPr>
                <w:rFonts w:ascii="Arial" w:cs="Arial" w:eastAsia="Arial" w:hAnsi="Arial"/>
                <w:sz w:val="14"/>
                <w:szCs w:val="14"/>
                <w:color w:val="auto"/>
                <w:w w:val="94"/>
              </w:rPr>
              <w:t>Other operating</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tcPr>
          <w:p>
            <w:pPr>
              <w:ind w:left="200"/>
              <w:spacing w:after="0" w:line="159" w:lineRule="exact"/>
              <w:rPr>
                <w:sz w:val="20"/>
                <w:szCs w:val="20"/>
                <w:color w:val="auto"/>
              </w:rPr>
            </w:pPr>
            <w:r>
              <w:rPr>
                <w:rFonts w:ascii="Arial" w:cs="Arial" w:eastAsia="Arial" w:hAnsi="Arial"/>
                <w:sz w:val="14"/>
                <w:szCs w:val="14"/>
                <w:color w:val="auto"/>
              </w:rPr>
              <w:t>expenses</w:t>
            </w:r>
          </w:p>
        </w:tc>
        <w:tc>
          <w:tcPr>
            <w:tcW w:w="18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12,954</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9,907</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(5,425)</w:t>
            </w:r>
          </w:p>
        </w:tc>
        <w:tc>
          <w:tcPr>
            <w:tcW w:w="540" w:type="dxa"/>
            <w:vAlign w:val="bottom"/>
          </w:tcPr>
          <w:p>
            <w:pPr>
              <w:jc w:val="center"/>
              <w:spacing w:after="0" w:line="159" w:lineRule="exact"/>
              <w:rPr>
                <w:sz w:val="20"/>
                <w:szCs w:val="20"/>
                <w:color w:val="auto"/>
              </w:rPr>
            </w:pPr>
            <w:r>
              <w:rPr>
                <w:rFonts w:ascii="Arial" w:cs="Arial" w:eastAsia="Arial" w:hAnsi="Arial"/>
                <w:sz w:val="14"/>
                <w:szCs w:val="14"/>
                <w:color w:val="auto"/>
                <w:w w:val="88"/>
              </w:rPr>
              <w:t>(10)</w:t>
            </w:r>
          </w:p>
        </w:tc>
        <w:tc>
          <w:tcPr>
            <w:tcW w:w="8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17,436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6,916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636</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ind w:left="80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7,552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24,988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Provision for</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doubtful</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accounts</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1,664</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208</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1,872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3,006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339</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80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3,345</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5,217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tcPr>
          <w:p>
            <w:pPr>
              <w:spacing w:after="0" w:line="138" w:lineRule="exact"/>
              <w:rPr>
                <w:sz w:val="20"/>
                <w:szCs w:val="20"/>
                <w:color w:val="auto"/>
              </w:rPr>
            </w:pPr>
            <w:r>
              <w:rPr>
                <w:rFonts w:ascii="Arial" w:cs="Arial" w:eastAsia="Arial" w:hAnsi="Arial"/>
                <w:sz w:val="14"/>
                <w:szCs w:val="14"/>
                <w:color w:val="auto"/>
              </w:rPr>
              <w:t>Depreciation</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200"/>
              <w:spacing w:after="0" w:line="149" w:lineRule="exact"/>
              <w:rPr>
                <w:sz w:val="20"/>
                <w:szCs w:val="20"/>
                <w:color w:val="auto"/>
              </w:rPr>
            </w:pPr>
            <w:r>
              <w:rPr>
                <w:rFonts w:ascii="Arial" w:cs="Arial" w:eastAsia="Arial" w:hAnsi="Arial"/>
                <w:sz w:val="14"/>
                <w:szCs w:val="14"/>
                <w:color w:val="auto"/>
              </w:rPr>
              <w:t>and</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tcPr>
          <w:p>
            <w:pPr>
              <w:ind w:left="200"/>
              <w:spacing w:after="0" w:line="159" w:lineRule="exact"/>
              <w:rPr>
                <w:sz w:val="20"/>
                <w:szCs w:val="20"/>
                <w:color w:val="auto"/>
              </w:rPr>
            </w:pPr>
            <w:r>
              <w:rPr>
                <w:rFonts w:ascii="Arial" w:cs="Arial" w:eastAsia="Arial" w:hAnsi="Arial"/>
                <w:sz w:val="14"/>
                <w:szCs w:val="14"/>
                <w:color w:val="auto"/>
                <w:w w:val="94"/>
              </w:rPr>
              <w:t>amortization</w:t>
            </w:r>
          </w:p>
        </w:tc>
        <w:tc>
          <w:tcPr>
            <w:tcW w:w="18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3,114</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819</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(1,494)</w:t>
            </w:r>
          </w:p>
        </w:tc>
        <w:tc>
          <w:tcPr>
            <w:tcW w:w="620" w:type="dxa"/>
            <w:vAlign w:val="bottom"/>
            <w:gridSpan w:val="2"/>
          </w:tcPr>
          <w:p>
            <w:pPr>
              <w:jc w:val="center"/>
              <w:ind w:right="12"/>
              <w:spacing w:after="0" w:line="159" w:lineRule="exact"/>
              <w:rPr>
                <w:sz w:val="20"/>
                <w:szCs w:val="20"/>
                <w:color w:val="auto"/>
              </w:rPr>
            </w:pPr>
            <w:r>
              <w:rPr>
                <w:rFonts w:ascii="Arial" w:cs="Arial" w:eastAsia="Arial" w:hAnsi="Arial"/>
                <w:sz w:val="14"/>
                <w:szCs w:val="14"/>
                <w:color w:val="auto"/>
                <w:w w:val="91"/>
              </w:rPr>
              <w:t>(13a)</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2,439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918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179</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31</w:t>
            </w:r>
          </w:p>
        </w:tc>
        <w:tc>
          <w:tcPr>
            <w:tcW w:w="100" w:type="dxa"/>
            <w:vAlign w:val="bottom"/>
          </w:tcPr>
          <w:p>
            <w:pPr>
              <w:spacing w:after="0"/>
              <w:rPr>
                <w:sz w:val="13"/>
                <w:szCs w:val="13"/>
                <w:color w:val="auto"/>
              </w:rPr>
            </w:pPr>
          </w:p>
        </w:tc>
        <w:tc>
          <w:tcPr>
            <w:tcW w:w="500" w:type="dxa"/>
            <w:vAlign w:val="bottom"/>
          </w:tcPr>
          <w:p>
            <w:pPr>
              <w:jc w:val="center"/>
              <w:spacing w:after="0" w:line="159" w:lineRule="exact"/>
              <w:rPr>
                <w:sz w:val="20"/>
                <w:szCs w:val="20"/>
                <w:color w:val="auto"/>
              </w:rPr>
            </w:pPr>
            <w:r>
              <w:rPr>
                <w:rFonts w:ascii="Arial" w:cs="Arial" w:eastAsia="Arial" w:hAnsi="Arial"/>
                <w:sz w:val="14"/>
                <w:szCs w:val="14"/>
                <w:color w:val="auto"/>
                <w:w w:val="85"/>
              </w:rPr>
              <w:t>(13b)</w:t>
            </w:r>
          </w:p>
        </w:tc>
        <w:tc>
          <w:tcPr>
            <w:tcW w:w="100" w:type="dxa"/>
            <w:vAlign w:val="bottom"/>
          </w:tcPr>
          <w:p>
            <w:pPr>
              <w:spacing w:after="0"/>
              <w:rPr>
                <w:sz w:val="13"/>
                <w:szCs w:val="13"/>
                <w:color w:val="auto"/>
              </w:rPr>
            </w:pPr>
          </w:p>
        </w:tc>
        <w:tc>
          <w:tcPr>
            <w:tcW w:w="4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1,128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150</w:t>
            </w:r>
          </w:p>
        </w:tc>
        <w:tc>
          <w:tcPr>
            <w:tcW w:w="60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87"/>
              </w:rPr>
              <w:t>(13c)</w:t>
            </w: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3,717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5"/>
              </w:rPr>
              <w:t>Interest expense,</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net</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4,143</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1,726</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(169)</w:t>
            </w:r>
          </w:p>
        </w:tc>
        <w:tc>
          <w:tcPr>
            <w:tcW w:w="620" w:type="dxa"/>
            <w:vAlign w:val="bottom"/>
            <w:gridSpan w:val="2"/>
            <w:shd w:val="clear" w:color="auto" w:fill="CCEEFF"/>
          </w:tcPr>
          <w:p>
            <w:pPr>
              <w:jc w:val="center"/>
              <w:ind w:right="12"/>
              <w:spacing w:after="0" w:line="159" w:lineRule="exact"/>
              <w:rPr>
                <w:sz w:val="20"/>
                <w:szCs w:val="20"/>
                <w:color w:val="auto"/>
              </w:rPr>
            </w:pPr>
            <w:r>
              <w:rPr>
                <w:rFonts w:ascii="Arial" w:cs="Arial" w:eastAsia="Arial" w:hAnsi="Arial"/>
                <w:sz w:val="14"/>
                <w:szCs w:val="14"/>
                <w:color w:val="auto"/>
                <w:w w:val="91"/>
              </w:rPr>
              <w:t>(14a)</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5,700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967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224</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ind w:left="800"/>
              <w:spacing w:after="0" w:line="159" w:lineRule="exact"/>
              <w:rPr>
                <w:sz w:val="20"/>
                <w:szCs w:val="20"/>
                <w:color w:val="auto"/>
              </w:rPr>
            </w:pPr>
            <w:r>
              <w:rPr>
                <w:rFonts w:ascii="Arial" w:cs="Arial" w:eastAsia="Arial" w:hAnsi="Arial"/>
                <w:sz w:val="14"/>
                <w:szCs w:val="14"/>
                <w:color w:val="auto"/>
                <w:w w:val="76"/>
              </w:rPr>
              <w:t>369</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(14b)</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1,560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14,029</w:t>
            </w:r>
          </w:p>
        </w:tc>
        <w:tc>
          <w:tcPr>
            <w:tcW w:w="600" w:type="dxa"/>
            <w:vAlign w:val="bottom"/>
            <w:gridSpan w:val="2"/>
            <w:shd w:val="clear" w:color="auto" w:fill="CCEEFF"/>
          </w:tcPr>
          <w:p>
            <w:pPr>
              <w:jc w:val="center"/>
              <w:ind w:right="120"/>
              <w:spacing w:after="0" w:line="159" w:lineRule="exact"/>
              <w:rPr>
                <w:sz w:val="20"/>
                <w:szCs w:val="20"/>
                <w:color w:val="auto"/>
              </w:rPr>
            </w:pPr>
            <w:r>
              <w:rPr>
                <w:rFonts w:ascii="Arial" w:cs="Arial" w:eastAsia="Arial" w:hAnsi="Arial"/>
                <w:sz w:val="14"/>
                <w:szCs w:val="14"/>
                <w:color w:val="auto"/>
                <w:w w:val="87"/>
              </w:rPr>
              <w:t>(14c)</w:t>
            </w: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21,289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tcPr>
          <w:p>
            <w:pPr>
              <w:spacing w:after="0" w:line="138" w:lineRule="exact"/>
              <w:rPr>
                <w:sz w:val="20"/>
                <w:szCs w:val="20"/>
                <w:color w:val="auto"/>
              </w:rPr>
            </w:pPr>
            <w:r>
              <w:rPr>
                <w:rFonts w:ascii="Arial" w:cs="Arial" w:eastAsia="Arial" w:hAnsi="Arial"/>
                <w:sz w:val="14"/>
                <w:szCs w:val="14"/>
                <w:color w:val="auto"/>
              </w:rPr>
              <w:t>Sponsor</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200"/>
              <w:spacing w:after="0" w:line="149" w:lineRule="exact"/>
              <w:rPr>
                <w:sz w:val="20"/>
                <w:szCs w:val="20"/>
                <w:color w:val="auto"/>
              </w:rPr>
            </w:pPr>
            <w:r>
              <w:rPr>
                <w:rFonts w:ascii="Arial" w:cs="Arial" w:eastAsia="Arial" w:hAnsi="Arial"/>
                <w:sz w:val="14"/>
                <w:szCs w:val="14"/>
                <w:color w:val="auto"/>
                <w:w w:val="88"/>
              </w:rPr>
              <w:t>management</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tcPr>
          <w:p>
            <w:pPr>
              <w:ind w:left="200"/>
              <w:spacing w:after="0" w:line="159" w:lineRule="exact"/>
              <w:rPr>
                <w:sz w:val="20"/>
                <w:szCs w:val="20"/>
                <w:color w:val="auto"/>
              </w:rPr>
            </w:pPr>
            <w:r>
              <w:rPr>
                <w:rFonts w:ascii="Arial" w:cs="Arial" w:eastAsia="Arial" w:hAnsi="Arial"/>
                <w:sz w:val="14"/>
                <w:szCs w:val="14"/>
                <w:color w:val="auto"/>
              </w:rPr>
              <w:t>fees</w:t>
            </w:r>
          </w:p>
        </w:tc>
        <w:tc>
          <w:tcPr>
            <w:tcW w:w="18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1,135</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1,135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gridSpan w:val="2"/>
          </w:tcPr>
          <w:p>
            <w:pPr>
              <w:ind w:left="5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ind w:left="80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(1,000)</w:t>
            </w:r>
          </w:p>
        </w:tc>
        <w:tc>
          <w:tcPr>
            <w:tcW w:w="520" w:type="dxa"/>
            <w:vAlign w:val="bottom"/>
          </w:tcPr>
          <w:p>
            <w:pPr>
              <w:jc w:val="center"/>
              <w:spacing w:after="0" w:line="159" w:lineRule="exact"/>
              <w:rPr>
                <w:sz w:val="20"/>
                <w:szCs w:val="20"/>
                <w:color w:val="auto"/>
              </w:rPr>
            </w:pPr>
            <w:r>
              <w:rPr>
                <w:rFonts w:ascii="Arial" w:cs="Arial" w:eastAsia="Arial" w:hAnsi="Arial"/>
                <w:sz w:val="14"/>
                <w:szCs w:val="14"/>
                <w:color w:val="auto"/>
                <w:w w:val="88"/>
              </w:rPr>
              <w:t>(17)</w:t>
            </w:r>
          </w:p>
        </w:tc>
        <w:tc>
          <w:tcPr>
            <w:tcW w:w="8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Transaction-</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related</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expenses</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10,594</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(10,594)</w:t>
            </w:r>
          </w:p>
        </w:tc>
        <w:tc>
          <w:tcPr>
            <w:tcW w:w="5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(11)</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2,896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(2,896)</w:t>
            </w:r>
          </w:p>
        </w:tc>
        <w:tc>
          <w:tcPr>
            <w:tcW w:w="5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(11)</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line="149" w:lineRule="exact"/>
              <w:rPr>
                <w:sz w:val="20"/>
                <w:szCs w:val="20"/>
                <w:color w:val="auto"/>
              </w:rPr>
            </w:pPr>
            <w:r>
              <w:rPr>
                <w:rFonts w:ascii="Arial" w:cs="Arial" w:eastAsia="Arial" w:hAnsi="Arial"/>
                <w:sz w:val="14"/>
                <w:szCs w:val="14"/>
                <w:color w:val="auto"/>
                <w:w w:val="89"/>
              </w:rPr>
              <w:t>Legal settlement</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446</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5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6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Total expenses</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160,855</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42,162</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(12,257)</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190,760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53,415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7,067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(2,496)</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57,986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13,179</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261,925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tcPr>
          <w:p>
            <w:pPr>
              <w:spacing w:after="0" w:line="138" w:lineRule="exact"/>
              <w:rPr>
                <w:sz w:val="20"/>
                <w:szCs w:val="20"/>
                <w:color w:val="auto"/>
              </w:rPr>
            </w:pPr>
            <w:r>
              <w:rPr>
                <w:rFonts w:ascii="Arial" w:cs="Arial" w:eastAsia="Arial" w:hAnsi="Arial"/>
                <w:sz w:val="14"/>
                <w:szCs w:val="14"/>
                <w:color w:val="auto"/>
              </w:rPr>
              <w:t>Income (loss)</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200"/>
              <w:spacing w:after="0" w:line="149" w:lineRule="exact"/>
              <w:rPr>
                <w:sz w:val="20"/>
                <w:szCs w:val="20"/>
                <w:color w:val="auto"/>
              </w:rPr>
            </w:pPr>
            <w:r>
              <w:rPr>
                <w:rFonts w:ascii="Arial" w:cs="Arial" w:eastAsia="Arial" w:hAnsi="Arial"/>
                <w:sz w:val="14"/>
                <w:szCs w:val="14"/>
                <w:color w:val="auto"/>
              </w:rPr>
              <w:t>from</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200"/>
              <w:spacing w:after="0" w:line="149" w:lineRule="exact"/>
              <w:rPr>
                <w:sz w:val="20"/>
                <w:szCs w:val="20"/>
                <w:color w:val="auto"/>
              </w:rPr>
            </w:pPr>
            <w:r>
              <w:rPr>
                <w:rFonts w:ascii="Arial" w:cs="Arial" w:eastAsia="Arial" w:hAnsi="Arial"/>
                <w:sz w:val="14"/>
                <w:szCs w:val="14"/>
                <w:color w:val="auto"/>
              </w:rPr>
              <w:t>continuing</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200"/>
              <w:spacing w:after="0" w:line="149" w:lineRule="exact"/>
              <w:rPr>
                <w:sz w:val="20"/>
                <w:szCs w:val="20"/>
                <w:color w:val="auto"/>
              </w:rPr>
            </w:pPr>
            <w:r>
              <w:rPr>
                <w:rFonts w:ascii="Arial" w:cs="Arial" w:eastAsia="Arial" w:hAnsi="Arial"/>
                <w:sz w:val="14"/>
                <w:szCs w:val="14"/>
                <w:color w:val="auto"/>
              </w:rPr>
              <w:t>operations</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200"/>
              <w:spacing w:after="0" w:line="149" w:lineRule="exact"/>
              <w:rPr>
                <w:sz w:val="20"/>
                <w:szCs w:val="20"/>
                <w:color w:val="auto"/>
              </w:rPr>
            </w:pPr>
            <w:r>
              <w:rPr>
                <w:rFonts w:ascii="Arial" w:cs="Arial" w:eastAsia="Arial" w:hAnsi="Arial"/>
                <w:sz w:val="14"/>
                <w:szCs w:val="14"/>
                <w:color w:val="auto"/>
              </w:rPr>
              <w:t>before</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200"/>
              <w:spacing w:after="0" w:line="149" w:lineRule="exact"/>
              <w:rPr>
                <w:sz w:val="20"/>
                <w:szCs w:val="20"/>
                <w:color w:val="auto"/>
              </w:rPr>
            </w:pPr>
            <w:r>
              <w:rPr>
                <w:rFonts w:ascii="Arial" w:cs="Arial" w:eastAsia="Arial" w:hAnsi="Arial"/>
                <w:sz w:val="14"/>
                <w:szCs w:val="14"/>
                <w:color w:val="auto"/>
              </w:rPr>
              <w:t>income</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tcPr>
          <w:p>
            <w:pPr>
              <w:ind w:left="200"/>
              <w:spacing w:after="0" w:line="159" w:lineRule="exact"/>
              <w:rPr>
                <w:sz w:val="20"/>
                <w:szCs w:val="20"/>
                <w:color w:val="auto"/>
              </w:rPr>
            </w:pPr>
            <w:r>
              <w:rPr>
                <w:rFonts w:ascii="Arial" w:cs="Arial" w:eastAsia="Arial" w:hAnsi="Arial"/>
                <w:sz w:val="14"/>
                <w:szCs w:val="14"/>
                <w:color w:val="auto"/>
              </w:rPr>
              <w:t>taxes</w:t>
            </w:r>
          </w:p>
        </w:tc>
        <w:tc>
          <w:tcPr>
            <w:tcW w:w="180" w:type="dxa"/>
            <w:vAlign w:val="bottom"/>
          </w:tcPr>
          <w:p>
            <w:pPr>
              <w:spacing w:after="0"/>
              <w:rPr>
                <w:sz w:val="13"/>
                <w:szCs w:val="13"/>
                <w:color w:val="auto"/>
              </w:rPr>
            </w:pPr>
          </w:p>
        </w:tc>
        <w:tc>
          <w:tcPr>
            <w:tcW w:w="10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(14,836)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3,524</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12,257</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945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(426)</w:t>
            </w:r>
          </w:p>
        </w:tc>
        <w:tc>
          <w:tcPr>
            <w:tcW w:w="200" w:type="dxa"/>
            <w:vAlign w:val="bottom"/>
          </w:tcPr>
          <w:p>
            <w:pPr>
              <w:spacing w:after="0"/>
              <w:rPr>
                <w:sz w:val="13"/>
                <w:szCs w:val="13"/>
                <w:color w:val="auto"/>
              </w:rPr>
            </w:pPr>
          </w:p>
        </w:tc>
        <w:tc>
          <w:tcPr>
            <w:tcW w:w="8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474</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2,496</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2,544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(13,179)</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(9,690)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Provision</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(benefit) for</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taxes</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3,382</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1,404</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(133)</w:t>
            </w:r>
          </w:p>
        </w:tc>
        <w:tc>
          <w:tcPr>
            <w:tcW w:w="5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(15)</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9,556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193</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ind w:left="800"/>
              <w:spacing w:after="0" w:line="159" w:lineRule="exact"/>
              <w:rPr>
                <w:sz w:val="20"/>
                <w:szCs w:val="20"/>
                <w:color w:val="auto"/>
              </w:rPr>
            </w:pPr>
            <w:r>
              <w:rPr>
                <w:rFonts w:ascii="Arial" w:cs="Arial" w:eastAsia="Arial" w:hAnsi="Arial"/>
                <w:sz w:val="14"/>
                <w:szCs w:val="14"/>
                <w:color w:val="auto"/>
                <w:w w:val="76"/>
              </w:rPr>
              <w:t>998</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6"/>
              </w:rPr>
              <w:t>(16)</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1,650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(5,272)</w:t>
            </w:r>
          </w:p>
        </w:tc>
        <w:tc>
          <w:tcPr>
            <w:tcW w:w="5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(16)</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5,934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4,903</w:t>
            </w: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88"/>
              </w:rPr>
              <w:t>(16)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Income (loss)</w:t>
            </w:r>
          </w:p>
        </w:tc>
        <w:tc>
          <w:tcPr>
            <w:tcW w:w="1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from</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continuing</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operations</w:t>
            </w:r>
          </w:p>
        </w:tc>
        <w:tc>
          <w:tcPr>
            <w:tcW w:w="1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(18,218)</w:t>
            </w:r>
          </w:p>
        </w:tc>
        <w:tc>
          <w:tcPr>
            <w:tcW w:w="14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2,120</w:t>
            </w:r>
          </w:p>
        </w:tc>
        <w:tc>
          <w:tcPr>
            <w:tcW w:w="220" w:type="dxa"/>
            <w:vAlign w:val="bottom"/>
            <w:gridSpan w:val="2"/>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7,487</w:t>
            </w:r>
          </w:p>
        </w:tc>
        <w:tc>
          <w:tcPr>
            <w:tcW w:w="620" w:type="dxa"/>
            <w:vAlign w:val="bottom"/>
            <w:gridSpan w:val="2"/>
            <w:shd w:val="clear" w:color="auto" w:fill="CCEEFF"/>
          </w:tcPr>
          <w:p>
            <w:pPr>
              <w:ind w:left="540"/>
              <w:spacing w:after="0" w:line="159" w:lineRule="exact"/>
              <w:rPr>
                <w:sz w:val="20"/>
                <w:szCs w:val="20"/>
                <w:color w:val="auto"/>
              </w:rPr>
            </w:pPr>
            <w:r>
              <w:rPr>
                <w:rFonts w:ascii="Arial" w:cs="Arial" w:eastAsia="Arial" w:hAnsi="Arial"/>
                <w:sz w:val="14"/>
                <w:szCs w:val="14"/>
                <w:color w:val="auto"/>
                <w:w w:val="76"/>
              </w:rPr>
              <w:t>$</w:t>
            </w:r>
          </w:p>
        </w:tc>
        <w:tc>
          <w:tcPr>
            <w:tcW w:w="6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(8,611) $</w:t>
            </w:r>
          </w:p>
        </w:tc>
        <w:tc>
          <w:tcPr>
            <w:tcW w:w="680" w:type="dxa"/>
            <w:vAlign w:val="bottom"/>
            <w:gridSpan w:val="3"/>
            <w:shd w:val="clear" w:color="auto" w:fill="CCEEFF"/>
          </w:tcPr>
          <w:p>
            <w:pPr>
              <w:jc w:val="right"/>
              <w:ind w:right="55"/>
              <w:spacing w:after="0" w:line="159" w:lineRule="exact"/>
              <w:rPr>
                <w:sz w:val="20"/>
                <w:szCs w:val="20"/>
                <w:color w:val="auto"/>
              </w:rPr>
            </w:pPr>
            <w:r>
              <w:rPr>
                <w:rFonts w:ascii="Arial" w:cs="Arial" w:eastAsia="Arial" w:hAnsi="Arial"/>
                <w:sz w:val="14"/>
                <w:szCs w:val="14"/>
                <w:color w:val="auto"/>
              </w:rPr>
              <w:t>(885) $</w:t>
            </w:r>
          </w:p>
        </w:tc>
        <w:tc>
          <w:tcPr>
            <w:tcW w:w="8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281</w:t>
            </w:r>
          </w:p>
        </w:tc>
        <w:tc>
          <w:tcPr>
            <w:tcW w:w="1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1,498</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894</w:t>
            </w:r>
          </w:p>
        </w:tc>
        <w:tc>
          <w:tcPr>
            <w:tcW w:w="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(7,907)</w:t>
            </w:r>
          </w:p>
        </w:tc>
        <w:tc>
          <w:tcPr>
            <w:tcW w:w="6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(15,624)</w:t>
            </w:r>
          </w:p>
        </w:tc>
        <w:tc>
          <w:tcPr>
            <w:tcW w:w="0" w:type="dxa"/>
            <w:vAlign w:val="bottom"/>
          </w:tcPr>
          <w:p>
            <w:pPr>
              <w:spacing w:after="0"/>
              <w:rPr>
                <w:sz w:val="1"/>
                <w:szCs w:val="1"/>
                <w:color w:val="auto"/>
              </w:rPr>
            </w:pPr>
          </w:p>
        </w:tc>
      </w:tr>
      <w:tr>
        <w:trPr>
          <w:trHeight w:val="20"/>
        </w:trPr>
        <w:tc>
          <w:tcPr>
            <w:tcW w:w="960" w:type="dxa"/>
            <w:vAlign w:val="bottom"/>
            <w:gridSpan w:val="2"/>
            <w:vMerge w:val="restart"/>
          </w:tcPr>
          <w:p>
            <w:pPr>
              <w:spacing w:after="0"/>
              <w:rPr>
                <w:sz w:val="20"/>
                <w:szCs w:val="20"/>
                <w:color w:val="auto"/>
              </w:rPr>
            </w:pPr>
            <w:r>
              <w:rPr>
                <w:rFonts w:ascii="Arial" w:cs="Arial" w:eastAsia="Arial" w:hAnsi="Arial"/>
                <w:sz w:val="14"/>
                <w:szCs w:val="14"/>
                <w:color w:val="auto"/>
              </w:rPr>
              <w:t>Earnings per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9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200"/>
              <w:spacing w:after="0" w:line="149" w:lineRule="exact"/>
              <w:rPr>
                <w:sz w:val="20"/>
                <w:szCs w:val="20"/>
                <w:color w:val="auto"/>
              </w:rPr>
            </w:pPr>
            <w:r>
              <w:rPr>
                <w:rFonts w:ascii="Arial" w:cs="Arial" w:eastAsia="Arial" w:hAnsi="Arial"/>
                <w:sz w:val="14"/>
                <w:szCs w:val="14"/>
                <w:color w:val="auto"/>
                <w:w w:val="95"/>
              </w:rPr>
              <w:t>unit/share—</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200"/>
              <w:spacing w:after="0" w:line="149" w:lineRule="exact"/>
              <w:rPr>
                <w:sz w:val="20"/>
                <w:szCs w:val="20"/>
                <w:color w:val="auto"/>
              </w:rPr>
            </w:pPr>
            <w:r>
              <w:rPr>
                <w:rFonts w:ascii="Arial" w:cs="Arial" w:eastAsia="Arial" w:hAnsi="Arial"/>
                <w:sz w:val="14"/>
                <w:szCs w:val="14"/>
                <w:color w:val="auto"/>
              </w:rPr>
              <w:t>income</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200"/>
              <w:spacing w:after="0" w:line="149" w:lineRule="exact"/>
              <w:rPr>
                <w:sz w:val="20"/>
                <w:szCs w:val="20"/>
                <w:color w:val="auto"/>
              </w:rPr>
            </w:pPr>
            <w:r>
              <w:rPr>
                <w:rFonts w:ascii="Arial" w:cs="Arial" w:eastAsia="Arial" w:hAnsi="Arial"/>
                <w:sz w:val="14"/>
                <w:szCs w:val="14"/>
                <w:color w:val="auto"/>
              </w:rPr>
              <w:t>(loss) from</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200"/>
              <w:spacing w:after="0" w:line="149" w:lineRule="exact"/>
              <w:rPr>
                <w:sz w:val="20"/>
                <w:szCs w:val="20"/>
                <w:color w:val="auto"/>
              </w:rPr>
            </w:pPr>
            <w:r>
              <w:rPr>
                <w:rFonts w:ascii="Arial" w:cs="Arial" w:eastAsia="Arial" w:hAnsi="Arial"/>
                <w:sz w:val="14"/>
                <w:szCs w:val="14"/>
                <w:color w:val="auto"/>
              </w:rPr>
              <w:t>continuing</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tcPr>
          <w:p>
            <w:pPr>
              <w:ind w:left="200"/>
              <w:spacing w:after="0" w:line="159" w:lineRule="exact"/>
              <w:rPr>
                <w:sz w:val="20"/>
                <w:szCs w:val="20"/>
                <w:color w:val="auto"/>
              </w:rPr>
            </w:pPr>
            <w:r>
              <w:rPr>
                <w:rFonts w:ascii="Arial" w:cs="Arial" w:eastAsia="Arial" w:hAnsi="Arial"/>
                <w:sz w:val="14"/>
                <w:szCs w:val="14"/>
                <w:color w:val="auto"/>
              </w:rPr>
              <w:t>operations:</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(0.69)</w:t>
            </w:r>
          </w:p>
        </w:tc>
        <w:tc>
          <w:tcPr>
            <w:tcW w:w="0" w:type="dxa"/>
            <w:vAlign w:val="bottom"/>
          </w:tcPr>
          <w:p>
            <w:pPr>
              <w:spacing w:after="0"/>
              <w:rPr>
                <w:sz w:val="1"/>
                <w:szCs w:val="1"/>
                <w:color w:val="auto"/>
              </w:rPr>
            </w:pPr>
          </w:p>
        </w:tc>
      </w:tr>
      <w:tr>
        <w:trPr>
          <w:trHeight w:val="20"/>
        </w:trPr>
        <w:tc>
          <w:tcPr>
            <w:tcW w:w="960" w:type="dxa"/>
            <w:vAlign w:val="bottom"/>
            <w:gridSpan w:val="2"/>
            <w:vMerge w:val="restart"/>
          </w:tcPr>
          <w:p>
            <w:pPr>
              <w:spacing w:after="0"/>
              <w:rPr>
                <w:sz w:val="20"/>
                <w:szCs w:val="20"/>
                <w:color w:val="auto"/>
              </w:rPr>
            </w:pPr>
            <w:r>
              <w:rPr>
                <w:rFonts w:ascii="Arial" w:cs="Arial" w:eastAsia="Arial" w:hAnsi="Arial"/>
                <w:sz w:val="14"/>
                <w:szCs w:val="14"/>
                <w:color w:val="auto"/>
              </w:rPr>
              <w:t>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60" w:type="dxa"/>
            <w:vAlign w:val="bottom"/>
            <w:gridSpan w:val="2"/>
            <w:vMerge w:val="continue"/>
          </w:tcPr>
          <w:p>
            <w:pPr>
              <w:spacing w:after="0"/>
              <w:rPr>
                <w:sz w:val="12"/>
                <w:szCs w:val="12"/>
                <w:color w:val="auto"/>
              </w:rPr>
            </w:pPr>
          </w:p>
        </w:tc>
        <w:tc>
          <w:tcPr>
            <w:tcW w:w="18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(1.03)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Weighted</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average</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shares:</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line="149" w:lineRule="exact"/>
              <w:rPr>
                <w:sz w:val="20"/>
                <w:szCs w:val="20"/>
                <w:color w:val="auto"/>
              </w:rPr>
            </w:pPr>
            <w:r>
              <w:rPr>
                <w:rFonts w:ascii="Arial" w:cs="Arial" w:eastAsia="Arial" w:hAnsi="Arial"/>
                <w:sz w:val="14"/>
                <w:szCs w:val="14"/>
                <w:color w:val="auto"/>
              </w:rPr>
              <w:t>Basic</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17,633,116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4,891,667</w:t>
            </w: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8"/>
              </w:rPr>
              <w:t>(18)</w:t>
            </w: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4"/>
              </w:rPr>
              <w:t>22,524,783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Diluted</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17,633,116</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4,891,667</w:t>
            </w:r>
          </w:p>
        </w:tc>
        <w:tc>
          <w:tcPr>
            <w:tcW w:w="52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8"/>
              </w:rPr>
              <w:t>(18)</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w w:val="94"/>
              </w:rPr>
              <w:t>22,524,783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1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80"/>
          </w:cols>
          <w:pgMar w:left="240" w:top="274" w:right="17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PRO FORMA CONDENSED COMBINED STATEMENT OF OPERATIONS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Twelve Months Ended December 31,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rPr>
              <w:t>ACADIA</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PHC</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PRO</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2"/>
              </w:rPr>
              <w:t>PRO</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2"/>
              </w:rPr>
              <w:t>PRO</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FORMA</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PRO</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FORMA</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8"/>
              </w:rPr>
              <w:t>PRO</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FORMA</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212"/>
              <w:spacing w:after="0" w:line="135" w:lineRule="exact"/>
              <w:rPr>
                <w:sz w:val="20"/>
                <w:szCs w:val="20"/>
                <w:color w:val="auto"/>
              </w:rPr>
            </w:pPr>
            <w:r>
              <w:rPr>
                <w:rFonts w:ascii="Arial" w:cs="Arial" w:eastAsia="Arial" w:hAnsi="Arial"/>
                <w:sz w:val="14"/>
                <w:szCs w:val="14"/>
                <w:b w:val="1"/>
                <w:bCs w:val="1"/>
                <w:color w:val="auto"/>
              </w:rPr>
              <w:t>ACADIA</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YFCS</w:t>
            </w:r>
          </w:p>
        </w:tc>
        <w:tc>
          <w:tcPr>
            <w:tcW w:w="52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FORMA</w:t>
            </w:r>
          </w:p>
        </w:tc>
        <w:tc>
          <w:tcPr>
            <w:tcW w:w="40" w:type="dxa"/>
            <w:vAlign w:val="bottom"/>
          </w:tcPr>
          <w:p>
            <w:pPr>
              <w:spacing w:after="0"/>
              <w:rPr>
                <w:sz w:val="11"/>
                <w:szCs w:val="11"/>
                <w:color w:val="auto"/>
              </w:rPr>
            </w:pPr>
          </w:p>
        </w:tc>
        <w:tc>
          <w:tcPr>
            <w:tcW w:w="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3"/>
              </w:rPr>
              <w:t xml:space="preserve">PHC </w:t>
            </w:r>
            <w:r>
              <w:rPr>
                <w:rFonts w:ascii="Arial" w:cs="Arial" w:eastAsia="Arial" w:hAnsi="Arial"/>
                <w:sz w:val="22"/>
                <w:szCs w:val="22"/>
                <w:b w:val="1"/>
                <w:bCs w:val="1"/>
                <w:color w:val="auto"/>
                <w:w w:val="93"/>
                <w:vertAlign w:val="superscript"/>
              </w:rPr>
              <w:t>(3)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420"/>
              <w:spacing w:after="0" w:line="135" w:lineRule="exact"/>
              <w:rPr>
                <w:sz w:val="20"/>
                <w:szCs w:val="20"/>
                <w:color w:val="auto"/>
              </w:rPr>
            </w:pPr>
            <w:r>
              <w:rPr>
                <w:rFonts w:ascii="Arial" w:cs="Arial" w:eastAsia="Arial" w:hAnsi="Arial"/>
                <w:sz w:val="14"/>
                <w:szCs w:val="14"/>
                <w:b w:val="1"/>
                <w:bCs w:val="1"/>
                <w:color w:val="auto"/>
              </w:rPr>
              <w:t>HHC</w:t>
            </w:r>
          </w:p>
        </w:tc>
        <w:tc>
          <w:tcPr>
            <w:tcW w:w="120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9"/>
              </w:rPr>
              <w:t>MEADOWWOOD</w:t>
            </w:r>
          </w:p>
        </w:tc>
        <w:tc>
          <w:tcPr>
            <w:tcW w:w="500" w:type="dxa"/>
            <w:vAlign w:val="bottom"/>
          </w:tcPr>
          <w:p>
            <w:pPr>
              <w:spacing w:after="0"/>
              <w:rPr>
                <w:sz w:val="11"/>
                <w:szCs w:val="11"/>
                <w:color w:val="auto"/>
              </w:rPr>
            </w:pPr>
          </w:p>
        </w:tc>
        <w:tc>
          <w:tcPr>
            <w:tcW w:w="5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FORMA</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7"/>
              </w:rPr>
              <w:t>MERGER</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4"/>
                <w:szCs w:val="14"/>
                <w:b w:val="1"/>
                <w:bCs w:val="1"/>
                <w:color w:val="auto"/>
              </w:rPr>
              <w:t>FORMA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gridSpan w:val="2"/>
          </w:tcPr>
          <w:p>
            <w:pPr>
              <w:ind w:left="20"/>
              <w:spacing w:after="0" w:line="176" w:lineRule="exact"/>
              <w:rPr>
                <w:sz w:val="20"/>
                <w:szCs w:val="20"/>
                <w:color w:val="auto"/>
              </w:rPr>
            </w:pPr>
            <w:r>
              <w:rPr>
                <w:rFonts w:ascii="Arial" w:cs="Arial" w:eastAsia="Arial" w:hAnsi="Arial"/>
                <w:sz w:val="13"/>
                <w:szCs w:val="13"/>
                <w:b w:val="1"/>
                <w:bCs w:val="1"/>
                <w:color w:val="auto"/>
                <w:w w:val="98"/>
              </w:rPr>
              <w:t xml:space="preserve">HEALTHCARE </w:t>
            </w:r>
            <w:r>
              <w:rPr>
                <w:rFonts w:ascii="Arial" w:cs="Arial" w:eastAsia="Arial" w:hAnsi="Arial"/>
                <w:sz w:val="20"/>
                <w:szCs w:val="20"/>
                <w:b w:val="1"/>
                <w:bCs w:val="1"/>
                <w:color w:val="auto"/>
                <w:w w:val="98"/>
                <w:vertAlign w:val="superscript"/>
              </w:rPr>
              <w:t>(1)</w:t>
            </w:r>
          </w:p>
        </w:tc>
        <w:tc>
          <w:tcPr>
            <w:tcW w:w="120" w:type="dxa"/>
            <w:vAlign w:val="bottom"/>
          </w:tcPr>
          <w:p>
            <w:pPr>
              <w:spacing w:after="0"/>
              <w:rPr>
                <w:sz w:val="15"/>
                <w:szCs w:val="15"/>
                <w:color w:val="auto"/>
              </w:rPr>
            </w:pPr>
          </w:p>
        </w:tc>
        <w:tc>
          <w:tcPr>
            <w:tcW w:w="1720" w:type="dxa"/>
            <w:vAlign w:val="bottom"/>
            <w:gridSpan w:val="6"/>
          </w:tcPr>
          <w:p>
            <w:pPr>
              <w:spacing w:after="0" w:line="176" w:lineRule="exact"/>
              <w:rPr>
                <w:sz w:val="20"/>
                <w:szCs w:val="20"/>
                <w:color w:val="auto"/>
              </w:rPr>
            </w:pPr>
            <w:r>
              <w:rPr>
                <w:rFonts w:ascii="Arial" w:cs="Arial" w:eastAsia="Arial" w:hAnsi="Arial"/>
                <w:sz w:val="13"/>
                <w:szCs w:val="13"/>
                <w:b w:val="1"/>
                <w:bCs w:val="1"/>
                <w:color w:val="auto"/>
              </w:rPr>
              <w:t xml:space="preserve">YFCS </w:t>
            </w:r>
            <w:r>
              <w:rPr>
                <w:rFonts w:ascii="Arial" w:cs="Arial" w:eastAsia="Arial" w:hAnsi="Arial"/>
                <w:sz w:val="20"/>
                <w:szCs w:val="20"/>
                <w:b w:val="1"/>
                <w:bCs w:val="1"/>
                <w:color w:val="auto"/>
                <w:vertAlign w:val="superscript"/>
              </w:rPr>
              <w:t>(2)</w:t>
            </w:r>
            <w:r>
              <w:rPr>
                <w:rFonts w:ascii="Arial" w:cs="Arial" w:eastAsia="Arial" w:hAnsi="Arial"/>
                <w:sz w:val="13"/>
                <w:szCs w:val="13"/>
                <w:b w:val="1"/>
                <w:bCs w:val="1"/>
                <w:color w:val="auto"/>
              </w:rPr>
              <w:t xml:space="preserve">  ADJUSTMENTS</w:t>
            </w:r>
          </w:p>
        </w:tc>
        <w:tc>
          <w:tcPr>
            <w:tcW w:w="1120" w:type="dxa"/>
            <w:vAlign w:val="bottom"/>
            <w:gridSpan w:val="4"/>
          </w:tcPr>
          <w:p>
            <w:pPr>
              <w:ind w:left="40"/>
              <w:spacing w:after="0"/>
              <w:rPr>
                <w:sz w:val="20"/>
                <w:szCs w:val="20"/>
                <w:color w:val="auto"/>
              </w:rPr>
            </w:pPr>
            <w:r>
              <w:rPr>
                <w:rFonts w:ascii="Arial" w:cs="Arial" w:eastAsia="Arial" w:hAnsi="Arial"/>
                <w:sz w:val="14"/>
                <w:szCs w:val="14"/>
                <w:b w:val="1"/>
                <w:bCs w:val="1"/>
                <w:i w:val="1"/>
                <w:iCs w:val="1"/>
                <w:color w:val="auto"/>
                <w:w w:val="99"/>
              </w:rPr>
              <w:t xml:space="preserve">NOTES </w:t>
            </w:r>
            <w:r>
              <w:rPr>
                <w:rFonts w:ascii="Arial" w:cs="Arial" w:eastAsia="Arial" w:hAnsi="Arial"/>
                <w:sz w:val="14"/>
                <w:szCs w:val="14"/>
                <w:b w:val="1"/>
                <w:bCs w:val="1"/>
                <w:color w:val="auto"/>
                <w:w w:val="99"/>
              </w:rPr>
              <w:t>ACADIA</w:t>
            </w:r>
          </w:p>
        </w:tc>
        <w:tc>
          <w:tcPr>
            <w:tcW w:w="40" w:type="dxa"/>
            <w:vAlign w:val="bottom"/>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DELAWARE </w:t>
            </w:r>
            <w:r>
              <w:rPr>
                <w:rFonts w:ascii="Arial" w:cs="Arial" w:eastAsia="Arial" w:hAnsi="Arial"/>
                <w:sz w:val="20"/>
                <w:szCs w:val="20"/>
                <w:b w:val="1"/>
                <w:bCs w:val="1"/>
                <w:color w:val="auto"/>
                <w:vertAlign w:val="superscript"/>
              </w:rPr>
              <w:t>(4)</w:t>
            </w: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ADJUSTMENTS</w:t>
            </w:r>
          </w:p>
        </w:tc>
        <w:tc>
          <w:tcPr>
            <w:tcW w:w="500" w:type="dxa"/>
            <w:vAlign w:val="bottom"/>
          </w:tcPr>
          <w:p>
            <w:pPr>
              <w:ind w:left="20"/>
              <w:spacing w:after="0"/>
              <w:rPr>
                <w:sz w:val="20"/>
                <w:szCs w:val="20"/>
                <w:color w:val="auto"/>
              </w:rPr>
            </w:pPr>
            <w:r>
              <w:rPr>
                <w:rFonts w:ascii="Arial" w:cs="Arial" w:eastAsia="Arial" w:hAnsi="Arial"/>
                <w:sz w:val="14"/>
                <w:szCs w:val="14"/>
                <w:b w:val="1"/>
                <w:bCs w:val="1"/>
                <w:i w:val="1"/>
                <w:iCs w:val="1"/>
                <w:color w:val="auto"/>
                <w:w w:val="95"/>
              </w:rPr>
              <w:t>NOTES</w:t>
            </w:r>
          </w:p>
        </w:tc>
        <w:tc>
          <w:tcPr>
            <w:tcW w:w="8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PHC</w:t>
            </w:r>
          </w:p>
        </w:tc>
        <w:tc>
          <w:tcPr>
            <w:tcW w:w="60" w:type="dxa"/>
            <w:vAlign w:val="bottom"/>
          </w:tcPr>
          <w:p>
            <w:pPr>
              <w:spacing w:after="0"/>
              <w:rPr>
                <w:sz w:val="15"/>
                <w:szCs w:val="15"/>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ADJUSTMENTS</w:t>
            </w:r>
          </w:p>
        </w:tc>
        <w:tc>
          <w:tcPr>
            <w:tcW w:w="1360" w:type="dxa"/>
            <w:vAlign w:val="bottom"/>
            <w:gridSpan w:val="4"/>
          </w:tcPr>
          <w:p>
            <w:pPr>
              <w:ind w:left="40"/>
              <w:spacing w:after="0"/>
              <w:rPr>
                <w:sz w:val="20"/>
                <w:szCs w:val="20"/>
                <w:color w:val="auto"/>
              </w:rPr>
            </w:pPr>
            <w:r>
              <w:rPr>
                <w:rFonts w:ascii="Arial" w:cs="Arial" w:eastAsia="Arial" w:hAnsi="Arial"/>
                <w:sz w:val="14"/>
                <w:szCs w:val="14"/>
                <w:b w:val="1"/>
                <w:bCs w:val="1"/>
                <w:i w:val="1"/>
                <w:iCs w:val="1"/>
                <w:color w:val="auto"/>
              </w:rPr>
              <w:t xml:space="preserve">NOTES </w:t>
            </w: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460" w:type="dxa"/>
            <w:vAlign w:val="bottom"/>
            <w:tcBorders>
              <w:top w:val="single" w:sz="8" w:color="auto"/>
            </w:tcBorders>
            <w:gridSpan w:val="14"/>
          </w:tcPr>
          <w:p>
            <w:pPr>
              <w:ind w:left="40"/>
              <w:spacing w:after="0" w:line="142" w:lineRule="exact"/>
              <w:rPr>
                <w:sz w:val="20"/>
                <w:szCs w:val="20"/>
                <w:color w:val="auto"/>
              </w:rPr>
            </w:pPr>
            <w:r>
              <w:rPr>
                <w:rFonts w:ascii="Arial" w:cs="Arial" w:eastAsia="Arial" w:hAnsi="Arial"/>
                <w:sz w:val="14"/>
                <w:szCs w:val="14"/>
                <w:b w:val="1"/>
                <w:bCs w:val="1"/>
                <w:color w:val="auto"/>
                <w:w w:val="85"/>
              </w:rPr>
              <w:t>(Dollars in thousands, except share and per share amounts)</w:t>
            </w: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64,342</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2"/>
              </w:rPr>
              <w:t>184,386</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6"/>
              </w:rPr>
              <w:t>248,728</w:t>
            </w:r>
          </w:p>
        </w:tc>
        <w:tc>
          <w:tcPr>
            <w:tcW w:w="1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3"/>
              </w:rPr>
              <w:t>57,269</w:t>
            </w:r>
          </w:p>
        </w:tc>
        <w:tc>
          <w:tcPr>
            <w:tcW w:w="2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14,301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71,570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320,298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tcPr>
          <w:p>
            <w:pPr>
              <w:spacing w:after="0" w:line="138" w:lineRule="exact"/>
              <w:rPr>
                <w:sz w:val="20"/>
                <w:szCs w:val="20"/>
                <w:color w:val="auto"/>
              </w:rPr>
            </w:pPr>
            <w:r>
              <w:rPr>
                <w:rFonts w:ascii="Arial" w:cs="Arial" w:eastAsia="Arial" w:hAnsi="Arial"/>
                <w:sz w:val="14"/>
                <w:szCs w:val="14"/>
                <w:color w:val="auto"/>
                <w:w w:val="93"/>
              </w:rPr>
              <w:t>Salaries, wages</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tcPr>
          <w:p>
            <w:pPr>
              <w:ind w:left="200"/>
              <w:spacing w:after="0" w:line="159" w:lineRule="exact"/>
              <w:rPr>
                <w:sz w:val="20"/>
                <w:szCs w:val="20"/>
                <w:color w:val="auto"/>
              </w:rPr>
            </w:pPr>
            <w:r>
              <w:rPr>
                <w:rFonts w:ascii="Arial" w:cs="Arial" w:eastAsia="Arial" w:hAnsi="Arial"/>
                <w:sz w:val="14"/>
                <w:szCs w:val="14"/>
                <w:color w:val="auto"/>
                <w:w w:val="94"/>
              </w:rPr>
              <w:t>and benefits</w:t>
            </w:r>
          </w:p>
        </w:tc>
        <w:tc>
          <w:tcPr>
            <w:tcW w:w="18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36,333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82"/>
              </w:rPr>
              <w:t>113,931</w:t>
            </w:r>
          </w:p>
        </w:tc>
        <w:tc>
          <w:tcPr>
            <w:tcW w:w="160" w:type="dxa"/>
            <w:vAlign w:val="bottom"/>
          </w:tcPr>
          <w:p>
            <w:pPr>
              <w:spacing w:after="0"/>
              <w:rPr>
                <w:sz w:val="13"/>
                <w:szCs w:val="13"/>
                <w:color w:val="auto"/>
              </w:rPr>
            </w:pPr>
          </w:p>
        </w:tc>
        <w:tc>
          <w:tcPr>
            <w:tcW w:w="9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1,239</w:t>
            </w:r>
          </w:p>
        </w:tc>
        <w:tc>
          <w:tcPr>
            <w:tcW w:w="520" w:type="dxa"/>
            <w:vAlign w:val="bottom"/>
          </w:tcPr>
          <w:p>
            <w:pPr>
              <w:jc w:val="center"/>
              <w:spacing w:after="0" w:line="159" w:lineRule="exact"/>
              <w:rPr>
                <w:sz w:val="20"/>
                <w:szCs w:val="20"/>
                <w:color w:val="auto"/>
              </w:rPr>
            </w:pPr>
            <w:r>
              <w:rPr>
                <w:rFonts w:ascii="Arial" w:cs="Arial" w:eastAsia="Arial" w:hAnsi="Arial"/>
                <w:sz w:val="14"/>
                <w:szCs w:val="14"/>
                <w:i w:val="1"/>
                <w:iCs w:val="1"/>
                <w:color w:val="auto"/>
                <w:w w:val="93"/>
              </w:rPr>
              <w:t>(7)</w:t>
            </w:r>
          </w:p>
        </w:tc>
        <w:tc>
          <w:tcPr>
            <w:tcW w:w="80" w:type="dxa"/>
            <w:vAlign w:val="bottom"/>
          </w:tcPr>
          <w:p>
            <w:pPr>
              <w:spacing w:after="0"/>
              <w:rPr>
                <w:sz w:val="13"/>
                <w:szCs w:val="13"/>
                <w:color w:val="auto"/>
              </w:rPr>
            </w:pPr>
          </w:p>
        </w:tc>
        <w:tc>
          <w:tcPr>
            <w:tcW w:w="5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86"/>
              </w:rPr>
              <w:t>151,503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83"/>
              </w:rPr>
              <w:t>28,647</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8,850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80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3"/>
              </w:rPr>
              <w:t>37,497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189,000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Professional</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fees</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3,612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6,724</w:t>
            </w:r>
          </w:p>
        </w:tc>
        <w:tc>
          <w:tcPr>
            <w:tcW w:w="5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i w:val="1"/>
                <w:iCs w:val="1"/>
                <w:color w:val="auto"/>
                <w:w w:val="93"/>
              </w:rPr>
              <w:t>(5)</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8,953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8,401</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891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80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9,292</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18,245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(1,383)</w:t>
            </w:r>
          </w:p>
        </w:tc>
        <w:tc>
          <w:tcPr>
            <w:tcW w:w="52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3"/>
              </w:rPr>
              <w:t>(6)</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Supplies</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8,380</w:t>
            </w: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i w:val="1"/>
                <w:iCs w:val="1"/>
                <w:color w:val="auto"/>
                <w:w w:val="93"/>
              </w:rPr>
              <w:t>(5)</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12,089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2,319</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3,216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15,305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line="149" w:lineRule="exact"/>
              <w:rPr>
                <w:sz w:val="20"/>
                <w:szCs w:val="20"/>
                <w:color w:val="auto"/>
              </w:rPr>
            </w:pPr>
            <w:r>
              <w:rPr>
                <w:rFonts w:ascii="Arial" w:cs="Arial" w:eastAsia="Arial" w:hAnsi="Arial"/>
                <w:sz w:val="14"/>
                <w:szCs w:val="14"/>
                <w:color w:val="auto"/>
              </w:rPr>
              <w:t>Rent</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1,288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5,244</w:t>
            </w:r>
          </w:p>
        </w:tc>
        <w:tc>
          <w:tcPr>
            <w:tcW w:w="52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3"/>
              </w:rPr>
              <w:t>(5)</w:t>
            </w:r>
          </w:p>
        </w:tc>
        <w:tc>
          <w:tcPr>
            <w:tcW w:w="8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6,532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3,494</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3,514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10,046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Other operating</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expenses</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8,289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97"/>
              </w:rPr>
              <w:t>38,146</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(20,348)</w:t>
            </w:r>
          </w:p>
        </w:tc>
        <w:tc>
          <w:tcPr>
            <w:tcW w:w="5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i w:val="1"/>
                <w:iCs w:val="1"/>
                <w:color w:val="auto"/>
                <w:w w:val="93"/>
              </w:rPr>
              <w:t>(5)</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24,848</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6,644</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1,231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80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7,875</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32,723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(1,239)</w:t>
            </w:r>
          </w:p>
        </w:tc>
        <w:tc>
          <w:tcPr>
            <w:tcW w:w="52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3"/>
              </w:rPr>
              <w:t>(7)</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Provision for</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doubtful</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accounts</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2,239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525</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2,764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2,866</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511</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80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3,377</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6,141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tcPr>
          <w:p>
            <w:pPr>
              <w:spacing w:after="0" w:line="138" w:lineRule="exact"/>
              <w:rPr>
                <w:sz w:val="20"/>
                <w:szCs w:val="20"/>
                <w:color w:val="auto"/>
              </w:rPr>
            </w:pPr>
            <w:r>
              <w:rPr>
                <w:rFonts w:ascii="Arial" w:cs="Arial" w:eastAsia="Arial" w:hAnsi="Arial"/>
                <w:sz w:val="14"/>
                <w:szCs w:val="14"/>
                <w:color w:val="auto"/>
              </w:rPr>
              <w:t>Depreciation</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200"/>
              <w:spacing w:after="0" w:line="149" w:lineRule="exact"/>
              <w:rPr>
                <w:sz w:val="20"/>
                <w:szCs w:val="20"/>
                <w:color w:val="auto"/>
              </w:rPr>
            </w:pPr>
            <w:r>
              <w:rPr>
                <w:rFonts w:ascii="Arial" w:cs="Arial" w:eastAsia="Arial" w:hAnsi="Arial"/>
                <w:sz w:val="14"/>
                <w:szCs w:val="14"/>
                <w:color w:val="auto"/>
              </w:rPr>
              <w:t>and</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tcPr>
          <w:p>
            <w:pPr>
              <w:ind w:left="200"/>
              <w:spacing w:after="0" w:line="159" w:lineRule="exact"/>
              <w:rPr>
                <w:sz w:val="20"/>
                <w:szCs w:val="20"/>
                <w:color w:val="auto"/>
              </w:rPr>
            </w:pPr>
            <w:r>
              <w:rPr>
                <w:rFonts w:ascii="Arial" w:cs="Arial" w:eastAsia="Arial" w:hAnsi="Arial"/>
                <w:sz w:val="14"/>
                <w:szCs w:val="14"/>
                <w:color w:val="auto"/>
                <w:w w:val="94"/>
              </w:rPr>
              <w:t>amortization</w:t>
            </w:r>
          </w:p>
        </w:tc>
        <w:tc>
          <w:tcPr>
            <w:tcW w:w="18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976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3,456</w:t>
            </w:r>
          </w:p>
        </w:tc>
        <w:tc>
          <w:tcPr>
            <w:tcW w:w="160" w:type="dxa"/>
            <w:vAlign w:val="bottom"/>
          </w:tcPr>
          <w:p>
            <w:pPr>
              <w:spacing w:after="0"/>
              <w:rPr>
                <w:sz w:val="13"/>
                <w:szCs w:val="13"/>
                <w:color w:val="auto"/>
              </w:rPr>
            </w:pPr>
          </w:p>
        </w:tc>
        <w:tc>
          <w:tcPr>
            <w:tcW w:w="9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(159)</w:t>
            </w:r>
          </w:p>
        </w:tc>
        <w:tc>
          <w:tcPr>
            <w:tcW w:w="600" w:type="dxa"/>
            <w:vAlign w:val="bottom"/>
            <w:gridSpan w:val="2"/>
          </w:tcPr>
          <w:p>
            <w:pPr>
              <w:jc w:val="center"/>
              <w:ind w:right="32"/>
              <w:spacing w:after="0" w:line="159" w:lineRule="exact"/>
              <w:rPr>
                <w:sz w:val="20"/>
                <w:szCs w:val="20"/>
                <w:color w:val="auto"/>
              </w:rPr>
            </w:pPr>
            <w:r>
              <w:rPr>
                <w:rFonts w:ascii="Arial" w:cs="Arial" w:eastAsia="Arial" w:hAnsi="Arial"/>
                <w:sz w:val="14"/>
                <w:szCs w:val="14"/>
                <w:i w:val="1"/>
                <w:iCs w:val="1"/>
                <w:color w:val="auto"/>
                <w:w w:val="91"/>
              </w:rPr>
              <w:t>(13a)</w:t>
            </w:r>
          </w:p>
        </w:tc>
        <w:tc>
          <w:tcPr>
            <w:tcW w:w="5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4,273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1,129</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308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800"/>
              <w:spacing w:after="0" w:line="159" w:lineRule="exact"/>
              <w:rPr>
                <w:sz w:val="20"/>
                <w:szCs w:val="20"/>
                <w:color w:val="auto"/>
              </w:rPr>
            </w:pPr>
            <w:r>
              <w:rPr>
                <w:rFonts w:ascii="Arial" w:cs="Arial" w:eastAsia="Arial" w:hAnsi="Arial"/>
                <w:sz w:val="14"/>
                <w:szCs w:val="14"/>
                <w:color w:val="auto"/>
              </w:rPr>
              <w:t>112</w:t>
            </w:r>
          </w:p>
        </w:tc>
        <w:tc>
          <w:tcPr>
            <w:tcW w:w="500" w:type="dxa"/>
            <w:vAlign w:val="bottom"/>
          </w:tcPr>
          <w:p>
            <w:pPr>
              <w:jc w:val="center"/>
              <w:spacing w:after="0" w:line="159" w:lineRule="exact"/>
              <w:rPr>
                <w:sz w:val="20"/>
                <w:szCs w:val="20"/>
                <w:color w:val="auto"/>
              </w:rPr>
            </w:pPr>
            <w:r>
              <w:rPr>
                <w:rFonts w:ascii="Arial" w:cs="Arial" w:eastAsia="Arial" w:hAnsi="Arial"/>
                <w:sz w:val="14"/>
                <w:szCs w:val="14"/>
                <w:i w:val="1"/>
                <w:iCs w:val="1"/>
                <w:color w:val="auto"/>
                <w:w w:val="91"/>
              </w:rPr>
              <w:t>(13b)</w:t>
            </w:r>
          </w:p>
        </w:tc>
        <w:tc>
          <w:tcPr>
            <w:tcW w:w="80" w:type="dxa"/>
            <w:vAlign w:val="bottom"/>
          </w:tcPr>
          <w:p>
            <w:pPr>
              <w:spacing w:after="0"/>
              <w:rPr>
                <w:sz w:val="13"/>
                <w:szCs w:val="13"/>
                <w:color w:val="auto"/>
              </w:rPr>
            </w:pPr>
          </w:p>
        </w:tc>
        <w:tc>
          <w:tcPr>
            <w:tcW w:w="4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1,549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155</w:t>
            </w:r>
          </w:p>
        </w:tc>
        <w:tc>
          <w:tcPr>
            <w:tcW w:w="620" w:type="dxa"/>
            <w:vAlign w:val="bottom"/>
            <w:gridSpan w:val="2"/>
          </w:tcPr>
          <w:p>
            <w:pPr>
              <w:jc w:val="center"/>
              <w:ind w:right="32"/>
              <w:spacing w:after="0" w:line="159" w:lineRule="exact"/>
              <w:rPr>
                <w:sz w:val="20"/>
                <w:szCs w:val="20"/>
                <w:color w:val="auto"/>
              </w:rPr>
            </w:pPr>
            <w:r>
              <w:rPr>
                <w:rFonts w:ascii="Arial" w:cs="Arial" w:eastAsia="Arial" w:hAnsi="Arial"/>
                <w:sz w:val="14"/>
                <w:szCs w:val="14"/>
                <w:i w:val="1"/>
                <w:iCs w:val="1"/>
                <w:color w:val="auto"/>
                <w:w w:val="87"/>
              </w:rPr>
              <w:t>(13c)</w:t>
            </w: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5,977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5"/>
              </w:rPr>
              <w:t>Interest expense,</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net</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738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7,514</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(953)</w:t>
            </w:r>
          </w:p>
        </w:tc>
        <w:tc>
          <w:tcPr>
            <w:tcW w:w="600" w:type="dxa"/>
            <w:vAlign w:val="bottom"/>
            <w:gridSpan w:val="2"/>
            <w:shd w:val="clear" w:color="auto" w:fill="CCEEFF"/>
          </w:tcPr>
          <w:p>
            <w:pPr>
              <w:jc w:val="center"/>
              <w:ind w:right="32"/>
              <w:spacing w:after="0" w:line="159" w:lineRule="exact"/>
              <w:rPr>
                <w:sz w:val="20"/>
                <w:szCs w:val="20"/>
                <w:color w:val="auto"/>
              </w:rPr>
            </w:pPr>
            <w:r>
              <w:rPr>
                <w:rFonts w:ascii="Arial" w:cs="Arial" w:eastAsia="Arial" w:hAnsi="Arial"/>
                <w:sz w:val="14"/>
                <w:szCs w:val="14"/>
                <w:i w:val="1"/>
                <w:iCs w:val="1"/>
                <w:color w:val="auto"/>
                <w:w w:val="91"/>
              </w:rPr>
              <w:t>(14a)</w:t>
            </w:r>
          </w:p>
        </w:tc>
        <w:tc>
          <w:tcPr>
            <w:tcW w:w="5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7,299</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148</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1,576</w:t>
            </w:r>
          </w:p>
        </w:tc>
        <w:tc>
          <w:tcPr>
            <w:tcW w:w="5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i w:val="1"/>
                <w:iCs w:val="1"/>
                <w:color w:val="auto"/>
                <w:w w:val="91"/>
              </w:rPr>
              <w:t>(14b)</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2,248</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18,717</w:t>
            </w:r>
          </w:p>
        </w:tc>
        <w:tc>
          <w:tcPr>
            <w:tcW w:w="620" w:type="dxa"/>
            <w:vAlign w:val="bottom"/>
            <w:gridSpan w:val="2"/>
            <w:shd w:val="clear" w:color="auto" w:fill="CCEEFF"/>
          </w:tcPr>
          <w:p>
            <w:pPr>
              <w:jc w:val="center"/>
              <w:ind w:right="32"/>
              <w:spacing w:after="0" w:line="159" w:lineRule="exact"/>
              <w:rPr>
                <w:sz w:val="20"/>
                <w:szCs w:val="20"/>
                <w:color w:val="auto"/>
              </w:rPr>
            </w:pPr>
            <w:r>
              <w:rPr>
                <w:rFonts w:ascii="Arial" w:cs="Arial" w:eastAsia="Arial" w:hAnsi="Arial"/>
                <w:sz w:val="14"/>
                <w:szCs w:val="14"/>
                <w:i w:val="1"/>
                <w:iCs w:val="1"/>
                <w:color w:val="auto"/>
                <w:w w:val="87"/>
              </w:rPr>
              <w:t>(14c)</w:t>
            </w: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28,264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tcPr>
          <w:p>
            <w:pPr>
              <w:spacing w:after="0" w:line="138" w:lineRule="exact"/>
              <w:rPr>
                <w:sz w:val="20"/>
                <w:szCs w:val="20"/>
                <w:color w:val="auto"/>
              </w:rPr>
            </w:pPr>
            <w:r>
              <w:rPr>
                <w:rFonts w:ascii="Arial" w:cs="Arial" w:eastAsia="Arial" w:hAnsi="Arial"/>
                <w:sz w:val="14"/>
                <w:szCs w:val="14"/>
                <w:color w:val="auto"/>
              </w:rPr>
              <w:t>Impairment of</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tcPr>
          <w:p>
            <w:pPr>
              <w:ind w:left="200"/>
              <w:spacing w:after="0" w:line="159" w:lineRule="exact"/>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97"/>
              </w:rPr>
              <w:t>23,528</w:t>
            </w:r>
          </w:p>
        </w:tc>
        <w:tc>
          <w:tcPr>
            <w:tcW w:w="16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23,528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00" w:type="dxa"/>
            <w:vAlign w:val="bottom"/>
            <w:gridSpan w:val="2"/>
          </w:tcPr>
          <w:p>
            <w:pPr>
              <w:ind w:left="80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23,528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Total expenses</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57,184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2"/>
              </w:rPr>
              <w:t>187,100</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(2,495)</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6"/>
              </w:rPr>
              <w:t>241,789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3"/>
              </w:rPr>
              <w:t>53,648</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13,232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1,688</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68,568</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18,872</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329,229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tcPr>
          <w:p>
            <w:pPr>
              <w:spacing w:after="0" w:line="138" w:lineRule="exact"/>
              <w:rPr>
                <w:sz w:val="20"/>
                <w:szCs w:val="20"/>
                <w:color w:val="auto"/>
              </w:rPr>
            </w:pPr>
            <w:r>
              <w:rPr>
                <w:rFonts w:ascii="Arial" w:cs="Arial" w:eastAsia="Arial" w:hAnsi="Arial"/>
                <w:sz w:val="14"/>
                <w:szCs w:val="14"/>
                <w:color w:val="auto"/>
              </w:rPr>
              <w:t>Income (loss)</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200"/>
              <w:spacing w:after="0" w:line="149" w:lineRule="exact"/>
              <w:rPr>
                <w:sz w:val="20"/>
                <w:szCs w:val="20"/>
                <w:color w:val="auto"/>
              </w:rPr>
            </w:pPr>
            <w:r>
              <w:rPr>
                <w:rFonts w:ascii="Arial" w:cs="Arial" w:eastAsia="Arial" w:hAnsi="Arial"/>
                <w:sz w:val="14"/>
                <w:szCs w:val="14"/>
                <w:color w:val="auto"/>
              </w:rPr>
              <w:t>from</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200"/>
              <w:spacing w:after="0" w:line="149" w:lineRule="exact"/>
              <w:rPr>
                <w:sz w:val="20"/>
                <w:szCs w:val="20"/>
                <w:color w:val="auto"/>
              </w:rPr>
            </w:pPr>
            <w:r>
              <w:rPr>
                <w:rFonts w:ascii="Arial" w:cs="Arial" w:eastAsia="Arial" w:hAnsi="Arial"/>
                <w:sz w:val="14"/>
                <w:szCs w:val="14"/>
                <w:color w:val="auto"/>
              </w:rPr>
              <w:t>continuing</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200"/>
              <w:spacing w:after="0" w:line="149" w:lineRule="exact"/>
              <w:rPr>
                <w:sz w:val="20"/>
                <w:szCs w:val="20"/>
                <w:color w:val="auto"/>
              </w:rPr>
            </w:pPr>
            <w:r>
              <w:rPr>
                <w:rFonts w:ascii="Arial" w:cs="Arial" w:eastAsia="Arial" w:hAnsi="Arial"/>
                <w:sz w:val="14"/>
                <w:szCs w:val="14"/>
                <w:color w:val="auto"/>
              </w:rPr>
              <w:t>operations</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200"/>
              <w:spacing w:after="0" w:line="149" w:lineRule="exact"/>
              <w:rPr>
                <w:sz w:val="20"/>
                <w:szCs w:val="20"/>
                <w:color w:val="auto"/>
              </w:rPr>
            </w:pPr>
            <w:r>
              <w:rPr>
                <w:rFonts w:ascii="Arial" w:cs="Arial" w:eastAsia="Arial" w:hAnsi="Arial"/>
                <w:sz w:val="14"/>
                <w:szCs w:val="14"/>
                <w:color w:val="auto"/>
              </w:rPr>
              <w:t>before</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200"/>
              <w:spacing w:after="0" w:line="149" w:lineRule="exact"/>
              <w:rPr>
                <w:sz w:val="20"/>
                <w:szCs w:val="20"/>
                <w:color w:val="auto"/>
              </w:rPr>
            </w:pPr>
            <w:r>
              <w:rPr>
                <w:rFonts w:ascii="Arial" w:cs="Arial" w:eastAsia="Arial" w:hAnsi="Arial"/>
                <w:sz w:val="14"/>
                <w:szCs w:val="14"/>
                <w:color w:val="auto"/>
              </w:rPr>
              <w:t>income</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tcPr>
          <w:p>
            <w:pPr>
              <w:ind w:left="200"/>
              <w:spacing w:after="0" w:line="159" w:lineRule="exact"/>
              <w:rPr>
                <w:sz w:val="20"/>
                <w:szCs w:val="20"/>
                <w:color w:val="auto"/>
              </w:rPr>
            </w:pPr>
            <w:r>
              <w:rPr>
                <w:rFonts w:ascii="Arial" w:cs="Arial" w:eastAsia="Arial" w:hAnsi="Arial"/>
                <w:sz w:val="14"/>
                <w:szCs w:val="14"/>
                <w:color w:val="auto"/>
              </w:rPr>
              <w:t>taxes</w:t>
            </w:r>
          </w:p>
        </w:tc>
        <w:tc>
          <w:tcPr>
            <w:tcW w:w="18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7,158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(2,714)</w:t>
            </w:r>
          </w:p>
        </w:tc>
        <w:tc>
          <w:tcPr>
            <w:tcW w:w="160" w:type="dxa"/>
            <w:vAlign w:val="bottom"/>
          </w:tcPr>
          <w:p>
            <w:pPr>
              <w:spacing w:after="0"/>
              <w:rPr>
                <w:sz w:val="13"/>
                <w:szCs w:val="13"/>
                <w:color w:val="auto"/>
              </w:rPr>
            </w:pPr>
          </w:p>
        </w:tc>
        <w:tc>
          <w:tcPr>
            <w:tcW w:w="9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2,495</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6,939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3,621</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1,069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(1,688)</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3,002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(18,872)</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(8,931)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Provision</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(benefit) for</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taxes</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5,032</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2,448</w:t>
            </w:r>
          </w:p>
        </w:tc>
        <w:tc>
          <w:tcPr>
            <w:tcW w:w="5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i w:val="1"/>
                <w:iCs w:val="1"/>
                <w:color w:val="auto"/>
                <w:w w:val="88"/>
              </w:rPr>
              <w:t>(15)</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8,955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1,532</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(675)</w:t>
            </w:r>
          </w:p>
        </w:tc>
        <w:tc>
          <w:tcPr>
            <w:tcW w:w="5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i w:val="1"/>
                <w:iCs w:val="1"/>
                <w:color w:val="auto"/>
                <w:w w:val="88"/>
              </w:rPr>
              <w:t>(16)</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1,294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(7,549)</w:t>
            </w:r>
          </w:p>
        </w:tc>
        <w:tc>
          <w:tcPr>
            <w:tcW w:w="5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i w:val="1"/>
                <w:iCs w:val="1"/>
                <w:color w:val="auto"/>
                <w:w w:val="96"/>
              </w:rPr>
              <w:t>(16)</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2,700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998</w:t>
            </w:r>
          </w:p>
        </w:tc>
        <w:tc>
          <w:tcPr>
            <w:tcW w:w="52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8"/>
              </w:rPr>
              <w:t>(16)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Income (loss)</w:t>
            </w:r>
          </w:p>
        </w:tc>
        <w:tc>
          <w:tcPr>
            <w:tcW w:w="1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from</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continuing</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operations</w:t>
            </w:r>
          </w:p>
        </w:tc>
        <w:tc>
          <w:tcPr>
            <w:tcW w:w="1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6,681</w:t>
            </w:r>
          </w:p>
        </w:tc>
        <w:tc>
          <w:tcPr>
            <w:tcW w:w="20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(7,746) $</w:t>
            </w:r>
          </w:p>
        </w:tc>
        <w:tc>
          <w:tcPr>
            <w:tcW w:w="9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(951)</w:t>
            </w:r>
          </w:p>
        </w:tc>
        <w:tc>
          <w:tcPr>
            <w:tcW w:w="60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w w:val="76"/>
              </w:rPr>
              <w:t>$</w:t>
            </w:r>
          </w:p>
        </w:tc>
        <w:tc>
          <w:tcPr>
            <w:tcW w:w="6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(2,016) $</w:t>
            </w:r>
          </w:p>
        </w:tc>
        <w:tc>
          <w:tcPr>
            <w:tcW w:w="4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2,089</w:t>
            </w:r>
          </w:p>
        </w:tc>
        <w:tc>
          <w:tcPr>
            <w:tcW w:w="24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632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(1,013)</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1,708</w:t>
            </w:r>
          </w:p>
        </w:tc>
        <w:tc>
          <w:tcPr>
            <w:tcW w:w="2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(11,323)</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(11,631)</w:t>
            </w:r>
          </w:p>
        </w:tc>
        <w:tc>
          <w:tcPr>
            <w:tcW w:w="0" w:type="dxa"/>
            <w:vAlign w:val="bottom"/>
          </w:tcPr>
          <w:p>
            <w:pPr>
              <w:spacing w:after="0"/>
              <w:rPr>
                <w:sz w:val="1"/>
                <w:szCs w:val="1"/>
                <w:color w:val="auto"/>
              </w:rPr>
            </w:pPr>
          </w:p>
        </w:tc>
      </w:tr>
      <w:tr>
        <w:trPr>
          <w:trHeight w:val="20"/>
        </w:trPr>
        <w:tc>
          <w:tcPr>
            <w:tcW w:w="960" w:type="dxa"/>
            <w:vAlign w:val="bottom"/>
            <w:gridSpan w:val="2"/>
            <w:vMerge w:val="restart"/>
          </w:tcPr>
          <w:p>
            <w:pPr>
              <w:spacing w:after="0"/>
              <w:rPr>
                <w:sz w:val="20"/>
                <w:szCs w:val="20"/>
                <w:color w:val="auto"/>
              </w:rPr>
            </w:pPr>
            <w:r>
              <w:rPr>
                <w:rFonts w:ascii="Arial" w:cs="Arial" w:eastAsia="Arial" w:hAnsi="Arial"/>
                <w:sz w:val="14"/>
                <w:szCs w:val="14"/>
                <w:color w:val="auto"/>
              </w:rPr>
              <w:t>Earnings per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9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200"/>
              <w:spacing w:after="0" w:line="149" w:lineRule="exact"/>
              <w:rPr>
                <w:sz w:val="20"/>
                <w:szCs w:val="20"/>
                <w:color w:val="auto"/>
              </w:rPr>
            </w:pPr>
            <w:r>
              <w:rPr>
                <w:rFonts w:ascii="Arial" w:cs="Arial" w:eastAsia="Arial" w:hAnsi="Arial"/>
                <w:sz w:val="14"/>
                <w:szCs w:val="14"/>
                <w:color w:val="auto"/>
                <w:w w:val="95"/>
              </w:rPr>
              <w:t>unit/share—</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200"/>
              <w:spacing w:after="0" w:line="149" w:lineRule="exact"/>
              <w:rPr>
                <w:sz w:val="20"/>
                <w:szCs w:val="20"/>
                <w:color w:val="auto"/>
              </w:rPr>
            </w:pPr>
            <w:r>
              <w:rPr>
                <w:rFonts w:ascii="Arial" w:cs="Arial" w:eastAsia="Arial" w:hAnsi="Arial"/>
                <w:sz w:val="14"/>
                <w:szCs w:val="14"/>
                <w:color w:val="auto"/>
              </w:rPr>
              <w:t>income</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200"/>
              <w:spacing w:after="0" w:line="149" w:lineRule="exact"/>
              <w:rPr>
                <w:sz w:val="20"/>
                <w:szCs w:val="20"/>
                <w:color w:val="auto"/>
              </w:rPr>
            </w:pPr>
            <w:r>
              <w:rPr>
                <w:rFonts w:ascii="Arial" w:cs="Arial" w:eastAsia="Arial" w:hAnsi="Arial"/>
                <w:sz w:val="14"/>
                <w:szCs w:val="14"/>
                <w:color w:val="auto"/>
              </w:rPr>
              <w:t>(loss) from</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200"/>
              <w:spacing w:after="0" w:line="149" w:lineRule="exact"/>
              <w:rPr>
                <w:sz w:val="20"/>
                <w:szCs w:val="20"/>
                <w:color w:val="auto"/>
              </w:rPr>
            </w:pPr>
            <w:r>
              <w:rPr>
                <w:rFonts w:ascii="Arial" w:cs="Arial" w:eastAsia="Arial" w:hAnsi="Arial"/>
                <w:sz w:val="14"/>
                <w:szCs w:val="14"/>
                <w:color w:val="auto"/>
              </w:rPr>
              <w:t>continuing</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tcPr>
          <w:p>
            <w:pPr>
              <w:ind w:left="200"/>
              <w:spacing w:after="0" w:line="159" w:lineRule="exact"/>
              <w:rPr>
                <w:sz w:val="20"/>
                <w:szCs w:val="20"/>
                <w:color w:val="auto"/>
              </w:rPr>
            </w:pPr>
            <w:r>
              <w:rPr>
                <w:rFonts w:ascii="Arial" w:cs="Arial" w:eastAsia="Arial" w:hAnsi="Arial"/>
                <w:sz w:val="14"/>
                <w:szCs w:val="14"/>
                <w:color w:val="auto"/>
              </w:rPr>
              <w:t>operations:</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Basic</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vMerge w:val="restart"/>
          </w:tcPr>
          <w:p>
            <w:pPr>
              <w:ind w:left="420"/>
              <w:spacing w:after="0"/>
              <w:rPr>
                <w:sz w:val="20"/>
                <w:szCs w:val="20"/>
                <w:color w:val="auto"/>
              </w:rPr>
            </w:pPr>
            <w:r>
              <w:rPr>
                <w:rFonts w:ascii="Arial" w:cs="Arial" w:eastAsia="Arial" w:hAnsi="Arial"/>
                <w:sz w:val="14"/>
                <w:szCs w:val="14"/>
                <w:color w:val="auto"/>
              </w:rPr>
              <w:t>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3" w:lineRule="exact"/>
              <w:rPr>
                <w:sz w:val="20"/>
                <w:szCs w:val="20"/>
                <w:color w:val="auto"/>
              </w:rPr>
            </w:pPr>
            <w:r>
              <w:rPr>
                <w:rFonts w:ascii="Arial" w:cs="Arial" w:eastAsia="Arial" w:hAnsi="Arial"/>
                <w:sz w:val="14"/>
                <w:szCs w:val="14"/>
                <w:color w:val="auto"/>
              </w:rPr>
              <w:t>0.38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rPr>
              <w:t>Weighted</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average</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shares:</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ind w:left="420"/>
              <w:spacing w:after="0" w:line="149" w:lineRule="exact"/>
              <w:rPr>
                <w:sz w:val="20"/>
                <w:szCs w:val="20"/>
                <w:color w:val="auto"/>
              </w:rPr>
            </w:pPr>
            <w:r>
              <w:rPr>
                <w:rFonts w:ascii="Arial" w:cs="Arial" w:eastAsia="Arial" w:hAnsi="Arial"/>
                <w:sz w:val="14"/>
                <w:szCs w:val="14"/>
                <w:color w:val="auto"/>
              </w:rPr>
              <w:t>Basic</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17,633,116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4,903,097</w:t>
            </w:r>
          </w:p>
        </w:tc>
        <w:tc>
          <w:tcPr>
            <w:tcW w:w="520" w:type="dxa"/>
            <w:vAlign w:val="bottom"/>
          </w:tcPr>
          <w:p>
            <w:pPr>
              <w:ind w:left="40"/>
              <w:spacing w:after="0" w:line="149" w:lineRule="exact"/>
              <w:rPr>
                <w:sz w:val="20"/>
                <w:szCs w:val="20"/>
                <w:color w:val="auto"/>
              </w:rPr>
            </w:pPr>
            <w:r>
              <w:rPr>
                <w:rFonts w:ascii="Arial" w:cs="Arial" w:eastAsia="Arial" w:hAnsi="Arial"/>
                <w:sz w:val="14"/>
                <w:szCs w:val="14"/>
                <w:i w:val="1"/>
                <w:iCs w:val="1"/>
                <w:color w:val="auto"/>
              </w:rPr>
              <w:t>(18)</w:t>
            </w: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4"/>
              </w:rPr>
              <w:t>22,536,213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4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Diluted</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17,633,116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4,903,097</w:t>
            </w:r>
          </w:p>
        </w:tc>
        <w:tc>
          <w:tcPr>
            <w:tcW w:w="52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i w:val="1"/>
                <w:iCs w:val="1"/>
                <w:color w:val="auto"/>
              </w:rPr>
              <w:t>(18)</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w w:val="94"/>
              </w:rPr>
              <w:t>22,536,213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60"/>
          </w:cols>
          <w:pgMar w:left="240" w:top="274" w:right="19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UNAUDITED PRO FORMA CONDENSED COMBINED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(Dollars in thousands)</w:t>
      </w:r>
    </w:p>
    <w:p>
      <w:pPr>
        <w:spacing w:after="0" w:line="90"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amounts in this column represent, for Acadia, actual balances as of September 30, 2011 or actual results for the periods presented.</w:t>
      </w:r>
    </w:p>
    <w:p>
      <w:pPr>
        <w:spacing w:after="0" w:line="38" w:lineRule="exact"/>
        <w:rPr>
          <w:rFonts w:ascii="Arial" w:cs="Arial" w:eastAsia="Arial" w:hAnsi="Arial"/>
          <w:sz w:val="16"/>
          <w:szCs w:val="16"/>
          <w:color w:val="auto"/>
        </w:rPr>
      </w:pPr>
    </w:p>
    <w:p>
      <w:pPr>
        <w:ind w:left="580" w:right="240" w:hanging="572"/>
        <w:spacing w:after="0" w:line="250"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amounts in this column represent, for YFCS, actual results for the period from January 1, 2010 to September 30, 2010, the period from January 1, 2011 to the April 1, 2011 acquisition date and for the year ended December 31, 2010.</w:t>
      </w:r>
    </w:p>
    <w:p>
      <w:pPr>
        <w:ind w:left="580" w:right="420" w:hanging="572"/>
        <w:spacing w:after="0" w:line="281"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amounts in this column represent, for PHC, actual balances as of September 30, 2011 or actual results for the periods presented. The condensed consolidated statements of operations of PHC have been reclassified to conform to Acadia’s expense classification policies.</w:t>
      </w:r>
    </w:p>
    <w:p>
      <w:pPr>
        <w:spacing w:after="0" w:line="1" w:lineRule="exact"/>
        <w:rPr>
          <w:rFonts w:ascii="Arial" w:cs="Arial" w:eastAsia="Arial" w:hAnsi="Arial"/>
          <w:sz w:val="16"/>
          <w:szCs w:val="16"/>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amounts in this column represent, for MeadowWood, actual results for the periods presented.</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the elimination of equity accounts of PHC.</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the elimination of PHC deferred financing costs in connection with the repayment of debt.</w:t>
      </w:r>
    </w:p>
    <w:p>
      <w:pPr>
        <w:spacing w:after="0" w:line="9" w:lineRule="exact"/>
        <w:rPr>
          <w:rFonts w:ascii="Arial" w:cs="Arial" w:eastAsia="Arial" w:hAnsi="Arial"/>
          <w:sz w:val="18"/>
          <w:szCs w:val="18"/>
          <w:color w:val="auto"/>
        </w:rPr>
      </w:pPr>
    </w:p>
    <w:p>
      <w:pPr>
        <w:ind w:left="580" w:right="160" w:hanging="572"/>
        <w:spacing w:after="0" w:line="255"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the adjustments to acquired property and equipment and intangible assets based on preliminary estimates of fair value and the adjustment to goodwill derived from the difference in the estimated total consideration transferred by Acadia and the estimated fair value of assets acquired and liabilities assumed by Acadia in the PHC merger, calculated as follows:</w:t>
      </w:r>
    </w:p>
    <w:p>
      <w:pPr>
        <w:spacing w:after="0" w:line="7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Estimated equity consideration </w:t>
            </w:r>
            <w:r>
              <w:rPr>
                <w:rFonts w:ascii="Arial" w:cs="Arial" w:eastAsia="Arial" w:hAnsi="Arial"/>
                <w:sz w:val="11"/>
                <w:szCs w:val="11"/>
                <w:color w:val="auto"/>
              </w:rPr>
              <w:t>(a)</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Estimated fair value of vested replacement share-based awards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Estimated repayment of indebtedness under PHC’s senior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Estimated cash consideration to Class B common stockholders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Estimated total consideration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77,009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0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3,261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Contract-based and other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benefits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Deferred tax liability-long term </w:t>
            </w:r>
            <w:r>
              <w:rPr>
                <w:rFonts w:ascii="Arial" w:cs="Arial" w:eastAsia="Arial" w:hAnsi="Arial"/>
                <w:sz w:val="11"/>
                <w:szCs w:val="11"/>
                <w:color w:val="auto"/>
              </w:rPr>
              <w:t>(b)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assets acquired less liabilities assumed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000" w:type="dxa"/>
            <w:vAlign w:val="bottom"/>
            <w:gridSpan w:val="2"/>
          </w:tcPr>
          <w:p>
            <w:pPr>
              <w:spacing w:after="0"/>
              <w:rPr>
                <w:sz w:val="20"/>
                <w:szCs w:val="20"/>
                <w:color w:val="auto"/>
              </w:rPr>
            </w:pPr>
            <w:r>
              <w:rPr>
                <w:rFonts w:ascii="Arial" w:cs="Arial" w:eastAsia="Arial" w:hAnsi="Arial"/>
                <w:sz w:val="18"/>
                <w:szCs w:val="18"/>
                <w:color w:val="auto"/>
              </w:rPr>
              <w:t>Estimated goodwill</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44,104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Less: Historical 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(10,447)</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Goodwill adjustment</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00" w:type="dxa"/>
            <w:vAlign w:val="bottom"/>
            <w:gridSpan w:val="2"/>
            <w:vMerge w:val="continue"/>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33,657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line="254" w:lineRule="auto"/>
        <w:tabs>
          <w:tab w:leader="none" w:pos="460" w:val="left"/>
        </w:tabs>
        <w:numPr>
          <w:ilvl w:val="0"/>
          <w:numId w:val="5"/>
        </w:numPr>
        <w:rPr>
          <w:rFonts w:ascii="Arial" w:cs="Arial" w:eastAsia="Arial" w:hAnsi="Arial"/>
          <w:sz w:val="21"/>
          <w:szCs w:val="21"/>
          <w:color w:val="auto"/>
          <w:vertAlign w:val="superscript"/>
        </w:rPr>
      </w:pPr>
      <w:r>
        <w:rPr>
          <w:rFonts w:ascii="Arial" w:cs="Arial" w:eastAsia="Arial" w:hAnsi="Arial"/>
          <w:sz w:val="17"/>
          <w:szCs w:val="17"/>
          <w:color w:val="auto"/>
        </w:rPr>
        <w:t>The estimated fair value of Acadia common shares issuable to PHC stockholders is based on 4,891,667 of Acadia common shares issued to PHC stockholders multiplied by a stock price of $9.00. The equity consideration is reflected as a $49 increase in common stock based on the conversion of each PHC share into one-quarter of a share of Acadia common stock ($0.01 par value) and a $43,976 increase in additional paid-in capital. The total increase in additional paid-in capital of $45,629 also includes the estimated fair value of the vested portion of replacement equity-based awards of $1,543 and the $110 charge resulting from the accelerated vesting of the stock options held by PHC directors.</w:t>
      </w:r>
    </w:p>
    <w:p>
      <w:pPr>
        <w:spacing w:after="0" w:line="3" w:lineRule="exact"/>
        <w:rPr>
          <w:rFonts w:ascii="Arial" w:cs="Arial" w:eastAsia="Arial" w:hAnsi="Arial"/>
          <w:sz w:val="21"/>
          <w:szCs w:val="21"/>
          <w:color w:val="auto"/>
          <w:vertAlign w:val="superscript"/>
        </w:rPr>
      </w:pPr>
    </w:p>
    <w:p>
      <w:pPr>
        <w:ind w:left="460" w:right="280" w:hanging="452"/>
        <w:spacing w:after="0" w:line="225" w:lineRule="auto"/>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The deferred tax liability of $183 represents the reclassification of PHC’s deferred tax asset of $648 from other assets to other liabilities less acquisition adjustments of $831 related to book and tax basis differences in intangible assets acquired.</w:t>
      </w:r>
    </w:p>
    <w:p>
      <w:pPr>
        <w:spacing w:after="0" w:line="75" w:lineRule="exact"/>
        <w:rPr>
          <w:rFonts w:ascii="Arial" w:cs="Arial" w:eastAsia="Arial" w:hAnsi="Arial"/>
          <w:sz w:val="22"/>
          <w:szCs w:val="22"/>
          <w:color w:val="auto"/>
          <w:vertAlign w:val="superscript"/>
        </w:rPr>
      </w:pPr>
    </w:p>
    <w:p>
      <w:pPr>
        <w:ind w:left="460" w:right="20"/>
        <w:spacing w:after="0" w:line="289" w:lineRule="auto"/>
        <w:rPr>
          <w:rFonts w:ascii="Arial" w:cs="Arial" w:eastAsia="Arial" w:hAnsi="Arial"/>
          <w:sz w:val="22"/>
          <w:szCs w:val="22"/>
          <w:color w:val="auto"/>
          <w:vertAlign w:val="superscript"/>
        </w:rPr>
      </w:pPr>
      <w:r>
        <w:rPr>
          <w:rFonts w:ascii="Arial" w:cs="Arial" w:eastAsia="Arial" w:hAnsi="Arial"/>
          <w:sz w:val="16"/>
          <w:szCs w:val="16"/>
          <w:color w:val="auto"/>
        </w:rPr>
        <w:t>The acquired assets and liabilities assumed will be recorded at their relative fair values as of the closing date of the PHC merger. Estimated goodwill is based upon a determination of the fair value of assets acquired and liabilities assumed that is preliminary and subject to revision as the value of total consideration is finalized and additional information related to the fair value of property and equipment and other assets (including intangible assets) acquired and liabilities assumed becomes available. The actual determination of the fair value of assets acquired and liabilities assumed will differ from that assumed in these unaudited pro forma condensed consolidated financial statements and such differences may be material. Qualitative factors comprising goodwill include efficiencies derived through synergies expected by the elimination of certain redundant corporate functions and expenses, the ability to leverage call center referrals to a broader provider base, coordination of services provided across the combined network of facilities, achievement of operating efficiencies by benchmarking performance and applying best practices throughout the combined company.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11" w:name="page12"/>
    <w:bookmarkEnd w:id="11"/>
    <w:p>
      <w:pPr>
        <w:ind w:left="572" w:right="80" w:hanging="572"/>
        <w:spacing w:after="0" w:line="268" w:lineRule="auto"/>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Represents a $719 increase in cash as a result of the PHC merger. The sources and uses of cash in connection with the PHC merger are expected to be as follows:</w:t>
      </w:r>
    </w:p>
    <w:p>
      <w:pPr>
        <w:spacing w:after="0" w:line="59" w:lineRule="exact"/>
        <w:rPr>
          <w:sz w:val="20"/>
          <w:szCs w:val="20"/>
          <w:color w:val="auto"/>
        </w:rPr>
      </w:pPr>
    </w:p>
    <w:tbl>
      <w:tblPr>
        <w:tblLayout w:type="fixed"/>
        <w:tblInd w:w="1832" w:type="dxa"/>
        <w:tblCellMar>
          <w:top w:w="0" w:type="dxa"/>
          <w:left w:w="0" w:type="dxa"/>
          <w:bottom w:w="0" w:type="dxa"/>
          <w:right w:w="0" w:type="dxa"/>
        </w:tblCellMar>
      </w:tblP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Sources: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Issuance of $150,000 of 12.875% Senior Notes due 2018 (“Senior Notes”)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147,485</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Uses: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Cash payment to Acadia stockholders</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(74,441)</w:t>
            </w: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 of indebtedness under PHC’s senior credit facility</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(26,441)</w:t>
            </w: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Cash portion of PHC merger consideration</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(5,000)</w:t>
            </w: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Transaction costs </w:t>
            </w:r>
            <w:r>
              <w:rPr>
                <w:rFonts w:ascii="Arial" w:cs="Arial" w:eastAsia="Arial" w:hAnsi="Arial"/>
                <w:sz w:val="11"/>
                <w:szCs w:val="11"/>
                <w:color w:val="auto"/>
              </w:rPr>
              <w:t>(a)</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(40,884)</w:t>
            </w:r>
          </w:p>
        </w:tc>
      </w:tr>
      <w:tr>
        <w:trPr>
          <w:trHeight w:val="222"/>
        </w:trPr>
        <w:tc>
          <w:tcPr>
            <w:tcW w:w="6980" w:type="dxa"/>
            <w:vAlign w:val="bottom"/>
          </w:tcPr>
          <w:p>
            <w:pPr>
              <w:spacing w:after="0"/>
              <w:rPr>
                <w:sz w:val="20"/>
                <w:szCs w:val="20"/>
                <w:color w:val="auto"/>
              </w:rPr>
            </w:pPr>
            <w:r>
              <w:rPr>
                <w:rFonts w:ascii="Arial" w:cs="Arial" w:eastAsia="Arial" w:hAnsi="Arial"/>
                <w:sz w:val="18"/>
                <w:szCs w:val="18"/>
                <w:color w:val="auto"/>
              </w:rPr>
              <w:t>Cash adjustment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52" w:right="120" w:hanging="452"/>
        <w:spacing w:after="0" w:line="258" w:lineRule="auto"/>
        <w:tabs>
          <w:tab w:leader="none" w:pos="452" w:val="left"/>
        </w:tabs>
        <w:numPr>
          <w:ilvl w:val="0"/>
          <w:numId w:val="7"/>
        </w:numPr>
        <w:rPr>
          <w:rFonts w:ascii="Arial" w:cs="Arial" w:eastAsia="Arial" w:hAnsi="Arial"/>
          <w:sz w:val="21"/>
          <w:szCs w:val="21"/>
          <w:color w:val="auto"/>
          <w:vertAlign w:val="superscript"/>
        </w:rPr>
      </w:pPr>
      <w:r>
        <w:rPr>
          <w:rFonts w:ascii="Arial" w:cs="Arial" w:eastAsia="Arial" w:hAnsi="Arial"/>
          <w:sz w:val="17"/>
          <w:szCs w:val="17"/>
          <w:color w:val="auto"/>
        </w:rPr>
        <w:t>Costs incurred in connection with the PHC merger and related transactions are estimated to be $16,525 of acquisition-related expenses (including approximately $2,403 of change in control payments due to certain PHC executives), $20,559 to terminate Acadia’s professional services agreement with Waud Capital Partners and $3,800 of debt financing costs associated with the Senior Notes, the Second Amendment to the Senior Secured Credit Facility and a debt commitment letter issued by Jefferies Finance to provide a senior unsecured bridge loan facility of up to $150.0 million in the event that $150.0 million of the Senior Notes were not issued.</w:t>
      </w:r>
    </w:p>
    <w:p>
      <w:pPr>
        <w:spacing w:after="0" w:line="61" w:lineRule="exact"/>
        <w:rPr>
          <w:sz w:val="20"/>
          <w:szCs w:val="20"/>
          <w:color w:val="auto"/>
        </w:rPr>
      </w:pPr>
    </w:p>
    <w:p>
      <w:pPr>
        <w:ind w:left="572" w:hanging="572"/>
        <w:spacing w:after="0"/>
        <w:tabs>
          <w:tab w:leader="none" w:pos="572"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the effect of the PHC merger on the current portion and long-term portion of total debt, as follows:</w:t>
      </w:r>
    </w:p>
    <w:p>
      <w:pPr>
        <w:spacing w:after="0" w:line="73"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LONG-</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4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CURRENT</w:t>
            </w:r>
          </w:p>
        </w:tc>
        <w:tc>
          <w:tcPr>
            <w:tcW w:w="22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TERM</w:t>
            </w:r>
          </w:p>
        </w:tc>
        <w:tc>
          <w:tcPr>
            <w:tcW w:w="24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TOTAL</w:t>
            </w:r>
          </w:p>
        </w:tc>
      </w:tr>
      <w:tr>
        <w:trPr>
          <w:trHeight w:val="161"/>
        </w:trPr>
        <w:tc>
          <w:tcPr>
            <w:tcW w:w="642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PORTION</w:t>
            </w:r>
          </w:p>
        </w:tc>
        <w:tc>
          <w:tcPr>
            <w:tcW w:w="22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PORTION</w:t>
            </w:r>
          </w:p>
        </w:tc>
        <w:tc>
          <w:tcPr>
            <w:tcW w:w="24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DEBT</w:t>
            </w:r>
          </w:p>
        </w:tc>
      </w:tr>
      <w:tr>
        <w:trPr>
          <w:trHeight w:val="210"/>
        </w:trPr>
        <w:tc>
          <w:tcPr>
            <w:tcW w:w="6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Repayment of indebtedness under PHC’s senior credit facility</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1"/>
              </w:rPr>
              <w:t>(235)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(26,206)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(26,441)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Issuance of Senior Notes</w:t>
            </w:r>
          </w:p>
        </w:tc>
        <w:tc>
          <w:tcPr>
            <w:tcW w:w="2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147,485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147,485</w:t>
            </w:r>
          </w:p>
        </w:tc>
        <w:tc>
          <w:tcPr>
            <w:tcW w:w="100" w:type="dxa"/>
            <w:vAlign w:val="bottom"/>
          </w:tcPr>
          <w:p>
            <w:pPr>
              <w:spacing w:after="0"/>
              <w:rPr>
                <w:sz w:val="18"/>
                <w:szCs w:val="18"/>
                <w:color w:val="auto"/>
              </w:rPr>
            </w:pPr>
          </w:p>
        </w:tc>
      </w:tr>
      <w:tr>
        <w:trPr>
          <w:trHeight w:val="27"/>
        </w:trPr>
        <w:tc>
          <w:tcPr>
            <w:tcW w:w="6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(235)</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121,279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121,044</w:t>
            </w:r>
          </w:p>
        </w:tc>
        <w:tc>
          <w:tcPr>
            <w:tcW w:w="100" w:type="dxa"/>
            <w:vAlign w:val="bottom"/>
            <w:shd w:val="clear" w:color="auto" w:fill="CCEEFF"/>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572" w:right="280" w:hanging="572"/>
        <w:spacing w:after="0" w:line="283" w:lineRule="auto"/>
        <w:tabs>
          <w:tab w:leader="none" w:pos="572" w:val="left"/>
        </w:tabs>
        <w:numPr>
          <w:ilvl w:val="0"/>
          <w:numId w:val="9"/>
        </w:numPr>
        <w:rPr>
          <w:rFonts w:ascii="Arial" w:cs="Arial" w:eastAsia="Arial" w:hAnsi="Arial"/>
          <w:sz w:val="16"/>
          <w:szCs w:val="16"/>
          <w:color w:val="auto"/>
        </w:rPr>
      </w:pPr>
      <w:r>
        <w:rPr>
          <w:rFonts w:ascii="Arial" w:cs="Arial" w:eastAsia="Arial" w:hAnsi="Arial"/>
          <w:sz w:val="16"/>
          <w:szCs w:val="16"/>
          <w:color w:val="auto"/>
        </w:rPr>
        <w:t>Reflects the reclassification from YFCS other operating expenses of: (a) professional fees of $5,575, $1,901 and $6,724 for the nine months ended September 30, 2010, the three months ended March 31, 2011 and the twelve months ended December 31, 2010, respectively, (b) supplies expense of $6,211, $2,204 and $8,380 for the nine months ended September 30, 2010, the three months ended March 31, 2011 and the twelve months ended December 31, 2010, respectively, and (c) rent expense of $3,904, $1,320 and $5,244 for the nine months ended September 30, 2010, the three months ended March 31, 2011 and the twelve months ended December 31, 2010, respectively.</w:t>
      </w:r>
    </w:p>
    <w:p>
      <w:pPr>
        <w:spacing w:after="0" w:line="2" w:lineRule="exact"/>
        <w:rPr>
          <w:rFonts w:ascii="Arial" w:cs="Arial" w:eastAsia="Arial" w:hAnsi="Arial"/>
          <w:sz w:val="16"/>
          <w:szCs w:val="16"/>
          <w:color w:val="auto"/>
        </w:rPr>
      </w:pPr>
    </w:p>
    <w:p>
      <w:pPr>
        <w:ind w:left="572" w:hanging="572"/>
        <w:spacing w:after="0" w:line="300" w:lineRule="auto"/>
        <w:tabs>
          <w:tab w:leader="none" w:pos="572" w:val="left"/>
        </w:tabs>
        <w:numPr>
          <w:ilvl w:val="0"/>
          <w:numId w:val="9"/>
        </w:numPr>
        <w:rPr>
          <w:rFonts w:ascii="Arial" w:cs="Arial" w:eastAsia="Arial" w:hAnsi="Arial"/>
          <w:sz w:val="15"/>
          <w:szCs w:val="15"/>
          <w:color w:val="auto"/>
        </w:rPr>
      </w:pPr>
      <w:r>
        <w:rPr>
          <w:rFonts w:ascii="Arial" w:cs="Arial" w:eastAsia="Arial" w:hAnsi="Arial"/>
          <w:sz w:val="15"/>
          <w:szCs w:val="15"/>
          <w:color w:val="auto"/>
        </w:rPr>
        <w:t>Reflects the removal of acquisition-related expenses included in the historical statements of operations relating to Acadia’s acquisition of YFCS, PHC’s acquisition of MeadowWood and the PHC merger. Acadia recorded $104, $10,594 and $849 of acquisition-related expenses in the nine months ended September 30, 2010 and 2011 and the twelve months ended December 31, 2010, respectively. YFCS recorded $534 of sale-related expenses in the twelve months ended December 31, 2010. PHC recorded $2,896 of acquisition-related and sale-related expenses in the nine months ended September 30, 2011.</w:t>
      </w:r>
    </w:p>
    <w:p>
      <w:pPr>
        <w:spacing w:after="0" w:line="1" w:lineRule="exact"/>
        <w:rPr>
          <w:rFonts w:ascii="Arial" w:cs="Arial" w:eastAsia="Arial" w:hAnsi="Arial"/>
          <w:sz w:val="15"/>
          <w:szCs w:val="15"/>
          <w:color w:val="auto"/>
        </w:rPr>
      </w:pPr>
    </w:p>
    <w:p>
      <w:pPr>
        <w:ind w:left="572" w:right="180" w:hanging="572"/>
        <w:spacing w:after="0" w:line="261" w:lineRule="auto"/>
        <w:tabs>
          <w:tab w:leader="none" w:pos="572"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the reclassification of workers’ compensation insurance expense of $1,239 for the twelve months ended December 31, 2010 to salaries, wages and benefits.</w:t>
      </w:r>
    </w:p>
    <w:p>
      <w:pPr>
        <w:spacing w:after="0" w:line="12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52"/>
          </w:cols>
          <w:pgMar w:left="248" w:top="280" w:right="299" w:bottom="1440" w:gutter="0" w:footer="0" w:header="0"/>
        </w:sectPr>
      </w:pPr>
    </w:p>
    <w:bookmarkStart w:id="12" w:name="page13"/>
    <w:bookmarkEnd w:id="12"/>
    <w:p>
      <w:pPr>
        <w:ind w:left="580" w:right="700" w:hanging="572"/>
        <w:spacing w:after="0" w:line="268"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Represents the adjustments to depreciation and amortization expense as a result of recording the property and equipment and intangible assets at preliminary estimates of fair value as of the respective dates of the acquisitions, as follows:</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YFCS acquisition: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TWELVE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USEFUL</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NINE MONTHS</w:t>
            </w:r>
          </w:p>
        </w:tc>
        <w:tc>
          <w:tcPr>
            <w:tcW w:w="60" w:type="dxa"/>
            <w:vAlign w:val="bottom"/>
          </w:tcPr>
          <w:p>
            <w:pPr>
              <w:spacing w:after="0"/>
              <w:rPr>
                <w:sz w:val="12"/>
                <w:szCs w:val="12"/>
                <w:color w:val="auto"/>
              </w:rPr>
            </w:pPr>
          </w:p>
        </w:tc>
        <w:tc>
          <w:tcPr>
            <w:tcW w:w="12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NINE MONTHS</w:t>
            </w: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LIVES</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ENDED</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(IN</w:t>
            </w:r>
          </w:p>
        </w:tc>
        <w:tc>
          <w:tcPr>
            <w:tcW w:w="140" w:type="dxa"/>
            <w:vAlign w:val="bottom"/>
          </w:tcPr>
          <w:p>
            <w:pPr>
              <w:spacing w:after="0"/>
              <w:rPr>
                <w:sz w:val="12"/>
                <w:szCs w:val="12"/>
                <w:color w:val="auto"/>
              </w:rPr>
            </w:pPr>
          </w:p>
        </w:tc>
        <w:tc>
          <w:tcPr>
            <w:tcW w:w="920" w:type="dxa"/>
            <w:vAlign w:val="bottom"/>
          </w:tcPr>
          <w:p>
            <w:pPr>
              <w:jc w:val="right"/>
              <w:ind w:right="94"/>
              <w:spacing w:after="0" w:line="149" w:lineRule="exact"/>
              <w:rPr>
                <w:sz w:val="20"/>
                <w:szCs w:val="20"/>
                <w:color w:val="auto"/>
              </w:rPr>
            </w:pPr>
            <w:r>
              <w:rPr>
                <w:rFonts w:ascii="Arial" w:cs="Arial" w:eastAsia="Arial" w:hAnsi="Arial"/>
                <w:sz w:val="14"/>
                <w:szCs w:val="14"/>
                <w:b w:val="1"/>
                <w:bCs w:val="1"/>
                <w:color w:val="auto"/>
              </w:rPr>
              <w:t>MONTHLY</w:t>
            </w:r>
          </w:p>
        </w:tc>
        <w:tc>
          <w:tcPr>
            <w:tcW w:w="16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SEPTEMBER 30,</w:t>
            </w:r>
          </w:p>
        </w:tc>
        <w:tc>
          <w:tcPr>
            <w:tcW w:w="60" w:type="dxa"/>
            <w:vAlign w:val="bottom"/>
          </w:tcPr>
          <w:p>
            <w:pPr>
              <w:spacing w:after="0"/>
              <w:rPr>
                <w:sz w:val="12"/>
                <w:szCs w:val="12"/>
                <w:color w:val="auto"/>
              </w:rPr>
            </w:pPr>
          </w:p>
        </w:tc>
        <w:tc>
          <w:tcPr>
            <w:tcW w:w="12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SEPTEMBER 30,</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YEARS)</w:t>
            </w: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w w:val="98"/>
              </w:rPr>
              <w:t>DEPRECIATION</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ind w:right="95"/>
              <w:spacing w:after="0"/>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75"/>
              <w:spacing w:after="0"/>
              <w:rPr>
                <w:sz w:val="20"/>
                <w:szCs w:val="20"/>
                <w:color w:val="auto"/>
              </w:rPr>
            </w:pPr>
            <w:r>
              <w:rPr>
                <w:rFonts w:ascii="Arial" w:cs="Arial" w:eastAsia="Arial" w:hAnsi="Arial"/>
                <w:sz w:val="14"/>
                <w:szCs w:val="14"/>
                <w:b w:val="1"/>
                <w:bCs w:val="1"/>
                <w:color w:val="auto"/>
                <w:w w:val="83"/>
              </w:rPr>
              <w:t>2011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58"/>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5,122</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Land improvements</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2,694</w:t>
            </w: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 or</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21,832</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lease term</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657</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Equipment</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2,024</w:t>
            </w: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477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31,911</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1,332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444</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Non-compete intangible asset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Patient-related intangible asset</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1,200</w:t>
            </w:r>
          </w:p>
        </w:tc>
        <w:tc>
          <w:tcPr>
            <w:tcW w:w="780" w:type="dxa"/>
            <w:vAlign w:val="bottom"/>
          </w:tcPr>
          <w:p>
            <w:pPr>
              <w:jc w:val="right"/>
              <w:spacing w:after="0"/>
              <w:rPr>
                <w:sz w:val="20"/>
                <w:szCs w:val="20"/>
                <w:color w:val="auto"/>
              </w:rPr>
            </w:pPr>
            <w:r>
              <w:rPr>
                <w:rFonts w:ascii="Arial" w:cs="Arial" w:eastAsia="Arial" w:hAnsi="Arial"/>
                <w:sz w:val="18"/>
                <w:szCs w:val="18"/>
                <w:color w:val="auto"/>
              </w:rPr>
              <w:t>0.25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and amortization expense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920" w:type="dxa"/>
            <w:vAlign w:val="bottom"/>
            <w:gridSpan w:val="2"/>
          </w:tcPr>
          <w:p>
            <w:pPr>
              <w:spacing w:after="0"/>
              <w:rPr>
                <w:sz w:val="20"/>
                <w:szCs w:val="20"/>
                <w:color w:val="auto"/>
              </w:rPr>
            </w:pPr>
            <w:r>
              <w:rPr>
                <w:rFonts w:ascii="Arial" w:cs="Arial" w:eastAsia="Arial" w:hAnsi="Arial"/>
                <w:sz w:val="18"/>
                <w:szCs w:val="18"/>
                <w:color w:val="auto"/>
              </w:rPr>
              <w:t>Less: historical depreciation and amortization expense</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(2,612)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 adjustment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2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580" w:right="360"/>
        <w:spacing w:after="0" w:line="332" w:lineRule="auto"/>
        <w:rPr>
          <w:sz w:val="20"/>
          <w:szCs w:val="20"/>
          <w:color w:val="auto"/>
        </w:rPr>
      </w:pPr>
      <w:r>
        <w:rPr>
          <w:rFonts w:ascii="Arial" w:cs="Arial" w:eastAsia="Arial" w:hAnsi="Arial"/>
          <w:sz w:val="16"/>
          <w:szCs w:val="16"/>
          <w:color w:val="auto"/>
        </w:rPr>
        <w:t>The adjustment to decrease depreciation and amortization expense relates to the excess of the historical amortization of the pre-acquisition intangible assets of YFCS over the amortization expense resulting from the intangible assets identified by Acadia in its acquisition of YFCS.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940" w:type="dxa"/>
            <w:vAlign w:val="bottom"/>
          </w:tcPr>
          <w:p>
            <w:pPr>
              <w:ind w:left="560"/>
              <w:spacing w:after="0"/>
              <w:rPr>
                <w:sz w:val="20"/>
                <w:szCs w:val="20"/>
                <w:color w:val="auto"/>
              </w:rPr>
            </w:pPr>
            <w:r>
              <w:rPr>
                <w:rFonts w:ascii="Arial" w:cs="Arial" w:eastAsia="Arial" w:hAnsi="Arial"/>
                <w:sz w:val="18"/>
                <w:szCs w:val="18"/>
                <w:color w:val="auto"/>
              </w:rPr>
              <w:t>(b)</w:t>
            </w:r>
          </w:p>
        </w:tc>
        <w:tc>
          <w:tcPr>
            <w:tcW w:w="3540" w:type="dxa"/>
            <w:vAlign w:val="bottom"/>
          </w:tcPr>
          <w:p>
            <w:pPr>
              <w:ind w:left="180"/>
              <w:spacing w:after="0"/>
              <w:rPr>
                <w:sz w:val="20"/>
                <w:szCs w:val="20"/>
                <w:color w:val="auto"/>
              </w:rPr>
            </w:pPr>
            <w:r>
              <w:rPr>
                <w:rFonts w:ascii="Arial" w:cs="Arial" w:eastAsia="Arial" w:hAnsi="Arial"/>
                <w:sz w:val="18"/>
                <w:szCs w:val="18"/>
                <w:color w:val="auto"/>
              </w:rPr>
              <w:t>MeadowWood acquisition:</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TWELVE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USEFUL</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NINE MONTHS</w:t>
            </w:r>
          </w:p>
        </w:tc>
        <w:tc>
          <w:tcPr>
            <w:tcW w:w="60" w:type="dxa"/>
            <w:vAlign w:val="bottom"/>
          </w:tcPr>
          <w:p>
            <w:pPr>
              <w:spacing w:after="0"/>
              <w:rPr>
                <w:sz w:val="12"/>
                <w:szCs w:val="12"/>
                <w:color w:val="auto"/>
              </w:rPr>
            </w:pPr>
          </w:p>
        </w:tc>
        <w:tc>
          <w:tcPr>
            <w:tcW w:w="12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NINE MONTHS</w:t>
            </w: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LIVES</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ENDED</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(IN</w:t>
            </w:r>
          </w:p>
        </w:tc>
        <w:tc>
          <w:tcPr>
            <w:tcW w:w="140" w:type="dxa"/>
            <w:vAlign w:val="bottom"/>
          </w:tcPr>
          <w:p>
            <w:pPr>
              <w:spacing w:after="0"/>
              <w:rPr>
                <w:sz w:val="12"/>
                <w:szCs w:val="12"/>
                <w:color w:val="auto"/>
              </w:rPr>
            </w:pPr>
          </w:p>
        </w:tc>
        <w:tc>
          <w:tcPr>
            <w:tcW w:w="920" w:type="dxa"/>
            <w:vAlign w:val="bottom"/>
          </w:tcPr>
          <w:p>
            <w:pPr>
              <w:jc w:val="right"/>
              <w:ind w:right="96"/>
              <w:spacing w:after="0" w:line="149" w:lineRule="exact"/>
              <w:rPr>
                <w:sz w:val="20"/>
                <w:szCs w:val="20"/>
                <w:color w:val="auto"/>
              </w:rPr>
            </w:pPr>
            <w:r>
              <w:rPr>
                <w:rFonts w:ascii="Arial" w:cs="Arial" w:eastAsia="Arial" w:hAnsi="Arial"/>
                <w:sz w:val="14"/>
                <w:szCs w:val="14"/>
                <w:b w:val="1"/>
                <w:bCs w:val="1"/>
                <w:color w:val="auto"/>
              </w:rPr>
              <w:t>MONTHLY</w:t>
            </w:r>
          </w:p>
        </w:tc>
        <w:tc>
          <w:tcPr>
            <w:tcW w:w="16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SEPTEMBER 30,</w:t>
            </w:r>
          </w:p>
        </w:tc>
        <w:tc>
          <w:tcPr>
            <w:tcW w:w="60" w:type="dxa"/>
            <w:vAlign w:val="bottom"/>
          </w:tcPr>
          <w:p>
            <w:pPr>
              <w:spacing w:after="0"/>
              <w:rPr>
                <w:sz w:val="12"/>
                <w:szCs w:val="12"/>
                <w:color w:val="auto"/>
              </w:rPr>
            </w:pPr>
          </w:p>
        </w:tc>
        <w:tc>
          <w:tcPr>
            <w:tcW w:w="12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SEPTEMBER 30,</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YEARS)</w:t>
            </w: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w w:val="98"/>
              </w:rPr>
              <w:t>DEPRECIATION</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ind w:right="96"/>
              <w:spacing w:after="0"/>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76"/>
              <w:spacing w:after="0"/>
              <w:rPr>
                <w:sz w:val="20"/>
                <w:szCs w:val="20"/>
                <w:color w:val="auto"/>
              </w:rPr>
            </w:pPr>
            <w:r>
              <w:rPr>
                <w:rFonts w:ascii="Arial" w:cs="Arial" w:eastAsia="Arial" w:hAnsi="Arial"/>
                <w:sz w:val="14"/>
                <w:szCs w:val="14"/>
                <w:b w:val="1"/>
                <w:bCs w:val="1"/>
                <w:color w:val="auto"/>
                <w:w w:val="83"/>
              </w:rPr>
              <w:t>2011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59"/>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3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1,420</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7,700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234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w w:val="79"/>
              </w:rPr>
              <w:t>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3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9"/>
              </w:rPr>
              <w:t>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9,674</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315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w w:val="79"/>
              </w:rPr>
              <w:t>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Indefinite-lived license intangibles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00" w:type="dxa"/>
            <w:vAlign w:val="bottom"/>
            <w:gridSpan w:val="3"/>
          </w:tcPr>
          <w:p>
            <w:pPr>
              <w:spacing w:after="0"/>
              <w:rPr>
                <w:sz w:val="20"/>
                <w:szCs w:val="20"/>
                <w:color w:val="auto"/>
              </w:rPr>
            </w:pPr>
            <w:r>
              <w:rPr>
                <w:rFonts w:ascii="Arial" w:cs="Arial" w:eastAsia="Arial" w:hAnsi="Arial"/>
                <w:sz w:val="18"/>
                <w:szCs w:val="18"/>
                <w:color w:val="auto"/>
              </w:rPr>
              <w:t>Total depreciation and amortization expense</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315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w w:val="79"/>
              </w:rPr>
              <w:t>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48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historical depreciation and amortization expense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5"/>
              </w:rPr>
              <w:t>(308)</w:t>
            </w: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Arial" w:cs="Arial" w:eastAsia="Arial" w:hAnsi="Arial"/>
                <w:sz w:val="18"/>
                <w:szCs w:val="18"/>
                <w:color w:val="auto"/>
              </w:rPr>
              <w:t>Depreciation and amortization expense adjustment</w:t>
            </w: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00" w:type="dxa"/>
            <w:vAlign w:val="bottom"/>
            <w:gridSpan w:val="3"/>
            <w:vMerge w:val="continue"/>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jc w:val="right"/>
              <w:ind w:right="2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24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ind w:left="580"/>
              <w:spacing w:after="0"/>
              <w:rPr>
                <w:sz w:val="20"/>
                <w:szCs w:val="20"/>
                <w:color w:val="auto"/>
              </w:rPr>
            </w:pPr>
            <w:r>
              <w:rPr>
                <w:rFonts w:ascii="Arial" w:cs="Arial" w:eastAsia="Arial" w:hAnsi="Arial"/>
                <w:sz w:val="18"/>
                <w:szCs w:val="18"/>
                <w:color w:val="auto"/>
                <w:w w:val="79"/>
              </w:rPr>
              <w:t>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940" w:type="dxa"/>
            <w:vAlign w:val="bottom"/>
          </w:tcPr>
          <w:p>
            <w:pPr>
              <w:ind w:left="560"/>
              <w:spacing w:after="0"/>
              <w:rPr>
                <w:sz w:val="20"/>
                <w:szCs w:val="20"/>
                <w:color w:val="auto"/>
              </w:rPr>
            </w:pPr>
            <w:r>
              <w:rPr>
                <w:rFonts w:ascii="Arial" w:cs="Arial" w:eastAsia="Arial" w:hAnsi="Arial"/>
                <w:sz w:val="18"/>
                <w:szCs w:val="18"/>
                <w:color w:val="auto"/>
              </w:rPr>
              <w:t>(c)</w:t>
            </w:r>
          </w:p>
        </w:tc>
        <w:tc>
          <w:tcPr>
            <w:tcW w:w="3960" w:type="dxa"/>
            <w:vAlign w:val="bottom"/>
          </w:tcPr>
          <w:p>
            <w:pPr>
              <w:ind w:left="180"/>
              <w:spacing w:after="0"/>
              <w:rPr>
                <w:sz w:val="20"/>
                <w:szCs w:val="20"/>
                <w:color w:val="auto"/>
              </w:rPr>
            </w:pPr>
            <w:r>
              <w:rPr>
                <w:rFonts w:ascii="Arial" w:cs="Arial" w:eastAsia="Arial" w:hAnsi="Arial"/>
                <w:sz w:val="18"/>
                <w:szCs w:val="18"/>
                <w:color w:val="auto"/>
              </w:rPr>
              <w:t>PHC acquisition:</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TWELVE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USEFUL</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NINE MONTHS</w:t>
            </w:r>
          </w:p>
        </w:tc>
        <w:tc>
          <w:tcPr>
            <w:tcW w:w="60" w:type="dxa"/>
            <w:vAlign w:val="bottom"/>
          </w:tcPr>
          <w:p>
            <w:pPr>
              <w:spacing w:after="0"/>
              <w:rPr>
                <w:sz w:val="12"/>
                <w:szCs w:val="12"/>
                <w:color w:val="auto"/>
              </w:rPr>
            </w:pPr>
          </w:p>
        </w:tc>
        <w:tc>
          <w:tcPr>
            <w:tcW w:w="12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NINE MONTHS</w:t>
            </w: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LIVES</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ENDED</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(IN</w:t>
            </w:r>
          </w:p>
        </w:tc>
        <w:tc>
          <w:tcPr>
            <w:tcW w:w="140" w:type="dxa"/>
            <w:vAlign w:val="bottom"/>
          </w:tcPr>
          <w:p>
            <w:pPr>
              <w:spacing w:after="0"/>
              <w:rPr>
                <w:sz w:val="12"/>
                <w:szCs w:val="12"/>
                <w:color w:val="auto"/>
              </w:rPr>
            </w:pPr>
          </w:p>
        </w:tc>
        <w:tc>
          <w:tcPr>
            <w:tcW w:w="920" w:type="dxa"/>
            <w:vAlign w:val="bottom"/>
          </w:tcPr>
          <w:p>
            <w:pPr>
              <w:jc w:val="right"/>
              <w:ind w:right="95"/>
              <w:spacing w:after="0" w:line="149" w:lineRule="exact"/>
              <w:rPr>
                <w:sz w:val="20"/>
                <w:szCs w:val="20"/>
                <w:color w:val="auto"/>
              </w:rPr>
            </w:pPr>
            <w:r>
              <w:rPr>
                <w:rFonts w:ascii="Arial" w:cs="Arial" w:eastAsia="Arial" w:hAnsi="Arial"/>
                <w:sz w:val="14"/>
                <w:szCs w:val="14"/>
                <w:b w:val="1"/>
                <w:bCs w:val="1"/>
                <w:color w:val="auto"/>
              </w:rPr>
              <w:t>MONTHLY</w:t>
            </w:r>
          </w:p>
        </w:tc>
        <w:tc>
          <w:tcPr>
            <w:tcW w:w="16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SEPTEMBER 30,</w:t>
            </w:r>
          </w:p>
        </w:tc>
        <w:tc>
          <w:tcPr>
            <w:tcW w:w="60" w:type="dxa"/>
            <w:vAlign w:val="bottom"/>
          </w:tcPr>
          <w:p>
            <w:pPr>
              <w:spacing w:after="0"/>
              <w:rPr>
                <w:sz w:val="12"/>
                <w:szCs w:val="12"/>
                <w:color w:val="auto"/>
              </w:rPr>
            </w:pPr>
          </w:p>
        </w:tc>
        <w:tc>
          <w:tcPr>
            <w:tcW w:w="12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SEPTEMBER 30,</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YEARS)</w:t>
            </w: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w w:val="98"/>
              </w:rPr>
              <w:t>DEPRECIATION</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ind w:right="96"/>
              <w:spacing w:after="0"/>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76"/>
              <w:spacing w:after="0"/>
              <w:rPr>
                <w:sz w:val="20"/>
                <w:szCs w:val="20"/>
                <w:color w:val="auto"/>
              </w:rPr>
            </w:pPr>
            <w:r>
              <w:rPr>
                <w:rFonts w:ascii="Arial" w:cs="Arial" w:eastAsia="Arial" w:hAnsi="Arial"/>
                <w:sz w:val="14"/>
                <w:szCs w:val="14"/>
                <w:b w:val="1"/>
                <w:bCs w:val="1"/>
                <w:color w:val="auto"/>
                <w:w w:val="83"/>
              </w:rPr>
              <w:t>2011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58"/>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3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25, or</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11,150</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lease term</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837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837</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14,494</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1,107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1,107</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0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Indefinite-lived license intangibles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Customer contract intangibles</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1,100</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depreciation and amortization expense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1,278</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920" w:type="dxa"/>
            <w:vAlign w:val="bottom"/>
            <w:gridSpan w:val="3"/>
          </w:tcPr>
          <w:p>
            <w:pPr>
              <w:spacing w:after="0"/>
              <w:rPr>
                <w:sz w:val="20"/>
                <w:szCs w:val="20"/>
                <w:color w:val="auto"/>
              </w:rPr>
            </w:pPr>
            <w:r>
              <w:rPr>
                <w:rFonts w:ascii="Arial" w:cs="Arial" w:eastAsia="Arial" w:hAnsi="Arial"/>
                <w:sz w:val="18"/>
                <w:szCs w:val="18"/>
                <w:color w:val="auto"/>
              </w:rPr>
              <w:t>Less: PHC pro forma depreciation and amortization expense</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(1,166)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(1,128)</w:t>
            </w:r>
          </w:p>
        </w:tc>
        <w:tc>
          <w:tcPr>
            <w:tcW w:w="14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expense adjustment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2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580" w:right="20" w:hanging="572"/>
        <w:spacing w:after="0" w:line="259"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adjustments to interest expense to give effect to the Senior Secured Credit Facility entered into by Acadia on April 1, 2011, the debt incurred by PHC to fund the MeadowWood acquisition, the Second Amendment to the Senior Secured Credit Facility and the Senior Notes issued on November 1, 2011.</w:t>
      </w:r>
    </w:p>
    <w:p>
      <w:pPr>
        <w:spacing w:after="0" w:line="59" w:lineRule="exact"/>
        <w:rPr>
          <w:rFonts w:ascii="Arial" w:cs="Arial" w:eastAsia="Arial" w:hAnsi="Arial"/>
          <w:sz w:val="18"/>
          <w:szCs w:val="18"/>
          <w:color w:val="auto"/>
        </w:rPr>
      </w:pPr>
    </w:p>
    <w:p>
      <w:pPr>
        <w:ind w:left="1140" w:right="40" w:hanging="565"/>
        <w:spacing w:after="0" w:line="268" w:lineRule="auto"/>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YFCS pro forma interest expense adjustment assumes that the interest rate of 4.2% at April 1, 2011, the closing date of the YFCS acquisition and the Senior Secured Credit Facility, was in effect for the entire period, as follows:</w:t>
      </w:r>
    </w:p>
    <w:p>
      <w:pPr>
        <w:spacing w:after="0" w:line="3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NINE MONTHS</w:t>
            </w:r>
          </w:p>
        </w:tc>
        <w:tc>
          <w:tcPr>
            <w:tcW w:w="140" w:type="dxa"/>
            <w:vAlign w:val="bottom"/>
          </w:tcPr>
          <w:p>
            <w:pPr>
              <w:spacing w:after="0"/>
              <w:rPr>
                <w:sz w:val="14"/>
                <w:szCs w:val="1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NINE MONTHS</w:t>
            </w:r>
          </w:p>
        </w:tc>
        <w:tc>
          <w:tcPr>
            <w:tcW w:w="13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9"/>
              </w:rPr>
              <w:t>TWELVE MONTHS</w:t>
            </w:r>
          </w:p>
        </w:tc>
      </w:tr>
      <w:tr>
        <w:trPr>
          <w:trHeight w:val="149"/>
        </w:trPr>
        <w:tc>
          <w:tcPr>
            <w:tcW w:w="4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38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ENDED</w:t>
            </w:r>
          </w:p>
        </w:tc>
      </w:tr>
      <w:tr>
        <w:trPr>
          <w:trHeight w:val="161"/>
        </w:trPr>
        <w:tc>
          <w:tcPr>
            <w:tcW w:w="4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SEPTEMBER 30, 2010</w:t>
            </w: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13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2010</w:t>
            </w:r>
          </w:p>
        </w:tc>
      </w:tr>
      <w:tr>
        <w:trPr>
          <w:trHeight w:val="210"/>
        </w:trPr>
        <w:tc>
          <w:tcPr>
            <w:tcW w:w="4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related to Senior Secured Credit Facility</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w w:val="98"/>
              </w:rPr>
              <w:t>Plus: Amortization of debt discount and deferred loan costs</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9"/>
                <w:szCs w:val="19"/>
                <w:color w:val="auto"/>
              </w:rPr>
            </w:pPr>
          </w:p>
        </w:tc>
      </w:tr>
      <w:tr>
        <w:trPr>
          <w:trHeight w:val="216"/>
        </w:trPr>
        <w:tc>
          <w:tcPr>
            <w:tcW w:w="4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1,780</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7,299</w:t>
            </w:r>
          </w:p>
        </w:tc>
        <w:tc>
          <w:tcPr>
            <w:tcW w:w="100" w:type="dxa"/>
            <w:vAlign w:val="bottom"/>
            <w:shd w:val="clear" w:color="auto" w:fill="CCEEFF"/>
          </w:tcPr>
          <w:p>
            <w:pPr>
              <w:spacing w:after="0"/>
              <w:rPr>
                <w:sz w:val="18"/>
                <w:szCs w:val="18"/>
                <w:color w:val="auto"/>
              </w:rPr>
            </w:pPr>
          </w:p>
        </w:tc>
      </w:tr>
      <w:tr>
        <w:trPr>
          <w:trHeight w:val="323"/>
        </w:trPr>
        <w:tc>
          <w:tcPr>
            <w:tcW w:w="4660" w:type="dxa"/>
            <w:vAlign w:val="bottom"/>
          </w:tcPr>
          <w:p>
            <w:pPr>
              <w:spacing w:after="0"/>
              <w:rPr>
                <w:sz w:val="20"/>
                <w:szCs w:val="20"/>
                <w:color w:val="auto"/>
              </w:rPr>
            </w:pPr>
            <w:r>
              <w:rPr>
                <w:rFonts w:ascii="Arial" w:cs="Arial" w:eastAsia="Arial" w:hAnsi="Arial"/>
                <w:sz w:val="18"/>
                <w:szCs w:val="18"/>
                <w:color w:val="auto"/>
              </w:rPr>
              <w:t>Less: historical interest expense of Acadia and YFCS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(6,262)</w:t>
            </w:r>
          </w:p>
        </w:tc>
        <w:tc>
          <w:tcPr>
            <w:tcW w:w="140" w:type="dxa"/>
            <w:vAlign w:val="bottom"/>
          </w:tcPr>
          <w:p>
            <w:pPr>
              <w:spacing w:after="0"/>
              <w:rPr>
                <w:sz w:val="24"/>
                <w:szCs w:val="2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(1,949)</w:t>
            </w:r>
          </w:p>
        </w:tc>
        <w:tc>
          <w:tcPr>
            <w:tcW w:w="24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(8,252)</w:t>
            </w:r>
          </w:p>
        </w:tc>
      </w:tr>
      <w:tr>
        <w:trPr>
          <w:trHeight w:val="28"/>
        </w:trPr>
        <w:tc>
          <w:tcPr>
            <w:tcW w:w="4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adjustment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(953)</w:t>
            </w:r>
          </w:p>
        </w:tc>
      </w:tr>
      <w:tr>
        <w:trPr>
          <w:trHeight w:val="20"/>
        </w:trPr>
        <w:tc>
          <w:tcPr>
            <w:tcW w:w="4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580" w:right="280"/>
        <w:spacing w:after="0" w:line="332" w:lineRule="auto"/>
        <w:rPr>
          <w:sz w:val="20"/>
          <w:szCs w:val="20"/>
          <w:color w:val="auto"/>
        </w:rPr>
      </w:pPr>
      <w:r>
        <w:rPr>
          <w:rFonts w:ascii="Arial" w:cs="Arial" w:eastAsia="Arial" w:hAnsi="Arial"/>
          <w:sz w:val="16"/>
          <w:szCs w:val="16"/>
          <w:color w:val="auto"/>
        </w:rPr>
        <w:t>An increase or decrease of 0.125% in the assumed interest rate would result in a change in interest expense of $135, $65 and $178 for the nine months ended September 30, 2010, the nine months ended September 30, 2011 and the twelve months ended December 31, 2010, respectively.</w:t>
      </w:r>
    </w:p>
    <w:p>
      <w:pPr>
        <w:spacing w:after="0" w:line="4" w:lineRule="exact"/>
        <w:rPr>
          <w:sz w:val="20"/>
          <w:szCs w:val="20"/>
          <w:color w:val="auto"/>
        </w:rPr>
      </w:pPr>
    </w:p>
    <w:p>
      <w:pPr>
        <w:ind w:left="1140" w:right="80" w:hanging="565"/>
        <w:spacing w:after="0" w:line="268"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PHC pro forma interest expense adjustment assumes that the interest rate of 7.75% at July 1, 2011, the closing date of the loans under PHC’s senior credit facility funding the MeadowWood acquisition, was in effect for the entire period, as follows:</w:t>
      </w:r>
    </w:p>
    <w:p>
      <w:pPr>
        <w:spacing w:after="0" w:line="3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NINE MONTHS</w:t>
            </w:r>
          </w:p>
        </w:tc>
        <w:tc>
          <w:tcPr>
            <w:tcW w:w="140" w:type="dxa"/>
            <w:vAlign w:val="bottom"/>
          </w:tcPr>
          <w:p>
            <w:pPr>
              <w:spacing w:after="0"/>
              <w:rPr>
                <w:sz w:val="14"/>
                <w:szCs w:val="1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NINE MONTHS</w:t>
            </w: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TWELVE MONTHS</w:t>
            </w:r>
          </w:p>
        </w:tc>
      </w:tr>
      <w:tr>
        <w:trPr>
          <w:trHeight w:val="149"/>
        </w:trPr>
        <w:tc>
          <w:tcPr>
            <w:tcW w:w="4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38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ENDED</w:t>
            </w:r>
          </w:p>
        </w:tc>
      </w:tr>
      <w:tr>
        <w:trPr>
          <w:trHeight w:val="161"/>
        </w:trPr>
        <w:tc>
          <w:tcPr>
            <w:tcW w:w="4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SEPTEMBER 30, 2010</w:t>
            </w: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2010</w:t>
            </w:r>
          </w:p>
        </w:tc>
      </w:tr>
      <w:tr>
        <w:trPr>
          <w:trHeight w:val="210"/>
        </w:trPr>
        <w:tc>
          <w:tcPr>
            <w:tcW w:w="4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related to PHC’s senior credit facility</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w w:val="99"/>
              </w:rPr>
              <w:t>Plus: Amortization of debt discount and deferred loan costs</w:t>
            </w: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r>
      <w:tr>
        <w:trPr>
          <w:trHeight w:val="216"/>
        </w:trPr>
        <w:tc>
          <w:tcPr>
            <w:tcW w:w="4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1,807</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100" w:type="dxa"/>
            <w:vAlign w:val="bottom"/>
            <w:shd w:val="clear" w:color="auto" w:fill="CCEEFF"/>
          </w:tcPr>
          <w:p>
            <w:pPr>
              <w:spacing w:after="0"/>
              <w:rPr>
                <w:sz w:val="18"/>
                <w:szCs w:val="18"/>
                <w:color w:val="auto"/>
              </w:rPr>
            </w:pPr>
          </w:p>
        </w:tc>
      </w:tr>
      <w:tr>
        <w:trPr>
          <w:trHeight w:val="323"/>
        </w:trPr>
        <w:tc>
          <w:tcPr>
            <w:tcW w:w="4680" w:type="dxa"/>
            <w:vAlign w:val="bottom"/>
          </w:tcPr>
          <w:p>
            <w:pPr>
              <w:spacing w:after="0"/>
              <w:rPr>
                <w:sz w:val="20"/>
                <w:szCs w:val="20"/>
                <w:color w:val="auto"/>
              </w:rPr>
            </w:pPr>
            <w:r>
              <w:rPr>
                <w:rFonts w:ascii="Arial" w:cs="Arial" w:eastAsia="Arial" w:hAnsi="Arial"/>
                <w:sz w:val="18"/>
                <w:szCs w:val="18"/>
                <w:color w:val="auto"/>
                <w:w w:val="98"/>
              </w:rPr>
              <w:t>Less: historical interest expense of PHC and MeadowWood</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(635)</w:t>
            </w:r>
          </w:p>
        </w:tc>
        <w:tc>
          <w:tcPr>
            <w:tcW w:w="140" w:type="dxa"/>
            <w:vAlign w:val="bottom"/>
          </w:tcPr>
          <w:p>
            <w:pPr>
              <w:spacing w:after="0"/>
              <w:rPr>
                <w:sz w:val="24"/>
                <w:szCs w:val="2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(1,438)</w:t>
            </w:r>
          </w:p>
        </w:tc>
        <w:tc>
          <w:tcPr>
            <w:tcW w:w="24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(851)</w:t>
            </w:r>
          </w:p>
        </w:tc>
      </w:tr>
      <w:tr>
        <w:trPr>
          <w:trHeight w:val="28"/>
        </w:trPr>
        <w:tc>
          <w:tcPr>
            <w:tcW w:w="4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adjustment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00" w:type="dxa"/>
            <w:vAlign w:val="bottom"/>
            <w:shd w:val="clear" w:color="auto" w:fill="CCEEFF"/>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580" w:right="460"/>
        <w:spacing w:after="0" w:line="332" w:lineRule="auto"/>
        <w:rPr>
          <w:sz w:val="20"/>
          <w:szCs w:val="20"/>
          <w:color w:val="auto"/>
        </w:rPr>
      </w:pPr>
      <w:r>
        <w:rPr>
          <w:rFonts w:ascii="Arial" w:cs="Arial" w:eastAsia="Arial" w:hAnsi="Arial"/>
          <w:sz w:val="16"/>
          <w:szCs w:val="16"/>
          <w:color w:val="auto"/>
        </w:rPr>
        <w:t>An increase or decrease of 0.125% in the assumed interest rate would result in a change in interest expense of $24, $24 and $33 for the nine months ended September 30, 2010, the nine months ended September 30, 2011 and the twelve months ended December 31, 2010,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4" w:name="page15"/>
    <w:bookmarkEnd w:id="14"/>
    <w:p>
      <w:pPr>
        <w:ind w:left="1132" w:right="80" w:hanging="565"/>
        <w:spacing w:after="0" w:line="259" w:lineRule="auto"/>
        <w:tabs>
          <w:tab w:leader="none" w:pos="1132"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 forma interest expense adjustment for the PHC merger assumes that the interest rate of 12.875% for the Senior Notes and the 0.50% increase in the interest rate applicable to the Senior Secured Credit Facility related to the Second Amendment were in effect for the entire period, as follows:</w:t>
      </w:r>
    </w:p>
    <w:p>
      <w:pPr>
        <w:spacing w:after="0" w:line="42"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NINE MONTHS</w:t>
            </w:r>
          </w:p>
        </w:tc>
        <w:tc>
          <w:tcPr>
            <w:tcW w:w="140" w:type="dxa"/>
            <w:vAlign w:val="bottom"/>
          </w:tcPr>
          <w:p>
            <w:pPr>
              <w:spacing w:after="0"/>
              <w:rPr>
                <w:sz w:val="14"/>
                <w:szCs w:val="1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NINE MONTHS</w:t>
            </w: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TWELVE MONTHS</w:t>
            </w:r>
          </w:p>
        </w:tc>
      </w:tr>
      <w:tr>
        <w:trPr>
          <w:trHeight w:val="149"/>
        </w:trPr>
        <w:tc>
          <w:tcPr>
            <w:tcW w:w="5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138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ENDED</w:t>
            </w:r>
          </w:p>
        </w:tc>
      </w:tr>
      <w:tr>
        <w:trPr>
          <w:trHeight w:val="161"/>
        </w:trPr>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2010</w:t>
            </w: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2010</w:t>
            </w:r>
          </w:p>
        </w:tc>
      </w:tr>
      <w:tr>
        <w:trPr>
          <w:trHeight w:val="210"/>
        </w:trPr>
        <w:tc>
          <w:tcPr>
            <w:tcW w:w="5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related to Senior Notes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14,484</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5160" w:type="dxa"/>
            <w:vAlign w:val="bottom"/>
          </w:tcPr>
          <w:p>
            <w:pPr>
              <w:spacing w:after="0"/>
              <w:rPr>
                <w:sz w:val="20"/>
                <w:szCs w:val="20"/>
                <w:color w:val="auto"/>
              </w:rPr>
            </w:pPr>
            <w:r>
              <w:rPr>
                <w:rFonts w:ascii="Arial" w:cs="Arial" w:eastAsia="Arial" w:hAnsi="Arial"/>
                <w:sz w:val="18"/>
                <w:szCs w:val="18"/>
                <w:color w:val="auto"/>
                <w:w w:val="90"/>
              </w:rPr>
              <w:t>Interest related to the Second Amendment to the Senior Secured Credit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160" w:type="dxa"/>
            <w:vAlign w:val="bottom"/>
          </w:tcPr>
          <w:p>
            <w:pPr>
              <w:ind w:left="220"/>
              <w:spacing w:after="0"/>
              <w:rPr>
                <w:sz w:val="20"/>
                <w:szCs w:val="20"/>
                <w:color w:val="auto"/>
              </w:rPr>
            </w:pPr>
            <w:r>
              <w:rPr>
                <w:rFonts w:ascii="Arial" w:cs="Arial" w:eastAsia="Arial" w:hAnsi="Arial"/>
                <w:sz w:val="18"/>
                <w:szCs w:val="18"/>
                <w:color w:val="auto"/>
              </w:rPr>
              <w:t>Facility</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512</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9"/>
                <w:szCs w:val="19"/>
                <w:color w:val="auto"/>
              </w:rPr>
            </w:pPr>
          </w:p>
        </w:tc>
      </w:tr>
      <w:tr>
        <w:trPr>
          <w:trHeight w:val="217"/>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Plus: Amortization of debt discount and deferred loan costs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18"/>
                <w:szCs w:val="18"/>
                <w:color w:val="auto"/>
              </w:rPr>
            </w:pPr>
          </w:p>
        </w:tc>
      </w:tr>
      <w:tr>
        <w:trPr>
          <w:trHeight w:val="221"/>
        </w:trPr>
        <w:tc>
          <w:tcPr>
            <w:tcW w:w="5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15,861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15,836</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21,144</w:t>
            </w:r>
          </w:p>
        </w:tc>
        <w:tc>
          <w:tcPr>
            <w:tcW w:w="100" w:type="dxa"/>
            <w:vAlign w:val="bottom"/>
          </w:tcPr>
          <w:p>
            <w:pPr>
              <w:spacing w:after="0"/>
              <w:rPr>
                <w:sz w:val="19"/>
                <w:szCs w:val="19"/>
                <w:color w:val="auto"/>
              </w:rPr>
            </w:pPr>
          </w:p>
        </w:tc>
      </w:tr>
      <w:tr>
        <w:trPr>
          <w:trHeight w:val="110"/>
        </w:trPr>
        <w:tc>
          <w:tcPr>
            <w:tcW w:w="5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0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Less: Interest related to PHC’s senior credit facility repaid 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November 1, 2011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(1,822)</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(1,807)</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(2,427)</w:t>
            </w: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5160" w:type="dxa"/>
            <w:vAlign w:val="bottom"/>
          </w:tcPr>
          <w:p>
            <w:pPr>
              <w:spacing w:after="0"/>
              <w:rPr>
                <w:sz w:val="20"/>
                <w:szCs w:val="20"/>
                <w:color w:val="auto"/>
              </w:rPr>
            </w:pPr>
            <w:r>
              <w:rPr>
                <w:rFonts w:ascii="Arial" w:cs="Arial" w:eastAsia="Arial" w:hAnsi="Arial"/>
                <w:sz w:val="18"/>
                <w:szCs w:val="18"/>
                <w:color w:val="auto"/>
              </w:rPr>
              <w:t>Interest expense adjustment</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14,039</w:t>
            </w:r>
          </w:p>
        </w:tc>
        <w:tc>
          <w:tcPr>
            <w:tcW w:w="1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14,029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18,717</w:t>
            </w:r>
          </w:p>
        </w:tc>
        <w:tc>
          <w:tcPr>
            <w:tcW w:w="100" w:type="dxa"/>
            <w:vAlign w:val="bottom"/>
          </w:tcPr>
          <w:p>
            <w:pPr>
              <w:spacing w:after="0"/>
              <w:rPr>
                <w:sz w:val="24"/>
                <w:szCs w:val="24"/>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572"/>
        <w:spacing w:after="0" w:line="259" w:lineRule="auto"/>
        <w:rPr>
          <w:sz w:val="20"/>
          <w:szCs w:val="20"/>
          <w:color w:val="auto"/>
        </w:rPr>
      </w:pPr>
      <w:r>
        <w:rPr>
          <w:rFonts w:ascii="Arial" w:cs="Arial" w:eastAsia="Arial" w:hAnsi="Arial"/>
          <w:sz w:val="18"/>
          <w:szCs w:val="18"/>
          <w:color w:val="auto"/>
        </w:rPr>
        <w:t>An increase or decrease of 0.125% in the assumed interest rate on the notes and the Senior Secured Credit Facility would result in a change in interest expense of $135, $129 and $178 for the nine months ended September 30, 2010, the nine months ended September 30, 2011 and the twelve months ended December 31, 2010, respectively.</w:t>
      </w:r>
    </w:p>
    <w:p>
      <w:pPr>
        <w:spacing w:after="0" w:line="59" w:lineRule="exact"/>
        <w:rPr>
          <w:sz w:val="20"/>
          <w:szCs w:val="20"/>
          <w:color w:val="auto"/>
        </w:rPr>
      </w:pPr>
    </w:p>
    <w:p>
      <w:pPr>
        <w:jc w:val="both"/>
        <w:ind w:left="572" w:right="260" w:hanging="572"/>
        <w:spacing w:after="0" w:line="253" w:lineRule="auto"/>
        <w:tabs>
          <w:tab w:leader="none" w:pos="5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an increase in income taxes of $2,453 for the nine months ended September 30, 2010, a decrease in income taxes of $133 for the nine months ended September 30, 2011 and an increase in income taxes of $2,448 for the twelve months ended December 31, 2010 to give effect to the election by Acadia Healthcare Company, LLC to be treated as a taxable corporation on April 1, 2011.</w:t>
      </w:r>
    </w:p>
    <w:p>
      <w:pPr>
        <w:ind w:left="572" w:right="100" w:hanging="572"/>
        <w:spacing w:after="0" w:line="250" w:lineRule="auto"/>
        <w:tabs>
          <w:tab w:leader="none" w:pos="5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adjustments to income taxes to reflect the impact of the above pro forma adjustments applying combined federal and state statutory tax rates for the respective periods.</w:t>
      </w:r>
    </w:p>
    <w:p>
      <w:pPr>
        <w:ind w:left="572" w:right="480" w:hanging="572"/>
        <w:spacing w:after="0" w:line="250" w:lineRule="auto"/>
        <w:tabs>
          <w:tab w:leader="none" w:pos="5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elimination of advisory fees paid to Waud Capital Partners pursuant to our professional services agreement dated April 1, 2011. The adjustment to eliminate advisory fees is factually supportable and directly attributable to the termination of the professional services agreement on November 1, 2011.</w:t>
      </w:r>
    </w:p>
    <w:p>
      <w:pPr>
        <w:spacing w:after="0" w:line="1" w:lineRule="exact"/>
        <w:rPr>
          <w:rFonts w:ascii="Arial" w:cs="Arial" w:eastAsia="Arial" w:hAnsi="Arial"/>
          <w:sz w:val="18"/>
          <w:szCs w:val="18"/>
          <w:color w:val="auto"/>
        </w:rPr>
      </w:pPr>
    </w:p>
    <w:p>
      <w:pPr>
        <w:ind w:left="572" w:right="2860" w:hanging="572"/>
        <w:spacing w:after="0" w:line="434" w:lineRule="auto"/>
        <w:tabs>
          <w:tab w:leader="none" w:pos="5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Adjustments to weighted average shares used to compute basic and diluted earnings per unit/share are as follows: </w:t>
      </w:r>
      <w:r>
        <w:rPr>
          <w:rFonts w:ascii="Arial" w:cs="Arial" w:eastAsia="Arial" w:hAnsi="Arial"/>
          <w:sz w:val="18"/>
          <w:szCs w:val="18"/>
          <w:i w:val="1"/>
          <w:iCs w:val="1"/>
          <w:color w:val="auto"/>
        </w:rPr>
        <w:t>Basic earnings per unit/share</w:t>
      </w:r>
    </w:p>
    <w:p>
      <w:pPr>
        <w:spacing w:after="0" w:line="1" w:lineRule="exact"/>
        <w:rPr>
          <w:rFonts w:ascii="Arial" w:cs="Arial" w:eastAsia="Arial" w:hAnsi="Arial"/>
          <w:sz w:val="18"/>
          <w:szCs w:val="18"/>
          <w:color w:val="auto"/>
        </w:rPr>
      </w:pPr>
    </w:p>
    <w:p>
      <w:pPr>
        <w:ind w:left="652" w:right="220" w:hanging="314"/>
        <w:spacing w:after="0" w:line="294" w:lineRule="auto"/>
        <w:tabs>
          <w:tab w:leader="none" w:pos="652" w:val="left"/>
        </w:tabs>
        <w:numPr>
          <w:ilvl w:val="1"/>
          <w:numId w:val="14"/>
        </w:numPr>
        <w:rPr>
          <w:rFonts w:ascii="Arial" w:cs="Arial" w:eastAsia="Arial" w:hAnsi="Arial"/>
          <w:sz w:val="16"/>
          <w:szCs w:val="16"/>
          <w:color w:val="auto"/>
        </w:rPr>
      </w:pPr>
      <w:r>
        <w:rPr>
          <w:rFonts w:ascii="Arial" w:cs="Arial" w:eastAsia="Arial" w:hAnsi="Arial"/>
          <w:sz w:val="16"/>
          <w:szCs w:val="16"/>
          <w:color w:val="auto"/>
        </w:rPr>
        <w:t xml:space="preserve">The conversion and exchange of each Class A and Class B common share of PHC, Inc. for one-quarter (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of a share of common stock of Acadia Healthcare Company, Inc. The estimated issuance of Acadia common stock based on the one-to-four conversion rate and the weighted average shares outstanding for the respective periods is 4,931,829, 4,891,667 and 4,903,097 for the nine months ended September 30, 2010, the nine months ended September 30, 2011 and the twelve months ended December 31, 2010, respectively. Weighted average shares outstanding are derived from PHC, Inc. consolidated financial statements for the respective periods.</w:t>
      </w:r>
    </w:p>
    <w:p>
      <w:pPr>
        <w:spacing w:after="0" w:line="197" w:lineRule="exact"/>
        <w:rPr>
          <w:sz w:val="20"/>
          <w:szCs w:val="20"/>
          <w:color w:val="auto"/>
        </w:rPr>
      </w:pPr>
    </w:p>
    <w:p>
      <w:pPr>
        <w:ind w:left="572"/>
        <w:spacing w:after="0"/>
        <w:rPr>
          <w:sz w:val="20"/>
          <w:szCs w:val="20"/>
          <w:color w:val="auto"/>
        </w:rPr>
      </w:pPr>
      <w:r>
        <w:rPr>
          <w:rFonts w:ascii="Arial" w:cs="Arial" w:eastAsia="Arial" w:hAnsi="Arial"/>
          <w:sz w:val="18"/>
          <w:szCs w:val="18"/>
          <w:i w:val="1"/>
          <w:iCs w:val="1"/>
          <w:color w:val="auto"/>
        </w:rPr>
        <w:t>Diluted earnings per unit/share</w:t>
      </w:r>
    </w:p>
    <w:p>
      <w:pPr>
        <w:spacing w:after="0" w:line="90" w:lineRule="exact"/>
        <w:rPr>
          <w:sz w:val="20"/>
          <w:szCs w:val="20"/>
          <w:color w:val="auto"/>
        </w:rPr>
      </w:pPr>
    </w:p>
    <w:p>
      <w:pPr>
        <w:ind w:left="652" w:hanging="314"/>
        <w:spacing w:after="0"/>
        <w:tabs>
          <w:tab w:leader="none" w:pos="6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adjustments described above related to basic earnings per unit/share.</w:t>
      </w:r>
    </w:p>
    <w:p>
      <w:pPr>
        <w:spacing w:after="0" w:line="90" w:lineRule="exact"/>
        <w:rPr>
          <w:rFonts w:ascii="Arial" w:cs="Arial" w:eastAsia="Arial" w:hAnsi="Arial"/>
          <w:sz w:val="18"/>
          <w:szCs w:val="18"/>
          <w:color w:val="auto"/>
        </w:rPr>
      </w:pPr>
    </w:p>
    <w:p>
      <w:pPr>
        <w:ind w:left="652" w:hanging="314"/>
        <w:spacing w:after="0" w:line="298" w:lineRule="auto"/>
        <w:tabs>
          <w:tab w:leader="none" w:pos="6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conversion of outstanding PHC employee stock options and warrants into substantially equivalent Acadia stock options and warrants. The estimated incremental dilutive effect of the stock options and warrants, derived from the consolidated financial statements of PHC, Inc. based on the one-to-four conversion rate applicable to such awards, is 21,709. The options and warrants do not have a dilutive effect for the nine months ended September 30, 2011 and twelve months ended December 31, 2010 given the pro forma combined loss from continuing operations.</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sectPr>
      <w:pgSz w:w="11900" w:h="16838" w:orient="portrait"/>
      <w:cols w:equalWidth="0" w:num="1">
        <w:col w:w="11392"/>
      </w:cols>
      <w:pgMar w:left="248"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1"/>
    </w:lvl>
  </w:abstractNum>
  <w:abstractNum w:abstractNumId="2">
    <w:nsid w:val="5BD062C2"/>
    <w:multiLevelType w:val="hybridMultilevel"/>
    <w:lvl w:ilvl="0">
      <w:lvlJc w:val="left"/>
      <w:lvlText w:val="(%1)"/>
      <w:numFmt w:val="lowerLetter"/>
      <w:start w:val="9"/>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decimal"/>
      <w:start w:val="8"/>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decimal"/>
      <w:start w:val="9"/>
    </w:lvl>
  </w:abstractNum>
  <w:abstractNum w:abstractNumId="8">
    <w:nsid w:val="66EF438D"/>
    <w:multiLevelType w:val="hybridMultilevel"/>
    <w:lvl w:ilvl="0">
      <w:lvlJc w:val="left"/>
      <w:lvlText w:val="(%1)"/>
      <w:numFmt w:val="decimal"/>
      <w:start w:val="10"/>
    </w:lvl>
  </w:abstractNum>
  <w:abstractNum w:abstractNumId="9">
    <w:nsid w:val="140E0F76"/>
    <w:multiLevelType w:val="hybridMultilevel"/>
    <w:lvl w:ilvl="0">
      <w:lvlJc w:val="left"/>
      <w:lvlText w:val="(%1)"/>
      <w:numFmt w:val="decimal"/>
      <w:start w:val="13"/>
    </w:lvl>
    <w:lvl w:ilvl="1">
      <w:lvlJc w:val="left"/>
      <w:lvlText w:val="(%2)"/>
      <w:numFmt w:val="lowerLetter"/>
      <w:start w:val="1"/>
    </w:lvl>
  </w:abstractNum>
  <w:abstractNum w:abstractNumId="10">
    <w:nsid w:val="3352255A"/>
    <w:multiLevelType w:val="hybridMultilevel"/>
    <w:lvl w:ilvl="0">
      <w:lvlJc w:val="left"/>
      <w:lvlText w:val="(%1)"/>
      <w:numFmt w:val="decimal"/>
      <w:start w:val="14"/>
    </w:lvl>
    <w:lvl w:ilvl="1">
      <w:lvlJc w:val="left"/>
      <w:lvlText w:val="(%2)"/>
      <w:numFmt w:val="lowerLetter"/>
      <w:start w:val="1"/>
    </w:lvl>
  </w:abstractNum>
  <w:abstractNum w:abstractNumId="11">
    <w:nsid w:val="109CF92E"/>
    <w:multiLevelType w:val="hybridMultilevel"/>
    <w:lvl w:ilvl="0">
      <w:lvlJc w:val="left"/>
      <w:lvlText w:val="(%1)"/>
      <w:numFmt w:val="lowerLetter"/>
      <w:start w:val="2"/>
    </w:lvl>
  </w:abstractNum>
  <w:abstractNum w:abstractNumId="12">
    <w:nsid w:val="DED7263"/>
    <w:multiLevelType w:val="hybridMultilevel"/>
    <w:lvl w:ilvl="0">
      <w:lvlJc w:val="left"/>
      <w:lvlText w:val="(%1)"/>
      <w:numFmt w:val="lowerLetter"/>
      <w:start w:val="3"/>
    </w:lvl>
  </w:abstractNum>
  <w:abstractNum w:abstractNumId="13">
    <w:nsid w:val="7FDCC233"/>
    <w:multiLevelType w:val="hybridMultilevel"/>
    <w:lvl w:ilvl="0">
      <w:lvlJc w:val="left"/>
      <w:lvlText w:val="(%1)"/>
      <w:numFmt w:val="decimal"/>
      <w:start w:val="15"/>
    </w:lvl>
    <w:lvl w:ilvl="1">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2019-12-11T09:57:22Z</dcterms:created>
  <dcterms:modified xsi:type="dcterms:W3CDTF">2019-12-11T09:57:22Z</dcterms:modified>
</cp:coreProperties>
</file>