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ACADIA HEALTHCARE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1,453,488.72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1,454,430.72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1,464,125.72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1,453,488.72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1,454,430.72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1,464,125.72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ACADIA HEALTHCARE COMPANY,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4020 ASPEN GROVE DR STE 900, FRANKLIN, X1, 37067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46"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9" w:lineRule="auto"/>
        <w:tabs>
          <w:tab w:leader="none" w:pos="3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40"/>
          </w:cols>
          <w:pgMar w:left="360" w:top="112"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$.01 par value, par value $ per share, of ACADIA HEALTHCARE COMPANY, INC.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Sam Prashanth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Sam Prashanth Title: Attorney-in-fact GOLDMAN SACHS &amp; CO. LLC By:/s/ Sam Prashanth --------------------------</w:t>
      </w:r>
    </w:p>
    <w:p>
      <w:pPr>
        <w:sectPr>
          <w:pgSz w:w="11900" w:h="16900" w:orient="portrait"/>
          <w:cols w:equalWidth="0" w:num="1">
            <w:col w:w="11160"/>
          </w:cols>
          <w:pgMar w:left="360" w:top="112" w:right="3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Name: Sam Prashanth Title: Attorney-in-fact EXHIBIT (99.2) ITEM 7 INFORMATION The securities being</w:t>
      </w:r>
    </w:p>
    <w:p>
      <w:pPr>
        <w:spacing w:after="0" w:line="1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2026-05-11T12:23:55Z</dcterms:created>
  <dcterms:modified xsi:type="dcterms:W3CDTF">2026-05-11T12:23:55Z</dcterms:modified>
</cp:coreProperties>
</file>