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SCHEDULE 13D/A</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Acadia Healthcare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1895475</wp:posOffset>
            </wp:positionH>
            <wp:positionV relativeFrom="paragraph">
              <wp:posOffset>-9525</wp:posOffset>
            </wp:positionV>
            <wp:extent cx="3350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50895"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1208405</wp:posOffset>
            </wp:positionH>
            <wp:positionV relativeFrom="paragraph">
              <wp:posOffset>-5080</wp:posOffset>
            </wp:positionV>
            <wp:extent cx="4725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25670" cy="8890"/>
                    </a:xfrm>
                    <a:prstGeom prst="rect">
                      <a:avLst/>
                    </a:prstGeom>
                    <a:noFill/>
                  </pic:spPr>
                </pic:pic>
              </a:graphicData>
            </a:graphic>
          </wp:anchor>
        </w:drawing>
      </w:r>
    </w:p>
    <w:p>
      <w:pPr>
        <w:spacing w:after="0" w:line="1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00404A109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2044700</wp:posOffset>
            </wp:positionH>
            <wp:positionV relativeFrom="paragraph">
              <wp:posOffset>-5080</wp:posOffset>
            </wp:positionV>
            <wp:extent cx="305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5308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Jason Carri</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P2 Capital Partners,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590 Madison Avenue</w:t>
      </w:r>
    </w:p>
    <w:p>
      <w:pPr>
        <w:ind w:left="5240"/>
        <w:spacing w:after="0" w:line="192" w:lineRule="auto"/>
        <w:rPr>
          <w:sz w:val="20"/>
          <w:szCs w:val="20"/>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4820"/>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(212) 508-5500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-19050</wp:posOffset>
            </wp:positionV>
            <wp:extent cx="4970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0145" cy="8255"/>
                    </a:xfrm>
                    <a:prstGeom prst="rect">
                      <a:avLst/>
                    </a:prstGeom>
                    <a:noFill/>
                  </pic:spPr>
                </pic:pic>
              </a:graphicData>
            </a:graphic>
          </wp:anchor>
        </w:drawing>
      </w:r>
    </w:p>
    <w:p>
      <w:pPr>
        <w:ind w:left="2060"/>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1996440</wp:posOffset>
            </wp:positionH>
            <wp:positionV relativeFrom="paragraph">
              <wp:posOffset>-5080</wp:posOffset>
            </wp:positionV>
            <wp:extent cx="31489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48965"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3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CUSIP No. 00404A109</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211" w:lineRule="exact"/>
        <w:rPr>
          <w:sz w:val="20"/>
          <w:szCs w:val="20"/>
          <w:color w:val="auto"/>
        </w:rPr>
      </w:pPr>
    </w:p>
    <w:p>
      <w:pPr>
        <w:ind w:left="1960" w:right="6600" w:hanging="1015"/>
        <w:spacing w:after="0" w:line="282" w:lineRule="auto"/>
        <w:tabs>
          <w:tab w:leader="none" w:pos="1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 P2 Capital Partners, LLC</w:t>
      </w:r>
    </w:p>
    <w:p>
      <w:pPr>
        <w:spacing w:after="0" w:line="161" w:lineRule="exact"/>
        <w:rPr>
          <w:rFonts w:ascii="Times New Roman" w:cs="Times New Roman" w:eastAsia="Times New Roman" w:hAnsi="Times New Roman"/>
          <w:sz w:val="18"/>
          <w:szCs w:val="18"/>
          <w:b w:val="1"/>
          <w:bCs w:val="1"/>
          <w:color w:val="auto"/>
        </w:rPr>
      </w:pPr>
    </w:p>
    <w:p>
      <w:pPr>
        <w:ind w:left="1960" w:right="37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 OF ABOVE PERSON (ENTITIES ONLY). 20-2436330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-693420</wp:posOffset>
            </wp:positionV>
            <wp:extent cx="7054850" cy="6214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621474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38"/>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76"/>
        </w:trPr>
        <w:tc>
          <w:tcPr>
            <w:tcW w:w="188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14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80" w:type="dxa"/>
            <w:vAlign w:val="bottom"/>
            <w:tcBorders>
              <w:bottom w:val="single" w:sz="8" w:color="808080"/>
            </w:tcBorders>
          </w:tcPr>
          <w:p>
            <w:pPr>
              <w:spacing w:after="0"/>
              <w:rPr>
                <w:sz w:val="17"/>
                <w:szCs w:val="17"/>
                <w:color w:val="auto"/>
              </w:rPr>
            </w:pPr>
          </w:p>
        </w:tc>
        <w:tc>
          <w:tcPr>
            <w:tcW w:w="9220" w:type="dxa"/>
            <w:vAlign w:val="bottom"/>
            <w:tcBorders>
              <w:bottom w:val="single" w:sz="8" w:color="808080"/>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94"/>
        </w:trPr>
        <w:tc>
          <w:tcPr>
            <w:tcW w:w="1880" w:type="dxa"/>
            <w:vAlign w:val="bottom"/>
            <w:tcBorders>
              <w:bottom w:val="single" w:sz="8" w:color="808080"/>
            </w:tcBorders>
          </w:tcPr>
          <w:p>
            <w:pPr>
              <w:spacing w:after="0"/>
              <w:rPr>
                <w:sz w:val="16"/>
                <w:szCs w:val="16"/>
                <w:color w:val="auto"/>
              </w:rPr>
            </w:pPr>
          </w:p>
        </w:tc>
        <w:tc>
          <w:tcPr>
            <w:tcW w:w="9220" w:type="dxa"/>
            <w:vAlign w:val="bottom"/>
            <w:tcBorders>
              <w:bottom w:val="single" w:sz="8" w:color="808080"/>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10"/>
        </w:trPr>
        <w:tc>
          <w:tcPr>
            <w:tcW w:w="18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8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42"/>
        </w:trPr>
        <w:tc>
          <w:tcPr>
            <w:tcW w:w="18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0"/>
        </w:trPr>
        <w:tc>
          <w:tcPr>
            <w:tcW w:w="18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tcBorders>
              <w:right w:val="single" w:sz="8" w:color="808080"/>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71"/>
        </w:trPr>
        <w:tc>
          <w:tcPr>
            <w:tcW w:w="1880" w:type="dxa"/>
            <w:vAlign w:val="bottom"/>
            <w:vMerge w:val="continue"/>
          </w:tcPr>
          <w:p>
            <w:pPr>
              <w:spacing w:after="0"/>
              <w:rPr>
                <w:sz w:val="14"/>
                <w:szCs w:val="14"/>
                <w:color w:val="auto"/>
              </w:rPr>
            </w:pPr>
          </w:p>
        </w:tc>
        <w:tc>
          <w:tcPr>
            <w:tcW w:w="1140" w:type="dxa"/>
            <w:vAlign w:val="bottom"/>
            <w:tcBorders>
              <w:right w:val="single" w:sz="8" w:color="808080"/>
            </w:tcBorders>
          </w:tcPr>
          <w:p>
            <w:pPr>
              <w:spacing w:after="0"/>
              <w:rPr>
                <w:sz w:val="14"/>
                <w:szCs w:val="14"/>
                <w:color w:val="auto"/>
              </w:rPr>
            </w:pPr>
          </w:p>
        </w:tc>
        <w:tc>
          <w:tcPr>
            <w:tcW w:w="8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40" w:type="dxa"/>
            <w:vAlign w:val="bottom"/>
            <w:tcBorders>
              <w:bottom w:val="single" w:sz="8" w:color="808080"/>
              <w:right w:val="single" w:sz="8" w:color="808080"/>
            </w:tcBorders>
          </w:tcPr>
          <w:p>
            <w:pPr>
              <w:spacing w:after="0"/>
              <w:rPr>
                <w:sz w:val="20"/>
                <w:szCs w:val="20"/>
                <w:color w:val="auto"/>
              </w:rPr>
            </w:pPr>
          </w:p>
        </w:tc>
        <w:tc>
          <w:tcPr>
            <w:tcW w:w="80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4"/>
        </w:trPr>
        <w:tc>
          <w:tcPr>
            <w:tcW w:w="18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140" w:type="dxa"/>
            <w:vAlign w:val="bottom"/>
            <w:tcBorders>
              <w:right w:val="single" w:sz="8" w:color="808080"/>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140" w:type="dxa"/>
            <w:vAlign w:val="bottom"/>
            <w:tcBorders>
              <w:right w:val="single" w:sz="8" w:color="808080"/>
            </w:tcBorders>
          </w:tcPr>
          <w:p>
            <w:pPr>
              <w:spacing w:after="0"/>
              <w:rPr>
                <w:sz w:val="18"/>
                <w:szCs w:val="18"/>
                <w:color w:val="auto"/>
              </w:rPr>
            </w:pPr>
          </w:p>
        </w:tc>
        <w:tc>
          <w:tcPr>
            <w:tcW w:w="8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140" w:type="dxa"/>
            <w:vAlign w:val="bottom"/>
            <w:tcBorders>
              <w:right w:val="single" w:sz="8" w:color="808080"/>
            </w:tcBorders>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4,313,620</w:t>
            </w:r>
          </w:p>
        </w:tc>
        <w:tc>
          <w:tcPr>
            <w:tcW w:w="0" w:type="dxa"/>
            <w:vAlign w:val="bottom"/>
          </w:tcPr>
          <w:p>
            <w:pPr>
              <w:spacing w:after="0"/>
              <w:rPr>
                <w:sz w:val="1"/>
                <w:szCs w:val="1"/>
                <w:color w:val="auto"/>
              </w:rPr>
            </w:pPr>
          </w:p>
        </w:tc>
      </w:tr>
      <w:tr>
        <w:trPr>
          <w:trHeight w:val="36"/>
        </w:trPr>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140" w:type="dxa"/>
            <w:vAlign w:val="bottom"/>
            <w:tcBorders>
              <w:bottom w:val="single" w:sz="8" w:color="808080"/>
              <w:right w:val="single" w:sz="8" w:color="808080"/>
            </w:tcBorders>
          </w:tcPr>
          <w:p>
            <w:pPr>
              <w:spacing w:after="0"/>
              <w:rPr>
                <w:sz w:val="3"/>
                <w:szCs w:val="3"/>
                <w:color w:val="auto"/>
              </w:rPr>
            </w:pPr>
          </w:p>
        </w:tc>
        <w:tc>
          <w:tcPr>
            <w:tcW w:w="80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880" w:type="dxa"/>
            <w:vAlign w:val="bottom"/>
            <w:vMerge w:val="continue"/>
          </w:tcPr>
          <w:p>
            <w:pPr>
              <w:spacing w:after="0"/>
              <w:rPr>
                <w:sz w:val="13"/>
                <w:szCs w:val="13"/>
                <w:color w:val="auto"/>
              </w:rPr>
            </w:pPr>
          </w:p>
        </w:tc>
        <w:tc>
          <w:tcPr>
            <w:tcW w:w="1140" w:type="dxa"/>
            <w:vAlign w:val="bottom"/>
            <w:tcBorders>
              <w:right w:val="single" w:sz="8" w:color="808080"/>
            </w:tcBorders>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9</w:t>
            </w:r>
          </w:p>
        </w:tc>
        <w:tc>
          <w:tcPr>
            <w:tcW w:w="808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140" w:type="dxa"/>
            <w:vAlign w:val="bottom"/>
            <w:tcBorders>
              <w:right w:val="single" w:sz="8" w:color="808080"/>
            </w:tcBorders>
          </w:tcPr>
          <w:p>
            <w:pPr>
              <w:spacing w:after="0"/>
              <w:rPr>
                <w:sz w:val="18"/>
                <w:szCs w:val="18"/>
                <w:color w:val="auto"/>
              </w:rPr>
            </w:pPr>
          </w:p>
        </w:tc>
        <w:tc>
          <w:tcPr>
            <w:tcW w:w="8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140" w:type="dxa"/>
            <w:vAlign w:val="bottom"/>
            <w:tcBorders>
              <w:bottom w:val="single" w:sz="8" w:color="808080"/>
              <w:right w:val="single" w:sz="8" w:color="808080"/>
            </w:tcBorders>
          </w:tcPr>
          <w:p>
            <w:pPr>
              <w:spacing w:after="0"/>
              <w:rPr>
                <w:sz w:val="23"/>
                <w:szCs w:val="23"/>
                <w:color w:val="auto"/>
              </w:rPr>
            </w:pPr>
          </w:p>
        </w:tc>
        <w:tc>
          <w:tcPr>
            <w:tcW w:w="80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880" w:type="dxa"/>
            <w:vAlign w:val="bottom"/>
          </w:tcPr>
          <w:p>
            <w:pPr>
              <w:spacing w:after="0"/>
              <w:rPr>
                <w:sz w:val="20"/>
                <w:szCs w:val="20"/>
                <w:color w:val="auto"/>
              </w:rPr>
            </w:pPr>
          </w:p>
        </w:tc>
        <w:tc>
          <w:tcPr>
            <w:tcW w:w="1140" w:type="dxa"/>
            <w:vAlign w:val="bottom"/>
            <w:tcBorders>
              <w:right w:val="single" w:sz="8" w:color="80808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0"/>
        </w:trPr>
        <w:tc>
          <w:tcPr>
            <w:tcW w:w="18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right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4,313,620</w:t>
            </w:r>
          </w:p>
        </w:tc>
        <w:tc>
          <w:tcPr>
            <w:tcW w:w="0" w:type="dxa"/>
            <w:vAlign w:val="bottom"/>
          </w:tcPr>
          <w:p>
            <w:pPr>
              <w:spacing w:after="0"/>
              <w:rPr>
                <w:sz w:val="1"/>
                <w:szCs w:val="1"/>
                <w:color w:val="auto"/>
              </w:rPr>
            </w:pPr>
          </w:p>
        </w:tc>
      </w:tr>
      <w:tr>
        <w:trPr>
          <w:trHeight w:val="232"/>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AGGREGATE</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10"/>
        </w:trPr>
        <w:tc>
          <w:tcPr>
            <w:tcW w:w="18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auto"/>
              </w:rPr>
              <w:t>4,313,620</w:t>
            </w:r>
          </w:p>
        </w:tc>
        <w:tc>
          <w:tcPr>
            <w:tcW w:w="8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342"/>
        </w:trPr>
        <w:tc>
          <w:tcPr>
            <w:tcW w:w="18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10"/>
        </w:trPr>
        <w:tc>
          <w:tcPr>
            <w:tcW w:w="188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960" w:right="4840" w:hanging="1060"/>
        <w:spacing w:after="0" w:line="527" w:lineRule="auto"/>
        <w:tabs>
          <w:tab w:leader="none" w:pos="1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CO</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CUSIP No. 00404A109</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13D</w:t>
            </w:r>
          </w:p>
        </w:tc>
        <w:tc>
          <w:tcPr>
            <w:tcW w:w="8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1</w:t>
            </w:r>
          </w:p>
        </w:tc>
        <w:tc>
          <w:tcPr>
            <w:tcW w:w="9300" w:type="dxa"/>
            <w:vAlign w:val="bottom"/>
            <w:tcBorders>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right w:val="single" w:sz="8" w:color="auto"/>
            </w:tcBorders>
          </w:tcPr>
          <w:p>
            <w:pPr>
              <w:spacing w:after="0"/>
              <w:rPr>
                <w:sz w:val="20"/>
                <w:szCs w:val="20"/>
                <w:color w:val="auto"/>
              </w:rPr>
            </w:pP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P2 Capital Master Fund I, L.P.</w:t>
            </w:r>
          </w:p>
        </w:tc>
        <w:tc>
          <w:tcPr>
            <w:tcW w:w="0" w:type="dxa"/>
            <w:vAlign w:val="bottom"/>
          </w:tcPr>
          <w:p>
            <w:pPr>
              <w:spacing w:after="0"/>
              <w:rPr>
                <w:sz w:val="1"/>
                <w:szCs w:val="1"/>
                <w:color w:val="auto"/>
              </w:rPr>
            </w:pPr>
          </w:p>
        </w:tc>
      </w:tr>
      <w:tr>
        <w:trPr>
          <w:trHeight w:val="414"/>
        </w:trPr>
        <w:tc>
          <w:tcPr>
            <w:tcW w:w="1940" w:type="dxa"/>
            <w:vAlign w:val="bottom"/>
            <w:tcBorders>
              <w:left w:val="single" w:sz="8" w:color="auto"/>
              <w:right w:val="single" w:sz="8" w:color="auto"/>
            </w:tcBorders>
          </w:tcPr>
          <w:p>
            <w:pPr>
              <w:spacing w:after="0"/>
              <w:rPr>
                <w:sz w:val="24"/>
                <w:szCs w:val="24"/>
                <w:color w:val="auto"/>
              </w:rPr>
            </w:pP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98-0515452</w:t>
            </w:r>
          </w:p>
        </w:tc>
        <w:tc>
          <w:tcPr>
            <w:tcW w:w="8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3"/>
        </w:trPr>
        <w:tc>
          <w:tcPr>
            <w:tcW w:w="194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4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93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930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96"/>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93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Cayman Islands, British West Indies</w:t>
            </w: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71"/>
        </w:trPr>
        <w:tc>
          <w:tcPr>
            <w:tcW w:w="1940" w:type="dxa"/>
            <w:vAlign w:val="bottom"/>
            <w:tcBorders>
              <w:left w:val="single" w:sz="8" w:color="auto"/>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8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bottom w:val="single" w:sz="8" w:color="auto"/>
              <w:right w:val="single" w:sz="8" w:color="auto"/>
            </w:tcBorders>
          </w:tcPr>
          <w:p>
            <w:pPr>
              <w:spacing w:after="0"/>
              <w:rPr>
                <w:sz w:val="20"/>
                <w:szCs w:val="20"/>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4"/>
        </w:trPr>
        <w:tc>
          <w:tcPr>
            <w:tcW w:w="1940" w:type="dxa"/>
            <w:vAlign w:val="bottom"/>
            <w:tcBorders>
              <w:left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1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8</w:t>
            </w:r>
          </w:p>
        </w:tc>
        <w:tc>
          <w:tcPr>
            <w:tcW w:w="81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2,217,866</w:t>
            </w:r>
          </w:p>
        </w:tc>
        <w:tc>
          <w:tcPr>
            <w:tcW w:w="0" w:type="dxa"/>
            <w:vAlign w:val="bottom"/>
          </w:tcPr>
          <w:p>
            <w:pPr>
              <w:spacing w:after="0"/>
              <w:rPr>
                <w:sz w:val="1"/>
                <w:szCs w:val="1"/>
                <w:color w:val="auto"/>
              </w:rPr>
            </w:pPr>
          </w:p>
        </w:tc>
      </w:tr>
      <w:tr>
        <w:trPr>
          <w:trHeight w:val="36"/>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120" w:type="dxa"/>
            <w:vAlign w:val="bottom"/>
            <w:tcBorders>
              <w:bottom w:val="single" w:sz="8" w:color="auto"/>
              <w:right w:val="single" w:sz="8" w:color="auto"/>
            </w:tcBorders>
          </w:tcPr>
          <w:p>
            <w:pPr>
              <w:spacing w:after="0"/>
              <w:rPr>
                <w:sz w:val="3"/>
                <w:szCs w:val="3"/>
                <w:color w:val="auto"/>
              </w:rPr>
            </w:pPr>
          </w:p>
        </w:tc>
        <w:tc>
          <w:tcPr>
            <w:tcW w:w="8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940" w:type="dxa"/>
            <w:vAlign w:val="bottom"/>
            <w:tcBorders>
              <w:left w:val="single" w:sz="8" w:color="auto"/>
              <w:right w:val="single" w:sz="8" w:color="auto"/>
            </w:tcBorders>
            <w:vMerge w:val="continue"/>
          </w:tcPr>
          <w:p>
            <w:pPr>
              <w:spacing w:after="0"/>
              <w:rPr>
                <w:sz w:val="13"/>
                <w:szCs w:val="13"/>
                <w:color w:val="auto"/>
              </w:rPr>
            </w:pPr>
          </w:p>
        </w:tc>
        <w:tc>
          <w:tcPr>
            <w:tcW w:w="11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9</w:t>
            </w:r>
          </w:p>
        </w:tc>
        <w:tc>
          <w:tcPr>
            <w:tcW w:w="818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120" w:type="dxa"/>
            <w:vAlign w:val="bottom"/>
            <w:tcBorders>
              <w:bottom w:val="single" w:sz="8" w:color="auto"/>
              <w:right w:val="single" w:sz="8" w:color="auto"/>
            </w:tcBorders>
          </w:tcPr>
          <w:p>
            <w:pPr>
              <w:spacing w:after="0"/>
              <w:rPr>
                <w:sz w:val="23"/>
                <w:szCs w:val="23"/>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2,217,866</w:t>
            </w:r>
          </w:p>
        </w:tc>
        <w:tc>
          <w:tcPr>
            <w:tcW w:w="0" w:type="dxa"/>
            <w:vAlign w:val="bottom"/>
          </w:tcPr>
          <w:p>
            <w:pPr>
              <w:spacing w:after="0"/>
              <w:rPr>
                <w:sz w:val="1"/>
                <w:szCs w:val="1"/>
                <w:color w:val="auto"/>
              </w:rPr>
            </w:pPr>
          </w:p>
        </w:tc>
      </w:tr>
      <w:tr>
        <w:trPr>
          <w:trHeight w:val="228"/>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AGGREGATE</w:t>
            </w: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198"/>
        </w:trPr>
        <w:tc>
          <w:tcPr>
            <w:tcW w:w="1940" w:type="dxa"/>
            <w:vAlign w:val="bottom"/>
            <w:tcBorders>
              <w:left w:val="single" w:sz="8" w:color="auto"/>
              <w:right w:val="single" w:sz="8" w:color="auto"/>
            </w:tcBorders>
            <w:vMerge w:val="continue"/>
          </w:tcPr>
          <w:p>
            <w:pPr>
              <w:spacing w:after="0"/>
              <w:rPr>
                <w:sz w:val="17"/>
                <w:szCs w:val="17"/>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2,217,866</w:t>
            </w:r>
          </w:p>
        </w:tc>
        <w:tc>
          <w:tcPr>
            <w:tcW w:w="8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198"/>
        </w:trPr>
        <w:tc>
          <w:tcPr>
            <w:tcW w:w="1940" w:type="dxa"/>
            <w:vAlign w:val="bottom"/>
            <w:tcBorders>
              <w:left w:val="single" w:sz="8" w:color="auto"/>
              <w:right w:val="single" w:sz="8" w:color="auto"/>
            </w:tcBorders>
            <w:vMerge w:val="continue"/>
          </w:tcPr>
          <w:p>
            <w:pPr>
              <w:spacing w:after="0"/>
              <w:rPr>
                <w:sz w:val="17"/>
                <w:szCs w:val="17"/>
                <w:color w:val="auto"/>
              </w:rPr>
            </w:pPr>
          </w:p>
        </w:tc>
        <w:tc>
          <w:tcPr>
            <w:tcW w:w="11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1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198"/>
        </w:trPr>
        <w:tc>
          <w:tcPr>
            <w:tcW w:w="1940" w:type="dxa"/>
            <w:vAlign w:val="bottom"/>
            <w:tcBorders>
              <w:left w:val="single" w:sz="8" w:color="auto"/>
              <w:right w:val="single" w:sz="8" w:color="auto"/>
            </w:tcBorders>
            <w:vMerge w:val="continue"/>
          </w:tcPr>
          <w:p>
            <w:pPr>
              <w:spacing w:after="0"/>
              <w:rPr>
                <w:sz w:val="17"/>
                <w:szCs w:val="17"/>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8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198"/>
        </w:trPr>
        <w:tc>
          <w:tcPr>
            <w:tcW w:w="1940" w:type="dxa"/>
            <w:vAlign w:val="bottom"/>
            <w:tcBorders>
              <w:left w:val="single" w:sz="8" w:color="auto"/>
              <w:right w:val="single" w:sz="8" w:color="auto"/>
            </w:tcBorders>
            <w:vMerge w:val="continue"/>
          </w:tcPr>
          <w:p>
            <w:pPr>
              <w:spacing w:after="0"/>
              <w:rPr>
                <w:sz w:val="17"/>
                <w:szCs w:val="17"/>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8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1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CUSIP No. 00404A109</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13D</w:t>
            </w:r>
          </w:p>
        </w:tc>
        <w:tc>
          <w:tcPr>
            <w:tcW w:w="8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1</w:t>
            </w:r>
          </w:p>
        </w:tc>
        <w:tc>
          <w:tcPr>
            <w:tcW w:w="9300" w:type="dxa"/>
            <w:vAlign w:val="bottom"/>
            <w:tcBorders>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right w:val="single" w:sz="8" w:color="auto"/>
            </w:tcBorders>
          </w:tcPr>
          <w:p>
            <w:pPr>
              <w:spacing w:after="0"/>
              <w:rPr>
                <w:sz w:val="20"/>
                <w:szCs w:val="20"/>
                <w:color w:val="auto"/>
              </w:rPr>
            </w:pP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P2 Capital Master Fund VI, L.P.</w:t>
            </w:r>
          </w:p>
        </w:tc>
        <w:tc>
          <w:tcPr>
            <w:tcW w:w="0" w:type="dxa"/>
            <w:vAlign w:val="bottom"/>
          </w:tcPr>
          <w:p>
            <w:pPr>
              <w:spacing w:after="0"/>
              <w:rPr>
                <w:sz w:val="1"/>
                <w:szCs w:val="1"/>
                <w:color w:val="auto"/>
              </w:rPr>
            </w:pPr>
          </w:p>
        </w:tc>
      </w:tr>
      <w:tr>
        <w:trPr>
          <w:trHeight w:val="414"/>
        </w:trPr>
        <w:tc>
          <w:tcPr>
            <w:tcW w:w="1940" w:type="dxa"/>
            <w:vAlign w:val="bottom"/>
            <w:tcBorders>
              <w:left w:val="single" w:sz="8" w:color="auto"/>
              <w:right w:val="single" w:sz="8" w:color="auto"/>
            </w:tcBorders>
          </w:tcPr>
          <w:p>
            <w:pPr>
              <w:spacing w:after="0"/>
              <w:rPr>
                <w:sz w:val="24"/>
                <w:szCs w:val="24"/>
                <w:color w:val="auto"/>
              </w:rPr>
            </w:pP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27-2915390</w:t>
            </w:r>
          </w:p>
        </w:tc>
        <w:tc>
          <w:tcPr>
            <w:tcW w:w="8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3"/>
        </w:trPr>
        <w:tc>
          <w:tcPr>
            <w:tcW w:w="194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4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93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930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198"/>
        </w:trPr>
        <w:tc>
          <w:tcPr>
            <w:tcW w:w="1940" w:type="dxa"/>
            <w:vAlign w:val="bottom"/>
            <w:tcBorders>
              <w:left w:val="single" w:sz="8" w:color="auto"/>
              <w:right w:val="single" w:sz="8" w:color="auto"/>
            </w:tcBorders>
            <w:vMerge w:val="continue"/>
          </w:tcPr>
          <w:p>
            <w:pPr>
              <w:spacing w:after="0"/>
              <w:rPr>
                <w:sz w:val="17"/>
                <w:szCs w:val="17"/>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8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96"/>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71"/>
        </w:trPr>
        <w:tc>
          <w:tcPr>
            <w:tcW w:w="1940" w:type="dxa"/>
            <w:vAlign w:val="bottom"/>
            <w:tcBorders>
              <w:left w:val="single" w:sz="8" w:color="auto"/>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8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bottom w:val="single" w:sz="8" w:color="auto"/>
              <w:right w:val="single" w:sz="8" w:color="auto"/>
            </w:tcBorders>
          </w:tcPr>
          <w:p>
            <w:pPr>
              <w:spacing w:after="0"/>
              <w:rPr>
                <w:sz w:val="20"/>
                <w:szCs w:val="20"/>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4"/>
        </w:trPr>
        <w:tc>
          <w:tcPr>
            <w:tcW w:w="1940" w:type="dxa"/>
            <w:vAlign w:val="bottom"/>
            <w:tcBorders>
              <w:left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1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8</w:t>
            </w:r>
          </w:p>
        </w:tc>
        <w:tc>
          <w:tcPr>
            <w:tcW w:w="81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2,095,754</w:t>
            </w:r>
          </w:p>
        </w:tc>
        <w:tc>
          <w:tcPr>
            <w:tcW w:w="0" w:type="dxa"/>
            <w:vAlign w:val="bottom"/>
          </w:tcPr>
          <w:p>
            <w:pPr>
              <w:spacing w:after="0"/>
              <w:rPr>
                <w:sz w:val="1"/>
                <w:szCs w:val="1"/>
                <w:color w:val="auto"/>
              </w:rPr>
            </w:pPr>
          </w:p>
        </w:tc>
      </w:tr>
      <w:tr>
        <w:trPr>
          <w:trHeight w:val="36"/>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120" w:type="dxa"/>
            <w:vAlign w:val="bottom"/>
            <w:tcBorders>
              <w:bottom w:val="single" w:sz="8" w:color="auto"/>
              <w:right w:val="single" w:sz="8" w:color="auto"/>
            </w:tcBorders>
          </w:tcPr>
          <w:p>
            <w:pPr>
              <w:spacing w:after="0"/>
              <w:rPr>
                <w:sz w:val="3"/>
                <w:szCs w:val="3"/>
                <w:color w:val="auto"/>
              </w:rPr>
            </w:pPr>
          </w:p>
        </w:tc>
        <w:tc>
          <w:tcPr>
            <w:tcW w:w="8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940" w:type="dxa"/>
            <w:vAlign w:val="bottom"/>
            <w:tcBorders>
              <w:left w:val="single" w:sz="8" w:color="auto"/>
              <w:right w:val="single" w:sz="8" w:color="auto"/>
            </w:tcBorders>
            <w:vMerge w:val="continue"/>
          </w:tcPr>
          <w:p>
            <w:pPr>
              <w:spacing w:after="0"/>
              <w:rPr>
                <w:sz w:val="13"/>
                <w:szCs w:val="13"/>
                <w:color w:val="auto"/>
              </w:rPr>
            </w:pPr>
          </w:p>
        </w:tc>
        <w:tc>
          <w:tcPr>
            <w:tcW w:w="11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9</w:t>
            </w:r>
          </w:p>
        </w:tc>
        <w:tc>
          <w:tcPr>
            <w:tcW w:w="818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120" w:type="dxa"/>
            <w:vAlign w:val="bottom"/>
            <w:tcBorders>
              <w:bottom w:val="single" w:sz="8" w:color="auto"/>
              <w:right w:val="single" w:sz="8" w:color="auto"/>
            </w:tcBorders>
          </w:tcPr>
          <w:p>
            <w:pPr>
              <w:spacing w:after="0"/>
              <w:rPr>
                <w:sz w:val="23"/>
                <w:szCs w:val="23"/>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2,095,754</w:t>
            </w: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AGGREGATE</w:t>
            </w: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2,095,754</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0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1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CUSIP No. 00404A109</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13D</w:t>
            </w:r>
          </w:p>
        </w:tc>
        <w:tc>
          <w:tcPr>
            <w:tcW w:w="8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1</w:t>
            </w:r>
          </w:p>
        </w:tc>
        <w:tc>
          <w:tcPr>
            <w:tcW w:w="9300" w:type="dxa"/>
            <w:vAlign w:val="bottom"/>
            <w:tcBorders>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right w:val="single" w:sz="8" w:color="auto"/>
            </w:tcBorders>
          </w:tcPr>
          <w:p>
            <w:pPr>
              <w:spacing w:after="0"/>
              <w:rPr>
                <w:sz w:val="20"/>
                <w:szCs w:val="20"/>
                <w:color w:val="auto"/>
              </w:rPr>
            </w:pP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P2 Capital Master Fund XII, L.P.</w:t>
            </w:r>
          </w:p>
        </w:tc>
        <w:tc>
          <w:tcPr>
            <w:tcW w:w="0" w:type="dxa"/>
            <w:vAlign w:val="bottom"/>
          </w:tcPr>
          <w:p>
            <w:pPr>
              <w:spacing w:after="0"/>
              <w:rPr>
                <w:sz w:val="1"/>
                <w:szCs w:val="1"/>
                <w:color w:val="auto"/>
              </w:rPr>
            </w:pPr>
          </w:p>
        </w:tc>
      </w:tr>
      <w:tr>
        <w:trPr>
          <w:trHeight w:val="414"/>
        </w:trPr>
        <w:tc>
          <w:tcPr>
            <w:tcW w:w="1940" w:type="dxa"/>
            <w:vAlign w:val="bottom"/>
            <w:tcBorders>
              <w:left w:val="single" w:sz="8" w:color="auto"/>
              <w:right w:val="single" w:sz="8" w:color="auto"/>
            </w:tcBorders>
          </w:tcPr>
          <w:p>
            <w:pPr>
              <w:spacing w:after="0"/>
              <w:rPr>
                <w:sz w:val="24"/>
                <w:szCs w:val="24"/>
                <w:color w:val="auto"/>
              </w:rPr>
            </w:pP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81-3876089</w:t>
            </w:r>
          </w:p>
        </w:tc>
        <w:tc>
          <w:tcPr>
            <w:tcW w:w="8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3"/>
        </w:trPr>
        <w:tc>
          <w:tcPr>
            <w:tcW w:w="194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4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93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930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198"/>
        </w:trPr>
        <w:tc>
          <w:tcPr>
            <w:tcW w:w="1940" w:type="dxa"/>
            <w:vAlign w:val="bottom"/>
            <w:tcBorders>
              <w:left w:val="single" w:sz="8" w:color="auto"/>
              <w:right w:val="single" w:sz="8" w:color="auto"/>
            </w:tcBorders>
            <w:vMerge w:val="continue"/>
          </w:tcPr>
          <w:p>
            <w:pPr>
              <w:spacing w:after="0"/>
              <w:rPr>
                <w:sz w:val="17"/>
                <w:szCs w:val="17"/>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8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96"/>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71"/>
        </w:trPr>
        <w:tc>
          <w:tcPr>
            <w:tcW w:w="1940" w:type="dxa"/>
            <w:vAlign w:val="bottom"/>
            <w:tcBorders>
              <w:left w:val="single" w:sz="8" w:color="auto"/>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8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bottom w:val="single" w:sz="8" w:color="auto"/>
              <w:right w:val="single" w:sz="8" w:color="auto"/>
            </w:tcBorders>
          </w:tcPr>
          <w:p>
            <w:pPr>
              <w:spacing w:after="0"/>
              <w:rPr>
                <w:sz w:val="20"/>
                <w:szCs w:val="20"/>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4"/>
        </w:trPr>
        <w:tc>
          <w:tcPr>
            <w:tcW w:w="1940" w:type="dxa"/>
            <w:vAlign w:val="bottom"/>
            <w:tcBorders>
              <w:left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1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8</w:t>
            </w:r>
          </w:p>
        </w:tc>
        <w:tc>
          <w:tcPr>
            <w:tcW w:w="81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120" w:type="dxa"/>
            <w:vAlign w:val="bottom"/>
            <w:tcBorders>
              <w:bottom w:val="single" w:sz="8" w:color="auto"/>
              <w:right w:val="single" w:sz="8" w:color="auto"/>
            </w:tcBorders>
          </w:tcPr>
          <w:p>
            <w:pPr>
              <w:spacing w:after="0"/>
              <w:rPr>
                <w:sz w:val="3"/>
                <w:szCs w:val="3"/>
                <w:color w:val="auto"/>
              </w:rPr>
            </w:pPr>
          </w:p>
        </w:tc>
        <w:tc>
          <w:tcPr>
            <w:tcW w:w="8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940" w:type="dxa"/>
            <w:vAlign w:val="bottom"/>
            <w:tcBorders>
              <w:left w:val="single" w:sz="8" w:color="auto"/>
              <w:right w:val="single" w:sz="8" w:color="auto"/>
            </w:tcBorders>
            <w:vMerge w:val="continue"/>
          </w:tcPr>
          <w:p>
            <w:pPr>
              <w:spacing w:after="0"/>
              <w:rPr>
                <w:sz w:val="13"/>
                <w:szCs w:val="13"/>
                <w:color w:val="auto"/>
              </w:rPr>
            </w:pPr>
          </w:p>
        </w:tc>
        <w:tc>
          <w:tcPr>
            <w:tcW w:w="11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9</w:t>
            </w:r>
          </w:p>
        </w:tc>
        <w:tc>
          <w:tcPr>
            <w:tcW w:w="818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120" w:type="dxa"/>
            <w:vAlign w:val="bottom"/>
            <w:tcBorders>
              <w:bottom w:val="single" w:sz="8" w:color="auto"/>
              <w:right w:val="single" w:sz="8" w:color="auto"/>
            </w:tcBorders>
          </w:tcPr>
          <w:p>
            <w:pPr>
              <w:spacing w:after="0"/>
              <w:rPr>
                <w:sz w:val="23"/>
                <w:szCs w:val="23"/>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AGGREGATE</w:t>
            </w: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396"/>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1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CUSIP No. 00404A109</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13D</w:t>
            </w:r>
          </w:p>
        </w:tc>
        <w:tc>
          <w:tcPr>
            <w:tcW w:w="8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1</w:t>
            </w:r>
          </w:p>
        </w:tc>
        <w:tc>
          <w:tcPr>
            <w:tcW w:w="9300" w:type="dxa"/>
            <w:vAlign w:val="bottom"/>
            <w:tcBorders>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right w:val="single" w:sz="8" w:color="auto"/>
            </w:tcBorders>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Claus Moller</w:t>
            </w:r>
          </w:p>
        </w:tc>
        <w:tc>
          <w:tcPr>
            <w:tcW w:w="8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40" w:type="dxa"/>
            <w:vAlign w:val="bottom"/>
            <w:tcBorders>
              <w:left w:val="single" w:sz="8" w:color="auto"/>
              <w:right w:val="single" w:sz="8" w:color="auto"/>
            </w:tcBorders>
          </w:tcPr>
          <w:p>
            <w:pPr>
              <w:spacing w:after="0"/>
              <w:rPr>
                <w:sz w:val="24"/>
                <w:szCs w:val="24"/>
                <w:color w:val="auto"/>
              </w:rPr>
            </w:pP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93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3"/>
        </w:trPr>
        <w:tc>
          <w:tcPr>
            <w:tcW w:w="194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4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93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930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96"/>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8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71"/>
        </w:trPr>
        <w:tc>
          <w:tcPr>
            <w:tcW w:w="1940" w:type="dxa"/>
            <w:vAlign w:val="bottom"/>
            <w:tcBorders>
              <w:left w:val="single" w:sz="8" w:color="auto"/>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8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bottom w:val="single" w:sz="8" w:color="auto"/>
              <w:right w:val="single" w:sz="8" w:color="auto"/>
            </w:tcBorders>
          </w:tcPr>
          <w:p>
            <w:pPr>
              <w:spacing w:after="0"/>
              <w:rPr>
                <w:sz w:val="20"/>
                <w:szCs w:val="20"/>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4"/>
        </w:trPr>
        <w:tc>
          <w:tcPr>
            <w:tcW w:w="1940" w:type="dxa"/>
            <w:vAlign w:val="bottom"/>
            <w:tcBorders>
              <w:left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1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8</w:t>
            </w:r>
          </w:p>
        </w:tc>
        <w:tc>
          <w:tcPr>
            <w:tcW w:w="8180" w:type="dxa"/>
            <w:vAlign w:val="bottom"/>
            <w:tcBorders>
              <w:right w:val="single" w:sz="8" w:color="auto"/>
            </w:tcBorders>
          </w:tcPr>
          <w:p>
            <w:pPr>
              <w:ind w:left="60"/>
              <w:spacing w:after="0" w:line="174"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4,313,620</w:t>
            </w:r>
          </w:p>
        </w:tc>
        <w:tc>
          <w:tcPr>
            <w:tcW w:w="0" w:type="dxa"/>
            <w:vAlign w:val="bottom"/>
          </w:tcPr>
          <w:p>
            <w:pPr>
              <w:spacing w:after="0"/>
              <w:rPr>
                <w:sz w:val="1"/>
                <w:szCs w:val="1"/>
                <w:color w:val="auto"/>
              </w:rPr>
            </w:pPr>
          </w:p>
        </w:tc>
      </w:tr>
      <w:tr>
        <w:trPr>
          <w:trHeight w:val="36"/>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120" w:type="dxa"/>
            <w:vAlign w:val="bottom"/>
            <w:tcBorders>
              <w:bottom w:val="single" w:sz="8" w:color="auto"/>
              <w:right w:val="single" w:sz="8" w:color="auto"/>
            </w:tcBorders>
          </w:tcPr>
          <w:p>
            <w:pPr>
              <w:spacing w:after="0"/>
              <w:rPr>
                <w:sz w:val="3"/>
                <w:szCs w:val="3"/>
                <w:color w:val="auto"/>
              </w:rPr>
            </w:pPr>
          </w:p>
        </w:tc>
        <w:tc>
          <w:tcPr>
            <w:tcW w:w="8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940" w:type="dxa"/>
            <w:vAlign w:val="bottom"/>
            <w:tcBorders>
              <w:left w:val="single" w:sz="8" w:color="auto"/>
              <w:right w:val="single" w:sz="8" w:color="auto"/>
            </w:tcBorders>
            <w:vMerge w:val="continue"/>
          </w:tcPr>
          <w:p>
            <w:pPr>
              <w:spacing w:after="0"/>
              <w:rPr>
                <w:sz w:val="13"/>
                <w:szCs w:val="13"/>
                <w:color w:val="auto"/>
              </w:rPr>
            </w:pPr>
          </w:p>
        </w:tc>
        <w:tc>
          <w:tcPr>
            <w:tcW w:w="11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9</w:t>
            </w:r>
          </w:p>
        </w:tc>
        <w:tc>
          <w:tcPr>
            <w:tcW w:w="8180" w:type="dxa"/>
            <w:vAlign w:val="bottom"/>
            <w:tcBorders>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12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120" w:type="dxa"/>
            <w:vAlign w:val="bottom"/>
            <w:tcBorders>
              <w:bottom w:val="single" w:sz="8" w:color="auto"/>
              <w:right w:val="single" w:sz="8" w:color="auto"/>
            </w:tcBorders>
          </w:tcPr>
          <w:p>
            <w:pPr>
              <w:spacing w:after="0"/>
              <w:rPr>
                <w:sz w:val="23"/>
                <w:szCs w:val="23"/>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4,313,620</w:t>
            </w: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AGGREGATE</w:t>
            </w:r>
          </w:p>
        </w:tc>
        <w:tc>
          <w:tcPr>
            <w:tcW w:w="8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4,313,620</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396"/>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9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0"/>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8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1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Schedule 13D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filed September 20, 2019, by and on behalf of P2 Capital Master Fund I, L.P., a Cayman Islands exempted limited partnership (“</w:t>
      </w:r>
      <w:r>
        <w:rPr>
          <w:rFonts w:ascii="Times New Roman" w:cs="Times New Roman" w:eastAsia="Times New Roman" w:hAnsi="Times New Roman"/>
          <w:sz w:val="18"/>
          <w:szCs w:val="18"/>
          <w:u w:val="single" w:color="auto"/>
          <w:color w:val="auto"/>
        </w:rPr>
        <w:t>Master Fund I</w:t>
      </w:r>
      <w:r>
        <w:rPr>
          <w:rFonts w:ascii="Times New Roman" w:cs="Times New Roman" w:eastAsia="Times New Roman" w:hAnsi="Times New Roman"/>
          <w:sz w:val="18"/>
          <w:szCs w:val="18"/>
          <w:color w:val="auto"/>
        </w:rPr>
        <w:t>”), P2 Capital Master Fund VI, L.P., a Delaware limited partnership (“</w:t>
      </w:r>
      <w:r>
        <w:rPr>
          <w:rFonts w:ascii="Times New Roman" w:cs="Times New Roman" w:eastAsia="Times New Roman" w:hAnsi="Times New Roman"/>
          <w:sz w:val="18"/>
          <w:szCs w:val="18"/>
          <w:u w:val="single" w:color="auto"/>
          <w:color w:val="auto"/>
        </w:rPr>
        <w:t>Master Fund VI</w:t>
      </w:r>
      <w:r>
        <w:rPr>
          <w:rFonts w:ascii="Times New Roman" w:cs="Times New Roman" w:eastAsia="Times New Roman" w:hAnsi="Times New Roman"/>
          <w:sz w:val="18"/>
          <w:szCs w:val="18"/>
          <w:color w:val="auto"/>
        </w:rPr>
        <w:t>”), P2 Capital Master Fund XII, L.P., a Delaware limited partnership (“</w:t>
      </w:r>
      <w:r>
        <w:rPr>
          <w:rFonts w:ascii="Times New Roman" w:cs="Times New Roman" w:eastAsia="Times New Roman" w:hAnsi="Times New Roman"/>
          <w:sz w:val="18"/>
          <w:szCs w:val="18"/>
          <w:u w:val="single" w:color="auto"/>
          <w:color w:val="auto"/>
        </w:rPr>
        <w:t>Master Fund XII</w:t>
      </w:r>
      <w:r>
        <w:rPr>
          <w:rFonts w:ascii="Times New Roman" w:cs="Times New Roman" w:eastAsia="Times New Roman" w:hAnsi="Times New Roman"/>
          <w:sz w:val="18"/>
          <w:szCs w:val="18"/>
          <w:color w:val="auto"/>
        </w:rPr>
        <w:t>” and, together with Master Fund I and Master Fund VI,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P2 Capital Partners, LLC, a Delaware limited liability company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Claus Moller, a citizen of Denmark (all the preceding persons are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relating to the shares of Common Stock, $.01 par value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Acadia Healthcare Company,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Information reported in the Schedule 13D remains in effect except to the extent that it is amended, restated or superseded by information contained in this Amendment. Capitalized terms used herein but not otherwise defined in this Amendment shall have the meanings ascribed to them in the Schedule 13D.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is hereby amended and replaced by the following: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source of funds for the purchases of the Shares reported on herein was cash on hand and the general working capital of the respective purchasers, which may, at any given time, include margin loans made by brokerage firms in the ordinary course of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11, 2020, Master Fund I had invested $66,430,134 (excluding brokerage commissions) in the Shares of the Issuer, Master Fund VI had invested $62,850,415 (excluding brokerage commissions) in the Shares of the Issuer, and Master Fund XII had invested $0 in the Shares of the Issuer.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Issuer.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(b): The responses of the Reporting Persons to Rows (7) through (13) of the cover pages of this Statement on Schedule 13D are incorporated herein by reference. On December 10, 2020, Master Fund I delivered 590,000 Shares to its broker in connection with settlement of open market sales previously executed. On December 10, 2020, Master Fund VI delivered 500,000 Shares to its broker in connection with settlement of open market sales previously executed. As of the close of business on December 11, 2020, Master Fund I beneficially owned an aggregate of 2,217,866 Shares, representing approximately 2.5% of the outstanding Shares, Master Fund VI beneficially owned an aggregate of 2,095,754 Shares, representing approximately 2.4% of the outstanding Shares, and Master Fund XII beneficially owned 0 Shares, representing 0.0% of the outstanding Shares. As of the close of business on December 11, 2020, each of the Manager and Mr. Moller may be deemed to beneficially own 4,313,620 Shares, in the aggregate, which represented approximately 4.8% of the outstanding Shares. All percentages set forth in this paragraph are based on 88,991,252 shares of Common Stock, $.01 par value outstanding (as of October 30, 2020), which number of Shares is based upon the number of shares of Common Stock, $.01 par value reported as outstanding at October 30, 2020 in the Issuer’s Report on Form 10-Q filed on October 30, 2020 for the quarter ended September 30, 2020.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Reporting Persons owns less than 5.0% of the outstanding Shares and therefore the Reporting Persons are no longer required to file amendments to this Schedule 13D.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Funds is the direct owner of the Shares reported owned by it. For purposes of disclosing the number of Shares beneficially owned by each of the Reporting Persons, the Manager, as investment manager of the Funds, and Mr. Moller, as managing member of the Manager, may be deemed to own beneficially (as that term is defined in Rule 13d-3 under the Securities Exchange Act of 1934) all Shares that are owned beneficially and directly by the Funds. Each of the Manager and Mr. Moller disclaims beneficial ownership of such Shares for all other purposes. Master Fund I and Master Fund VI each disclaim beneficial ownership of the Shares held directly by the other.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Except as set forth above or in Schedule I, no Reporting Person has effected any transaction in the Shares during the 60 days preceding the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340" w:right="1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December 11,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P2 CAPITAL MASTER FUND I,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P2 CAPITAL MASTER FUND VI, L.P.</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P2 Capital Partners,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P2 Capital Partners, LLC,</w:t>
            </w:r>
          </w:p>
        </w:tc>
      </w:tr>
      <w:tr>
        <w:trPr>
          <w:trHeight w:val="234"/>
        </w:trPr>
        <w:tc>
          <w:tcPr>
            <w:tcW w:w="5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 Investment Manager</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as Investment Manager</w:t>
            </w: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s/Claus Moller</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s/Claus Moller</w:t>
            </w:r>
          </w:p>
        </w:tc>
      </w:tr>
      <w:tr>
        <w:trPr>
          <w:trHeight w:val="191"/>
        </w:trPr>
        <w:tc>
          <w:tcPr>
            <w:tcW w:w="920" w:type="dxa"/>
            <w:vAlign w:val="bottom"/>
          </w:tcPr>
          <w:p>
            <w:pPr>
              <w:spacing w:after="0"/>
              <w:rPr>
                <w:sz w:val="16"/>
                <w:szCs w:val="16"/>
                <w:color w:val="auto"/>
              </w:rPr>
            </w:pP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Claus Moller</w:t>
            </w:r>
          </w:p>
        </w:tc>
        <w:tc>
          <w:tcPr>
            <w:tcW w:w="1120" w:type="dxa"/>
            <w:vAlign w:val="bottom"/>
          </w:tcPr>
          <w:p>
            <w:pPr>
              <w:spacing w:after="0"/>
              <w:rPr>
                <w:sz w:val="16"/>
                <w:szCs w:val="16"/>
                <w:color w:val="auto"/>
              </w:rPr>
            </w:pP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Claus Moller</w:t>
            </w:r>
          </w:p>
        </w:tc>
      </w:tr>
      <w:tr>
        <w:trPr>
          <w:trHeight w:val="234"/>
        </w:trPr>
        <w:tc>
          <w:tcPr>
            <w:tcW w:w="9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Member</w:t>
            </w:r>
          </w:p>
        </w:tc>
        <w:tc>
          <w:tcPr>
            <w:tcW w:w="11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Member</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P2 CAPITAL MASTER FUND XII,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P2 CAPITAL PARTNERS, LLC</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P2 Capital Partners, LLC,</w:t>
            </w:r>
          </w:p>
        </w:tc>
        <w:tc>
          <w:tcPr>
            <w:tcW w:w="11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4"/>
        </w:trPr>
        <w:tc>
          <w:tcPr>
            <w:tcW w:w="5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 Investment Manager</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s/Claus Moller</w:t>
            </w:r>
          </w:p>
        </w:tc>
      </w:tr>
      <w:tr>
        <w:trPr>
          <w:trHeight w:val="191"/>
        </w:trPr>
        <w:tc>
          <w:tcPr>
            <w:tcW w:w="9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Claus Moller</w:t>
            </w:r>
          </w:p>
        </w:tc>
      </w:tr>
      <w:tr>
        <w:trPr>
          <w:trHeight w:val="234"/>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s/Claus Moller</w:t>
            </w:r>
          </w:p>
        </w:tc>
        <w:tc>
          <w:tcPr>
            <w:tcW w:w="11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Member</w:t>
            </w:r>
          </w:p>
        </w:tc>
      </w:tr>
      <w:tr>
        <w:trPr>
          <w:trHeight w:val="191"/>
        </w:trPr>
        <w:tc>
          <w:tcPr>
            <w:tcW w:w="920" w:type="dxa"/>
            <w:vAlign w:val="bottom"/>
          </w:tcPr>
          <w:p>
            <w:pPr>
              <w:spacing w:after="0"/>
              <w:rPr>
                <w:sz w:val="16"/>
                <w:szCs w:val="16"/>
                <w:color w:val="auto"/>
              </w:rPr>
            </w:pP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Claus Moller</w:t>
            </w:r>
          </w:p>
        </w:tc>
        <w:tc>
          <w:tcPr>
            <w:tcW w:w="1120" w:type="dxa"/>
            <w:vAlign w:val="bottom"/>
          </w:tcPr>
          <w:p>
            <w:pPr>
              <w:spacing w:after="0"/>
              <w:rPr>
                <w:sz w:val="16"/>
                <w:szCs w:val="16"/>
                <w:color w:val="auto"/>
              </w:rPr>
            </w:pPr>
          </w:p>
        </w:tc>
        <w:tc>
          <w:tcPr>
            <w:tcW w:w="4600" w:type="dxa"/>
            <w:vAlign w:val="bottom"/>
          </w:tcPr>
          <w:p>
            <w:pPr>
              <w:spacing w:after="0"/>
              <w:rPr>
                <w:sz w:val="16"/>
                <w:szCs w:val="16"/>
                <w:color w:val="auto"/>
              </w:rPr>
            </w:pPr>
          </w:p>
        </w:tc>
      </w:tr>
      <w:tr>
        <w:trPr>
          <w:trHeight w:val="234"/>
        </w:trPr>
        <w:tc>
          <w:tcPr>
            <w:tcW w:w="9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Member</w:t>
            </w:r>
          </w:p>
        </w:tc>
        <w:tc>
          <w:tcPr>
            <w:tcW w:w="1120" w:type="dxa"/>
            <w:vAlign w:val="bottom"/>
          </w:tcPr>
          <w:p>
            <w:pPr>
              <w:spacing w:after="0"/>
              <w:rPr>
                <w:sz w:val="20"/>
                <w:szCs w:val="20"/>
                <w:color w:val="auto"/>
              </w:rPr>
            </w:pPr>
          </w:p>
        </w:tc>
        <w:tc>
          <w:tcPr>
            <w:tcW w:w="46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 MOLLER</w:t>
      </w:r>
    </w:p>
    <w:p>
      <w:pPr>
        <w:spacing w:after="0" w:line="200" w:lineRule="exact"/>
        <w:rPr>
          <w:sz w:val="20"/>
          <w:szCs w:val="20"/>
          <w:color w:val="auto"/>
        </w:rPr>
      </w:pPr>
    </w:p>
    <w:p>
      <w:pPr>
        <w:spacing w:after="0" w:line="2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s/Claus Moller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2922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 THE PAST SIXTY DAYS BY THE REPORTING PERSONS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transactions with respect to the Common Stock, $.01 par value of the Issuer effected during the past sixty (60) days by any of the Reporting Persons. The purchase and sale transactions occurred on the open market and the reported price per share excludes brokerage commissions.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Shares Purchased/(Sold) by Manager on behalf of Master Fund I</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280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Number of Shares Purchased/(Sold)</w:t>
            </w:r>
          </w:p>
        </w:tc>
        <w:tc>
          <w:tcPr>
            <w:tcW w:w="160" w:type="dxa"/>
            <w:vAlign w:val="bottom"/>
            <w:tcBorders>
              <w:top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2"/>
          </w:tcPr>
          <w:p>
            <w:pPr>
              <w:jc w:val="center"/>
              <w:ind w:right="920"/>
              <w:spacing w:after="0" w:line="189" w:lineRule="exact"/>
              <w:rPr>
                <w:sz w:val="20"/>
                <w:szCs w:val="20"/>
                <w:color w:val="auto"/>
              </w:rPr>
            </w:pPr>
            <w:r>
              <w:rPr>
                <w:rFonts w:ascii="Times New Roman" w:cs="Times New Roman" w:eastAsia="Times New Roman" w:hAnsi="Times New Roman"/>
                <w:sz w:val="18"/>
                <w:szCs w:val="18"/>
                <w:color w:val="auto"/>
                <w:w w:val="99"/>
              </w:rPr>
              <w:t>Price Per Share</w:t>
            </w:r>
          </w:p>
        </w:tc>
        <w:tc>
          <w:tcPr>
            <w:tcW w:w="400" w:type="dxa"/>
            <w:vAlign w:val="bottom"/>
            <w:tcBorders>
              <w:top w:val="single" w:sz="8" w:color="auto"/>
            </w:tcBorders>
          </w:tcPr>
          <w:p>
            <w:pPr>
              <w:spacing w:after="0"/>
              <w:rPr>
                <w:sz w:val="16"/>
                <w:szCs w:val="16"/>
                <w:color w:val="auto"/>
              </w:rPr>
            </w:pPr>
          </w:p>
        </w:tc>
        <w:tc>
          <w:tcPr>
            <w:tcW w:w="3060" w:type="dxa"/>
            <w:vAlign w:val="bottom"/>
            <w:tcBorders>
              <w:top w:val="single" w:sz="8" w:color="auto"/>
              <w:right w:val="single" w:sz="8" w:color="auto"/>
            </w:tcBorders>
            <w:gridSpan w:val="3"/>
          </w:tcPr>
          <w:p>
            <w:pPr>
              <w:ind w:left="1140"/>
              <w:spacing w:after="0" w:line="189" w:lineRule="exact"/>
              <w:rPr>
                <w:sz w:val="20"/>
                <w:szCs w:val="20"/>
                <w:color w:val="auto"/>
              </w:rPr>
            </w:pPr>
            <w:r>
              <w:rPr>
                <w:rFonts w:ascii="Times New Roman" w:cs="Times New Roman" w:eastAsia="Times New Roman" w:hAnsi="Times New Roman"/>
                <w:sz w:val="18"/>
                <w:szCs w:val="18"/>
                <w:color w:val="auto"/>
              </w:rPr>
              <w:t>Date</w:t>
            </w:r>
          </w:p>
        </w:tc>
      </w:tr>
      <w:tr>
        <w:trPr>
          <w:trHeight w:val="155"/>
        </w:trPr>
        <w:tc>
          <w:tcPr>
            <w:tcW w:w="120" w:type="dxa"/>
            <w:vAlign w:val="bottom"/>
            <w:tcBorders>
              <w:left w:val="single" w:sz="8" w:color="auto"/>
              <w:bottom w:val="single" w:sz="8" w:color="auto"/>
            </w:tcBorders>
          </w:tcPr>
          <w:p>
            <w:pPr>
              <w:spacing w:after="0"/>
              <w:rPr>
                <w:sz w:val="13"/>
                <w:szCs w:val="13"/>
                <w:color w:val="auto"/>
              </w:rPr>
            </w:pPr>
          </w:p>
        </w:tc>
        <w:tc>
          <w:tcPr>
            <w:tcW w:w="26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920" w:type="dxa"/>
            <w:vAlign w:val="bottom"/>
            <w:tcBorders>
              <w:left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(10,547)</w:t>
            </w: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32.6998</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10/21/20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228"/>
        </w:trPr>
        <w:tc>
          <w:tcPr>
            <w:tcW w:w="2920" w:type="dxa"/>
            <w:vAlign w:val="bottom"/>
            <w:tcBorders>
              <w:left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w w:val="99"/>
              </w:rPr>
              <w:t>(227,141)</w:t>
            </w: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31.4501</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10/22/20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228"/>
        </w:trPr>
        <w:tc>
          <w:tcPr>
            <w:tcW w:w="2720" w:type="dxa"/>
            <w:vAlign w:val="bottom"/>
            <w:tcBorders>
              <w:left w:val="single" w:sz="8" w:color="auto"/>
            </w:tcBorders>
            <w:gridSpan w:val="2"/>
          </w:tcPr>
          <w:p>
            <w:pPr>
              <w:jc w:val="center"/>
              <w:ind w:left="205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42.4014</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11/30/20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228"/>
        </w:trPr>
        <w:tc>
          <w:tcPr>
            <w:tcW w:w="2720" w:type="dxa"/>
            <w:vAlign w:val="bottom"/>
            <w:tcBorders>
              <w:left w:val="single" w:sz="8" w:color="auto"/>
            </w:tcBorders>
            <w:gridSpan w:val="2"/>
          </w:tcPr>
          <w:p>
            <w:pPr>
              <w:jc w:val="center"/>
              <w:ind w:left="205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42.5036</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12/1/20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228"/>
        </w:trPr>
        <w:tc>
          <w:tcPr>
            <w:tcW w:w="2720" w:type="dxa"/>
            <w:vAlign w:val="bottom"/>
            <w:tcBorders>
              <w:left w:val="single" w:sz="8" w:color="auto"/>
            </w:tcBorders>
            <w:gridSpan w:val="2"/>
          </w:tcPr>
          <w:p>
            <w:pPr>
              <w:jc w:val="center"/>
              <w:ind w:left="205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42.1088</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12/2/20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228"/>
        </w:trPr>
        <w:tc>
          <w:tcPr>
            <w:tcW w:w="2720" w:type="dxa"/>
            <w:vAlign w:val="bottom"/>
            <w:tcBorders>
              <w:left w:val="single" w:sz="8" w:color="auto"/>
            </w:tcBorders>
            <w:gridSpan w:val="2"/>
          </w:tcPr>
          <w:p>
            <w:pPr>
              <w:jc w:val="center"/>
              <w:ind w:left="2050"/>
              <w:spacing w:after="0"/>
              <w:rPr>
                <w:sz w:val="20"/>
                <w:szCs w:val="20"/>
                <w:color w:val="auto"/>
              </w:rPr>
            </w:pPr>
            <w:r>
              <w:rPr>
                <w:rFonts w:ascii="Times New Roman" w:cs="Times New Roman" w:eastAsia="Times New Roman" w:hAnsi="Times New Roman"/>
                <w:sz w:val="18"/>
                <w:szCs w:val="18"/>
                <w:color w:val="auto"/>
              </w:rPr>
              <w:t>(6,819)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41.9287</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12/3/20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228"/>
        </w:trPr>
        <w:tc>
          <w:tcPr>
            <w:tcW w:w="2720" w:type="dxa"/>
            <w:vAlign w:val="bottom"/>
            <w:tcBorders>
              <w:left w:val="single" w:sz="8" w:color="auto"/>
            </w:tcBorders>
            <w:gridSpan w:val="2"/>
          </w:tcPr>
          <w:p>
            <w:pPr>
              <w:jc w:val="center"/>
              <w:ind w:left="2050"/>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42.4333</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12/4/20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228"/>
        </w:trPr>
        <w:tc>
          <w:tcPr>
            <w:tcW w:w="2920" w:type="dxa"/>
            <w:vAlign w:val="bottom"/>
            <w:tcBorders>
              <w:left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(56,856)</w:t>
            </w: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47.5696</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12/10/20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385"/>
        </w:trPr>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gridSpan w:val="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Shares Purchased/(Sold) by Manager on behalf of Master Fund VI</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7"/>
        </w:trPr>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2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Number of Shares Purchased/(Sold)</w:t>
            </w:r>
          </w:p>
        </w:tc>
        <w:tc>
          <w:tcPr>
            <w:tcW w:w="160" w:type="dxa"/>
            <w:vAlign w:val="bottom"/>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Borders>
              <w:right w:val="single" w:sz="8" w:color="auto"/>
            </w:tcBorders>
            <w:gridSpan w:val="2"/>
          </w:tcPr>
          <w:p>
            <w:pPr>
              <w:jc w:val="center"/>
              <w:ind w:right="920"/>
              <w:spacing w:after="0" w:line="169" w:lineRule="exact"/>
              <w:rPr>
                <w:sz w:val="20"/>
                <w:szCs w:val="20"/>
                <w:color w:val="auto"/>
              </w:rPr>
            </w:pPr>
            <w:r>
              <w:rPr>
                <w:rFonts w:ascii="Times New Roman" w:cs="Times New Roman" w:eastAsia="Times New Roman" w:hAnsi="Times New Roman"/>
                <w:sz w:val="18"/>
                <w:szCs w:val="18"/>
                <w:color w:val="auto"/>
                <w:w w:val="99"/>
              </w:rPr>
              <w:t>Price Per Share</w:t>
            </w:r>
          </w:p>
        </w:tc>
        <w:tc>
          <w:tcPr>
            <w:tcW w:w="400" w:type="dxa"/>
            <w:vAlign w:val="bottom"/>
          </w:tcPr>
          <w:p>
            <w:pPr>
              <w:spacing w:after="0"/>
              <w:rPr>
                <w:sz w:val="14"/>
                <w:szCs w:val="14"/>
                <w:color w:val="auto"/>
              </w:rPr>
            </w:pPr>
          </w:p>
        </w:tc>
        <w:tc>
          <w:tcPr>
            <w:tcW w:w="3060" w:type="dxa"/>
            <w:vAlign w:val="bottom"/>
            <w:tcBorders>
              <w:right w:val="single" w:sz="8" w:color="auto"/>
            </w:tcBorders>
            <w:gridSpan w:val="3"/>
          </w:tcPr>
          <w:p>
            <w:pPr>
              <w:ind w:left="1140"/>
              <w:spacing w:after="0" w:line="169" w:lineRule="exact"/>
              <w:rPr>
                <w:sz w:val="20"/>
                <w:szCs w:val="20"/>
                <w:color w:val="auto"/>
              </w:rPr>
            </w:pPr>
            <w:r>
              <w:rPr>
                <w:rFonts w:ascii="Times New Roman" w:cs="Times New Roman" w:eastAsia="Times New Roman" w:hAnsi="Times New Roman"/>
                <w:sz w:val="18"/>
                <w:szCs w:val="18"/>
                <w:color w:val="auto"/>
              </w:rPr>
              <w:t>Date</w:t>
            </w:r>
          </w:p>
        </w:tc>
      </w:tr>
      <w:tr>
        <w:trPr>
          <w:trHeight w:val="156"/>
        </w:trPr>
        <w:tc>
          <w:tcPr>
            <w:tcW w:w="120" w:type="dxa"/>
            <w:vAlign w:val="bottom"/>
            <w:tcBorders>
              <w:left w:val="single" w:sz="8" w:color="auto"/>
              <w:bottom w:val="single" w:sz="8" w:color="auto"/>
            </w:tcBorders>
          </w:tcPr>
          <w:p>
            <w:pPr>
              <w:spacing w:after="0"/>
              <w:rPr>
                <w:sz w:val="13"/>
                <w:szCs w:val="13"/>
                <w:color w:val="auto"/>
              </w:rPr>
            </w:pPr>
          </w:p>
        </w:tc>
        <w:tc>
          <w:tcPr>
            <w:tcW w:w="26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720" w:type="dxa"/>
            <w:vAlign w:val="bottom"/>
            <w:tcBorders>
              <w:left w:val="single" w:sz="8" w:color="auto"/>
            </w:tcBorders>
            <w:gridSpan w:val="2"/>
          </w:tcPr>
          <w:p>
            <w:pPr>
              <w:jc w:val="center"/>
              <w:ind w:left="2050"/>
              <w:spacing w:after="0"/>
              <w:rPr>
                <w:sz w:val="20"/>
                <w:szCs w:val="20"/>
                <w:color w:val="auto"/>
              </w:rPr>
            </w:pPr>
            <w:r>
              <w:rPr>
                <w:rFonts w:ascii="Times New Roman" w:cs="Times New Roman" w:eastAsia="Times New Roman" w:hAnsi="Times New Roman"/>
                <w:sz w:val="18"/>
                <w:szCs w:val="18"/>
                <w:color w:val="auto"/>
              </w:rPr>
              <w:t>(5,274)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32.6998</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10/21/20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228"/>
        </w:trPr>
        <w:tc>
          <w:tcPr>
            <w:tcW w:w="2920" w:type="dxa"/>
            <w:vAlign w:val="bottom"/>
            <w:tcBorders>
              <w:left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w w:val="99"/>
              </w:rPr>
              <w:t>(232,859)</w:t>
            </w: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31.4501</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10/22/20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228"/>
        </w:trPr>
        <w:tc>
          <w:tcPr>
            <w:tcW w:w="2720" w:type="dxa"/>
            <w:vAlign w:val="bottom"/>
            <w:tcBorders>
              <w:left w:val="single" w:sz="8" w:color="auto"/>
            </w:tcBorders>
            <w:gridSpan w:val="2"/>
          </w:tcPr>
          <w:p>
            <w:pPr>
              <w:jc w:val="center"/>
              <w:ind w:left="2050"/>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42.4333</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12/4/20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228"/>
        </w:trPr>
        <w:tc>
          <w:tcPr>
            <w:tcW w:w="2920" w:type="dxa"/>
            <w:vAlign w:val="bottom"/>
            <w:tcBorders>
              <w:left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(85,284)</w:t>
            </w:r>
          </w:p>
        </w:tc>
        <w:tc>
          <w:tcPr>
            <w:tcW w:w="16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47.5696</w:t>
            </w:r>
          </w:p>
        </w:tc>
        <w:tc>
          <w:tcPr>
            <w:tcW w:w="9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6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12/10/20</w:t>
            </w:r>
          </w:p>
        </w:tc>
      </w:tr>
      <w:tr>
        <w:trPr>
          <w:trHeight w:val="117"/>
        </w:trPr>
        <w:tc>
          <w:tcPr>
            <w:tcW w:w="12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r>
      <w:tr>
        <w:trPr>
          <w:trHeight w:val="641"/>
        </w:trPr>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decimal"/>
      <w:start w:val="14"/>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2020-12-11T16:16:14Z</dcterms:created>
  <dcterms:modified xsi:type="dcterms:W3CDTF">2020-12-11T16:16:14Z</dcterms:modified>
</cp:coreProperties>
</file>