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Acadia Healthcare Company,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Khrom Investments Fund, LP</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647,006.00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647,006.00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647,006.00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0.71 %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Khrom Capital Management LLC</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NEW YORK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647,006.00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647,006.00</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647,006.00</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0.71 %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Eric Khrom</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FLORIDA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6,908.00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647,006.00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6,908.00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647,006.00</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653,914.00</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0.72 %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153"/>
        <w:gridCol w:w="8897"/>
        <w:gridCol w:w="155"/>
      </w:tblGrid>
      <w:tr>
        <w:trPr/>
        <w:tc>
          <w:tcPr>
            <w:tcW w:w="1153" w:type="dxa"/>
            <w:tcBorders/>
            <w:vAlign w:val="center"/>
          </w:tcPr>
          <w:p>
            <w:pPr>
              <w:pStyle w:val="TableContents"/>
              <w:bidi w:val="0"/>
              <w:spacing w:before="0" w:after="283"/>
              <w:jc w:val="left"/>
              <w:rPr/>
            </w:pPr>
            <w:r>
              <w:rPr/>
              <w:t>Item 1.</w:t>
            </w:r>
          </w:p>
        </w:tc>
        <w:tc>
          <w:tcPr>
            <w:tcW w:w="889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(a)</w:t>
            </w:r>
          </w:p>
        </w:tc>
        <w:tc>
          <w:tcPr>
            <w:tcW w:w="8897" w:type="dxa"/>
            <w:tcBorders/>
            <w:vAlign w:val="center"/>
          </w:tcPr>
          <w:p>
            <w:pPr>
              <w:pStyle w:val="TableContents"/>
              <w:bidi w:val="0"/>
              <w:jc w:val="left"/>
              <w:rPr/>
            </w:pPr>
            <w:r>
              <w:rPr/>
              <w:t xml:space="preserve">Name of issuer: </w:t>
            </w:r>
          </w:p>
          <w:p>
            <w:pPr>
              <w:pStyle w:val="TableContents"/>
              <w:bidi w:val="0"/>
              <w:spacing w:before="0" w:after="0"/>
              <w:jc w:val="left"/>
              <w:rPr/>
            </w:pPr>
            <w:r>
              <w:rPr/>
              <w:t>Acadia Healthcare Company, Inc.</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(b)</w:t>
            </w:r>
          </w:p>
        </w:tc>
        <w:tc>
          <w:tcPr>
            <w:tcW w:w="8897"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6100 TOWER CIRCLE, SUITE 1000, FRANKLIN, TN, US, 37067</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2.</w:t>
            </w:r>
          </w:p>
        </w:tc>
        <w:tc>
          <w:tcPr>
            <w:tcW w:w="889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(a)</w:t>
            </w:r>
          </w:p>
        </w:tc>
        <w:tc>
          <w:tcPr>
            <w:tcW w:w="8897"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Schedule 13G is being filed on behalf of each of the following persons (collectively, the "Reporting Persons"): (i) Khrom Investments Fund, LP ("Khrom Investments"); (ii) Khrom Capital Management LLC ("Khrom Capital"); and (iii) Mr. Eric Khrom.</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(b)</w:t>
            </w:r>
          </w:p>
        </w:tc>
        <w:tc>
          <w:tcPr>
            <w:tcW w:w="8897"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the principal business office of each of the Reporting Persons is c/o Khrom Capital Management LLC, 1691 Michigan Ave, Suite 240, Miami, FL 33139.</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(c)</w:t>
            </w:r>
          </w:p>
        </w:tc>
        <w:tc>
          <w:tcPr>
            <w:tcW w:w="8897" w:type="dxa"/>
            <w:tcBorders/>
            <w:vAlign w:val="center"/>
          </w:tcPr>
          <w:p>
            <w:pPr>
              <w:pStyle w:val="TableContents"/>
              <w:bidi w:val="0"/>
              <w:jc w:val="left"/>
              <w:rPr/>
            </w:pPr>
            <w:r>
              <w:rPr/>
              <w:t xml:space="preserve">Citizenship: </w:t>
            </w:r>
          </w:p>
          <w:p>
            <w:pPr>
              <w:pStyle w:val="TableContents"/>
              <w:bidi w:val="0"/>
              <w:spacing w:before="0" w:after="0"/>
              <w:jc w:val="left"/>
              <w:rPr/>
            </w:pPr>
            <w:r>
              <w:rPr/>
              <w:t>Khrom Investments is a Delaware limited partnership. Khrom Capital is a New York limited liability company. Mr. Khrom is a resident of Florida.</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(d)</w:t>
            </w:r>
          </w:p>
        </w:tc>
        <w:tc>
          <w:tcPr>
            <w:tcW w:w="8897"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$0.01 per share</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(e)</w:t>
            </w:r>
          </w:p>
        </w:tc>
        <w:tc>
          <w:tcPr>
            <w:tcW w:w="8897"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3.</w:t>
            </w:r>
          </w:p>
        </w:tc>
        <w:tc>
          <w:tcPr>
            <w:tcW w:w="8897"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(a)</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(b)</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(c)</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(d)</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(e)</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(f)</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(g)</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(h)</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(j)</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(k)</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9052" w:type="dxa"/>
            <w:gridSpan w:val="2"/>
            <w:tcBorders/>
            <w:vAlign w:val="center"/>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4.</w:t>
            </w:r>
          </w:p>
        </w:tc>
        <w:tc>
          <w:tcPr>
            <w:tcW w:w="8897"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(a)</w:t>
            </w:r>
          </w:p>
        </w:tc>
        <w:tc>
          <w:tcPr>
            <w:tcW w:w="8897"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As of June 30, 2026, the Reporting Persons may be deemed to beneficially own in the aggregate 653,914.00 Shares.</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(b)</w:t>
            </w:r>
          </w:p>
        </w:tc>
        <w:tc>
          <w:tcPr>
            <w:tcW w:w="8897"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As of June 30, 2026, the Reporting Persons may be deemed to beneficially own in the aggregate 653,914.00 Shares, representing approximately 0.72% of the Issuer's outstanding Shares (based on 91,967,027 outstanding Shares as of April 28, 2026, as set forth in the Issuer's Annual Report on Form 10-Q filed with the SEC on April 30, 2026).  %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(c)</w:t>
            </w:r>
          </w:p>
        </w:tc>
        <w:tc>
          <w:tcPr>
            <w:tcW w:w="8897"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The information set forth on the cover pages hereto and Item 4(a) is hereby incorporated in its entirety herein. Khrom Investments is the direct beneficial owner of 647,006 Shares and Mr. Khrom is the direct beneficial owner of 6,908 Shares. The Shares reported as beneficially owned by Khrom Capital reflect the Shares that are directly beneficially owned by its affiliate, Khrom Investments, as Khrom Capital has the power to vote or direct the vote of (and the power to dispose or direct the disposition of) such Shares. Mr. Khrom is the sole member of Khrom Capital GP, LLC, which is the general partner of Khrom Investments. Mr. Khrom in his capacity as the managing member of Khrom Capital and as the sole member of Khrom Capital GP, LLC may be deemed to share the power to vote or direct the vote of (and the shared power to dispose or direct the disposition of) the Shares directly beneficially owned by Khrom Investments and, accordingly, Mr. Khrom may be deemed to be the beneficial owner of such Shares. Mr. Khrom disclaims beneficial ownership of the Shares directly held by Khrom Investments except to the extent of any pecuniary interest therein.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The information set forth on the cover pages hereto and Item 4(a) is hereby incorporated in its entirety herein.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The information set forth on the cover pages hereto and Item 4(a) is hereby incorporated in its entirety herein.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The information set forth on the cover pages hereto and Item 4(a) is hereby incorporated in its entirety herein.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5.</w:t>
            </w:r>
          </w:p>
        </w:tc>
        <w:tc>
          <w:tcPr>
            <w:tcW w:w="8897"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6.</w:t>
            </w:r>
          </w:p>
        </w:tc>
        <w:tc>
          <w:tcPr>
            <w:tcW w:w="8897"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No other person is known to the Reporting Persons to have the right to receive or the power to direct the receipt of dividends from, or the proceeds from the sale of, the Shares covered by this Schedule 13G, except that dividends from, and proceeds from the sale of, the Shares held by the accounts managed by Khrom Capital, including the Shares that are directly beneficially owned by Khrom Investments, may be delivered to such accounts.</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7.</w:t>
            </w:r>
          </w:p>
        </w:tc>
        <w:tc>
          <w:tcPr>
            <w:tcW w:w="8897"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8.</w:t>
            </w:r>
          </w:p>
        </w:tc>
        <w:tc>
          <w:tcPr>
            <w:tcW w:w="8897"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9.</w:t>
            </w:r>
          </w:p>
        </w:tc>
        <w:tc>
          <w:tcPr>
            <w:tcW w:w="8897"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232" w:type="dxa"/>
        <w:jc w:val="left"/>
        <w:tblInd w:w="0" w:type="dxa"/>
        <w:tblLayout w:type="fixed"/>
        <w:tblCellMar>
          <w:top w:w="28" w:type="dxa"/>
          <w:left w:w="28" w:type="dxa"/>
          <w:bottom w:w="28" w:type="dxa"/>
          <w:right w:w="28" w:type="dxa"/>
        </w:tblCellMar>
      </w:tblPr>
      <w:tblGrid>
        <w:gridCol w:w="3116"/>
        <w:gridCol w:w="3116"/>
      </w:tblGrid>
      <w:tr>
        <w:trPr/>
        <w:tc>
          <w:tcPr>
            <w:tcW w:w="3116" w:type="dxa"/>
            <w:tcBorders/>
            <w:vAlign w:val="center"/>
          </w:tcPr>
          <w:p>
            <w:pPr>
              <w:pStyle w:val="TableContents"/>
              <w:bidi w:val="0"/>
              <w:spacing w:before="0" w:after="0"/>
              <w:jc w:val="left"/>
              <w:rPr/>
            </w:pPr>
            <w:r>
              <w:rPr/>
              <w:t> </w:t>
            </w:r>
          </w:p>
          <w:tbl>
            <w:tblPr>
              <w:tblW w:w="2986" w:type="dxa"/>
              <w:jc w:val="left"/>
              <w:tblInd w:w="0" w:type="dxa"/>
              <w:tblLayout w:type="fixed"/>
              <w:tblCellMar>
                <w:top w:w="28" w:type="dxa"/>
                <w:left w:w="28" w:type="dxa"/>
                <w:bottom w:w="28" w:type="dxa"/>
                <w:right w:w="28" w:type="dxa"/>
              </w:tblCellMar>
            </w:tblPr>
            <w:tblGrid>
              <w:gridCol w:w="2986"/>
            </w:tblGrid>
            <w:tr>
              <w:trPr/>
              <w:tc>
                <w:tcPr>
                  <w:tcW w:w="2986" w:type="dxa"/>
                  <w:tcBorders/>
                  <w:vAlign w:val="center"/>
                </w:tcPr>
                <w:p>
                  <w:pPr>
                    <w:pStyle w:val="TableContents"/>
                    <w:bidi w:val="0"/>
                    <w:spacing w:before="0" w:after="0"/>
                    <w:jc w:val="left"/>
                    <w:rPr/>
                  </w:pPr>
                  <w:r>
                    <w:rPr/>
                    <w:t>Khrom Investments Fund, LP</w:t>
                  </w:r>
                </w:p>
              </w:tc>
            </w:tr>
          </w:tbl>
          <w:p>
            <w:pPr>
              <w:pStyle w:val="TableContents"/>
              <w:bidi w:val="0"/>
              <w:spacing w:before="0" w:after="283"/>
              <w:jc w:val="left"/>
              <w:rPr/>
            </w:pPr>
            <w:r>
              <w:rPr/>
            </w:r>
          </w:p>
        </w:tc>
        <w:tc>
          <w:tcPr>
            <w:tcW w:w="311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1"/>
        <w:gridCol w:w="4344"/>
      </w:tblGrid>
      <w:tr>
        <w:trPr/>
        <w:tc>
          <w:tcPr>
            <w:tcW w:w="586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Eduard Skutelsky</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Eduard Skutelsky | Chief Operating Officer</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44" w:type="dxa"/>
            <w:tcBorders/>
            <w:vAlign w:val="center"/>
          </w:tcPr>
          <w:p>
            <w:pPr>
              <w:pStyle w:val="TableContents"/>
              <w:bidi w:val="0"/>
              <w:spacing w:before="0" w:after="283"/>
              <w:jc w:val="left"/>
              <w:rPr>
                <w:sz w:val="4"/>
                <w:szCs w:val="4"/>
              </w:rPr>
            </w:pPr>
            <w:r>
              <w:rPr>
                <w:sz w:val="4"/>
                <w:szCs w:val="4"/>
              </w:rPr>
            </w:r>
          </w:p>
        </w:tc>
      </w:tr>
    </w:tbl>
    <w:tbl>
      <w:tblPr>
        <w:tblW w:w="7010" w:type="dxa"/>
        <w:jc w:val="left"/>
        <w:tblInd w:w="0" w:type="dxa"/>
        <w:tblLayout w:type="fixed"/>
        <w:tblCellMar>
          <w:top w:w="28" w:type="dxa"/>
          <w:left w:w="28" w:type="dxa"/>
          <w:bottom w:w="28" w:type="dxa"/>
          <w:right w:w="28" w:type="dxa"/>
        </w:tblCellMar>
      </w:tblPr>
      <w:tblGrid>
        <w:gridCol w:w="3505"/>
        <w:gridCol w:w="3505"/>
      </w:tblGrid>
      <w:tr>
        <w:trPr/>
        <w:tc>
          <w:tcPr>
            <w:tcW w:w="3505" w:type="dxa"/>
            <w:tcBorders/>
            <w:vAlign w:val="center"/>
          </w:tcPr>
          <w:p>
            <w:pPr>
              <w:pStyle w:val="TableContents"/>
              <w:bidi w:val="0"/>
              <w:spacing w:before="0" w:after="0"/>
              <w:jc w:val="left"/>
              <w:rPr/>
            </w:pPr>
            <w:r>
              <w:rPr/>
              <w:t> </w:t>
            </w:r>
          </w:p>
          <w:tbl>
            <w:tblPr>
              <w:tblW w:w="3391" w:type="dxa"/>
              <w:jc w:val="left"/>
              <w:tblInd w:w="0" w:type="dxa"/>
              <w:tblLayout w:type="fixed"/>
              <w:tblCellMar>
                <w:top w:w="28" w:type="dxa"/>
                <w:left w:w="28" w:type="dxa"/>
                <w:bottom w:w="28" w:type="dxa"/>
                <w:right w:w="28" w:type="dxa"/>
              </w:tblCellMar>
            </w:tblPr>
            <w:tblGrid>
              <w:gridCol w:w="3391"/>
            </w:tblGrid>
            <w:tr>
              <w:trPr/>
              <w:tc>
                <w:tcPr>
                  <w:tcW w:w="3391" w:type="dxa"/>
                  <w:tcBorders/>
                  <w:vAlign w:val="center"/>
                </w:tcPr>
                <w:p>
                  <w:pPr>
                    <w:pStyle w:val="TableContents"/>
                    <w:bidi w:val="0"/>
                    <w:spacing w:before="0" w:after="0"/>
                    <w:jc w:val="left"/>
                    <w:rPr/>
                  </w:pPr>
                  <w:r>
                    <w:rPr/>
                    <w:t>Khrom Capital Management LLC</w:t>
                  </w:r>
                </w:p>
              </w:tc>
            </w:tr>
          </w:tbl>
          <w:p>
            <w:pPr>
              <w:pStyle w:val="TableContents"/>
              <w:bidi w:val="0"/>
              <w:spacing w:before="0" w:after="283"/>
              <w:jc w:val="left"/>
              <w:rPr/>
            </w:pPr>
            <w:r>
              <w:rPr/>
            </w:r>
          </w:p>
        </w:tc>
        <w:tc>
          <w:tcPr>
            <w:tcW w:w="350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1"/>
        <w:gridCol w:w="4344"/>
      </w:tblGrid>
      <w:tr>
        <w:trPr/>
        <w:tc>
          <w:tcPr>
            <w:tcW w:w="586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Eduard Skutelsky</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Eduard Skutelsky | Chief Operating Officer</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44" w:type="dxa"/>
            <w:tcBorders/>
            <w:vAlign w:val="center"/>
          </w:tcPr>
          <w:p>
            <w:pPr>
              <w:pStyle w:val="TableContents"/>
              <w:bidi w:val="0"/>
              <w:spacing w:before="0" w:after="283"/>
              <w:jc w:val="left"/>
              <w:rPr>
                <w:sz w:val="4"/>
                <w:szCs w:val="4"/>
              </w:rPr>
            </w:pPr>
            <w:r>
              <w:rPr>
                <w:sz w:val="4"/>
                <w:szCs w:val="4"/>
              </w:rPr>
            </w:r>
          </w:p>
        </w:tc>
      </w:tr>
    </w:tbl>
    <w:tbl>
      <w:tblPr>
        <w:tblW w:w="2810" w:type="dxa"/>
        <w:jc w:val="left"/>
        <w:tblInd w:w="0" w:type="dxa"/>
        <w:tblLayout w:type="fixed"/>
        <w:tblCellMar>
          <w:top w:w="28" w:type="dxa"/>
          <w:left w:w="28" w:type="dxa"/>
          <w:bottom w:w="28" w:type="dxa"/>
          <w:right w:w="28" w:type="dxa"/>
        </w:tblCellMar>
      </w:tblPr>
      <w:tblGrid>
        <w:gridCol w:w="1405"/>
        <w:gridCol w:w="1405"/>
      </w:tblGrid>
      <w:tr>
        <w:trPr/>
        <w:tc>
          <w:tcPr>
            <w:tcW w:w="1405" w:type="dxa"/>
            <w:tcBorders/>
            <w:vAlign w:val="center"/>
          </w:tcPr>
          <w:p>
            <w:pPr>
              <w:pStyle w:val="TableContents"/>
              <w:bidi w:val="0"/>
              <w:spacing w:before="0" w:after="0"/>
              <w:jc w:val="left"/>
              <w:rPr/>
            </w:pPr>
            <w:r>
              <w:rPr/>
              <w:t> </w:t>
            </w:r>
          </w:p>
          <w:tbl>
            <w:tblPr>
              <w:tblW w:w="1291" w:type="dxa"/>
              <w:jc w:val="left"/>
              <w:tblInd w:w="0" w:type="dxa"/>
              <w:tblLayout w:type="fixed"/>
              <w:tblCellMar>
                <w:top w:w="28" w:type="dxa"/>
                <w:left w:w="28" w:type="dxa"/>
                <w:bottom w:w="28" w:type="dxa"/>
                <w:right w:w="28" w:type="dxa"/>
              </w:tblCellMar>
            </w:tblPr>
            <w:tblGrid>
              <w:gridCol w:w="1291"/>
            </w:tblGrid>
            <w:tr>
              <w:trPr/>
              <w:tc>
                <w:tcPr>
                  <w:tcW w:w="1291" w:type="dxa"/>
                  <w:tcBorders/>
                  <w:vAlign w:val="center"/>
                </w:tcPr>
                <w:p>
                  <w:pPr>
                    <w:pStyle w:val="TableContents"/>
                    <w:bidi w:val="0"/>
                    <w:spacing w:before="0" w:after="0"/>
                    <w:jc w:val="left"/>
                    <w:rPr/>
                  </w:pPr>
                  <w:r>
                    <w:rPr/>
                    <w:t>Eric Khrom</w:t>
                  </w:r>
                </w:p>
              </w:tc>
            </w:tr>
          </w:tbl>
          <w:p>
            <w:pPr>
              <w:pStyle w:val="TableContents"/>
              <w:bidi w:val="0"/>
              <w:spacing w:before="0" w:after="283"/>
              <w:jc w:val="left"/>
              <w:rPr/>
            </w:pPr>
            <w:r>
              <w:rPr/>
            </w:r>
          </w:p>
        </w:tc>
        <w:tc>
          <w:tcPr>
            <w:tcW w:w="140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56"/>
        <w:gridCol w:w="4449"/>
      </w:tblGrid>
      <w:tr>
        <w:trPr/>
        <w:tc>
          <w:tcPr>
            <w:tcW w:w="575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Eric Khrom</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Eric Khrom</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4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checked.jpg" TargetMode="External"/><Relationship Id="rId26" Type="http://schemas.openxmlformats.org/officeDocument/2006/relationships/fontTable" Target="fontTable.xml"/><Relationship Id="rId2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1565</Words>
  <Characters>7935</Characters>
  <CharactersWithSpaces>9454</CharactersWithSpaces>
  <Paragraphs>255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