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2565400</wp:posOffset>
            </wp:positionH>
            <wp:positionV relativeFrom="page">
              <wp:posOffset>157480</wp:posOffset>
            </wp:positionV>
            <wp:extent cx="2417445"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17445" cy="771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December 6,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Tayyaba Shafique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Tracey Houser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Industrial Applications and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United States 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0900"/>
          </w:cols>
          <w:pgMar w:left="440" w:top="1440" w:right="559" w:bottom="1440" w:gutter="0" w:footer="0" w:header="0"/>
        </w:sect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10-K for Fiscal Year Ended December 31, 2023</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10-K filed February 28,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8-K Filed February 27,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001-35331</w:t>
      </w:r>
    </w:p>
    <w:p>
      <w:pPr>
        <w:spacing w:after="0" w:line="200" w:lineRule="exact"/>
        <w:rPr>
          <w:sz w:val="24"/>
          <w:szCs w:val="24"/>
          <w:color w:val="auto"/>
        </w:rPr>
      </w:pPr>
    </w:p>
    <w:p>
      <w:pPr>
        <w:sectPr>
          <w:pgSz w:w="11900" w:h="16838" w:orient="portrait"/>
          <w:cols w:equalWidth="0" w:num="2">
            <w:col w:w="260" w:space="720"/>
            <w:col w:w="9920"/>
          </w:cols>
          <w:pgMar w:left="440" w:top="1440" w:right="559" w:bottom="1440" w:gutter="0" w:footer="0" w:header="0"/>
          <w:type w:val="continuous"/>
        </w:sectPr>
      </w:pP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firstLine="991"/>
        <w:spacing w:after="0" w:line="291" w:lineRule="auto"/>
        <w:rPr>
          <w:sz w:val="20"/>
          <w:szCs w:val="20"/>
          <w:color w:val="auto"/>
        </w:rPr>
      </w:pPr>
      <w:r>
        <w:rPr>
          <w:rFonts w:ascii="Times New Roman" w:cs="Times New Roman" w:eastAsia="Times New Roman" w:hAnsi="Times New Roman"/>
          <w:sz w:val="17"/>
          <w:szCs w:val="17"/>
          <w:color w:val="auto"/>
        </w:rPr>
        <w:t>This letter sets forth the responses of Acadia Healthcare Company,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to the comments of the Staff (the “</w:t>
      </w:r>
      <w:r>
        <w:rPr>
          <w:rFonts w:ascii="Times New Roman" w:cs="Times New Roman" w:eastAsia="Times New Roman" w:hAnsi="Times New Roman"/>
          <w:sz w:val="17"/>
          <w:szCs w:val="17"/>
          <w:b w:val="1"/>
          <w:bCs w:val="1"/>
          <w:i w:val="1"/>
          <w:iCs w:val="1"/>
          <w:color w:val="auto"/>
        </w:rPr>
        <w:t>Staff</w:t>
      </w:r>
      <w:r>
        <w:rPr>
          <w:rFonts w:ascii="Times New Roman" w:cs="Times New Roman" w:eastAsia="Times New Roman" w:hAnsi="Times New Roman"/>
          <w:sz w:val="17"/>
          <w:szCs w:val="17"/>
          <w:color w:val="auto"/>
        </w:rPr>
        <w:t>”) of the U.S. Securities and Exchange Commission set forth in your letter, dated November 15, 2024, with respect to the Company’s Form 10-K for the fiscal year ended December 31, 2023, filed on February 27, 2024 (File No. 001-35331), and Form 8-K, filed on February 27, 2024 (File No. 001-35331).</w:t>
      </w:r>
    </w:p>
    <w:p>
      <w:pPr>
        <w:spacing w:after="0" w:line="157" w:lineRule="exact"/>
        <w:rPr>
          <w:sz w:val="24"/>
          <w:szCs w:val="24"/>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For your convenience, each of the above referenced comments of the Staff is reprinted in bold, italicized text below, followed by the Company’s responses thereto.</w:t>
      </w:r>
    </w:p>
    <w:p>
      <w:pPr>
        <w:sectPr>
          <w:pgSz w:w="11900" w:h="16838" w:orient="portrait"/>
          <w:cols w:equalWidth="0" w:num="1">
            <w:col w:w="10900"/>
          </w:cols>
          <w:pgMar w:left="440" w:top="1440" w:right="55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Tayyaba Shafique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Tracey Houser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6,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Form 10-K for Fiscal Year Ended December 31, 2023</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page 37</w:t>
      </w:r>
    </w:p>
    <w:p>
      <w:pPr>
        <w:spacing w:after="0" w:line="131" w:lineRule="exact"/>
        <w:rPr>
          <w:sz w:val="20"/>
          <w:szCs w:val="20"/>
          <w:color w:val="auto"/>
        </w:rPr>
      </w:pPr>
    </w:p>
    <w:p>
      <w:pPr>
        <w:ind w:left="964" w:right="40" w:hanging="532"/>
        <w:spacing w:after="0" w:line="268" w:lineRule="auto"/>
        <w:tabs>
          <w:tab w:leader="none" w:pos="964"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presentation of Adjusted EBITDA margin change and Adjusted EBITDA margin excluding income from provider relief fund, which appear to be non-GAAP performance measures. Please expand your disclosures to fully comply with the disclosure requirements in Item 10(e)(1)(i) of Regulation S-K.</w:t>
      </w:r>
    </w:p>
    <w:p>
      <w:pPr>
        <w:spacing w:after="0" w:line="66" w:lineRule="exact"/>
        <w:rPr>
          <w:rFonts w:ascii="Times New Roman" w:cs="Times New Roman" w:eastAsia="Times New Roman" w:hAnsi="Times New Roman"/>
          <w:sz w:val="18"/>
          <w:szCs w:val="18"/>
          <w:b w:val="1"/>
          <w:bCs w:val="1"/>
          <w:i w:val="1"/>
          <w:iCs w:val="1"/>
          <w:color w:val="auto"/>
        </w:rPr>
      </w:pPr>
    </w:p>
    <w:p>
      <w:pPr>
        <w:ind w:left="984"/>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RESPONSE:</w:t>
      </w:r>
    </w:p>
    <w:p>
      <w:pPr>
        <w:spacing w:after="0" w:line="11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The Company acknowledges the Staff’s comment and respectfully advises the Staff that, beginning with its Annual Report on Form 10-K for the fiscal year ending December 31, 2024, it will no longer present Adjusted EBITDA margin change and Adjusted EBITDA margin excluding income from provider relief fund in its results of operations in future periodic reports. To the extent the Company discloses such metrics in other materials in the future, it will comply with Item 10(e) and Regulation G, as applicable.</w:t>
      </w:r>
    </w:p>
    <w:p>
      <w:pPr>
        <w:spacing w:after="0" w:line="284" w:lineRule="exact"/>
        <w:rPr>
          <w:sz w:val="20"/>
          <w:szCs w:val="20"/>
          <w:color w:val="auto"/>
        </w:rPr>
      </w:pPr>
    </w:p>
    <w:p>
      <w:pPr>
        <w:ind w:left="284" w:hanging="284"/>
        <w:spacing w:after="0"/>
        <w:tabs>
          <w:tab w:leader="none" w:pos="284" w:val="left"/>
        </w:tabs>
        <w:numPr>
          <w:ilvl w:val="0"/>
          <w:numId w:val="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Commitments and Contingencies, page F-21</w:t>
      </w:r>
    </w:p>
    <w:p>
      <w:pPr>
        <w:spacing w:after="0" w:line="130" w:lineRule="exact"/>
        <w:rPr>
          <w:rFonts w:ascii="Times New Roman" w:cs="Times New Roman" w:eastAsia="Times New Roman" w:hAnsi="Times New Roman"/>
          <w:sz w:val="18"/>
          <w:szCs w:val="18"/>
          <w:b w:val="1"/>
          <w:bCs w:val="1"/>
          <w:u w:val="single" w:color="auto"/>
          <w:color w:val="auto"/>
        </w:rPr>
      </w:pPr>
    </w:p>
    <w:p>
      <w:pPr>
        <w:ind w:left="964" w:hanging="532"/>
        <w:spacing w:after="0" w:line="268" w:lineRule="auto"/>
        <w:tabs>
          <w:tab w:leader="none" w:pos="964" w:val="left"/>
        </w:tabs>
        <w:numPr>
          <w:ilvl w:val="1"/>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disclosures for Securities Litigation and Derivative Actions. Please expand your disclosures to state the amount or range of reasonably possible loss in the aggregate, or that you are unable to reasonably estimate the amount or range. Please note that ASC 450-20-50-4 does not require the amount or range of reasonably possible loss to be estimated with precision or certainty.</w:t>
      </w:r>
    </w:p>
    <w:p>
      <w:pPr>
        <w:spacing w:after="0" w:line="66" w:lineRule="exact"/>
        <w:rPr>
          <w:rFonts w:ascii="Times New Roman" w:cs="Times New Roman" w:eastAsia="Times New Roman" w:hAnsi="Times New Roman"/>
          <w:sz w:val="18"/>
          <w:szCs w:val="18"/>
          <w:b w:val="1"/>
          <w:bCs w:val="1"/>
          <w:i w:val="1"/>
          <w:iCs w:val="1"/>
          <w:color w:val="auto"/>
        </w:rPr>
      </w:pPr>
    </w:p>
    <w:p>
      <w:pPr>
        <w:ind w:left="984"/>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RESPONSE:</w:t>
      </w:r>
    </w:p>
    <w:p>
      <w:pPr>
        <w:spacing w:after="0" w:line="117" w:lineRule="exact"/>
        <w:rPr>
          <w:sz w:val="20"/>
          <w:szCs w:val="20"/>
          <w:color w:val="auto"/>
        </w:rPr>
      </w:pPr>
    </w:p>
    <w:p>
      <w:pPr>
        <w:ind w:left="4" w:right="40" w:firstLine="991"/>
        <w:spacing w:after="0" w:line="277" w:lineRule="auto"/>
        <w:rPr>
          <w:sz w:val="20"/>
          <w:szCs w:val="20"/>
          <w:color w:val="auto"/>
        </w:rPr>
      </w:pPr>
      <w:r>
        <w:rPr>
          <w:rFonts w:ascii="Times New Roman" w:cs="Times New Roman" w:eastAsia="Times New Roman" w:hAnsi="Times New Roman"/>
          <w:sz w:val="17"/>
          <w:szCs w:val="17"/>
          <w:color w:val="auto"/>
        </w:rPr>
        <w:t>The Company acknowledges the Staff’s comment and respectfully advises the Staff that it is unable to reasonably estimate the amount or range of reasonably possible loss in the aggregate at this time. In response to the Staff’s comment, the Company will explicitly state in future filings, if applicable, that such estimates cannot be made with respect to the Securities Litigation and Derivative Actions until such time as the Company can reasonably estimate the extent of the loss. The Company will also provide the amount or range of reasonably possible loss, or explicitly state that such estimates cannot be made until such time as the Company can reasonably estimate the extent of the loss, with respect to other pending litigation.</w:t>
      </w:r>
    </w:p>
    <w:p>
      <w:pPr>
        <w:sectPr>
          <w:pgSz w:w="11900" w:h="16838" w:orient="portrait"/>
          <w:cols w:equalWidth="0" w:num="1">
            <w:col w:w="10904"/>
          </w:cols>
          <w:pgMar w:left="436"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Tayyaba Shafique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Tracey Houser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8-K Filed February 27,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99</w:t>
      </w:r>
    </w:p>
    <w:p>
      <w:pPr>
        <w:spacing w:after="0" w:line="131" w:lineRule="exact"/>
        <w:rPr>
          <w:sz w:val="20"/>
          <w:szCs w:val="20"/>
          <w:color w:val="auto"/>
        </w:rPr>
      </w:pPr>
    </w:p>
    <w:p>
      <w:pPr>
        <w:ind w:left="960" w:right="20" w:hanging="532"/>
        <w:spacing w:after="0" w:line="259" w:lineRule="auto"/>
        <w:tabs>
          <w:tab w:leader="none" w:pos="9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presentation of the change in Adjusted EBITDA within the Fourth Quarter Highlights section and also your presentation of Adjusted EBITDA margin and Adjusted EBITDA margin excluding income from provider relief fund without also presenting with equal or greater prominence the change in the most comparable US GAAP measure. Please revise these presentations to comply with the guidance in Item 10(e)(1)(i)(A) of Regulation S-K and Question 102.10(a) of the Compliance and Disclosure Interpretations for Non-GAAP Financial Measures.</w:t>
      </w:r>
    </w:p>
    <w:p>
      <w:pPr>
        <w:spacing w:after="0" w:line="75" w:lineRule="exact"/>
        <w:rPr>
          <w:rFonts w:ascii="Times New Roman" w:cs="Times New Roman" w:eastAsia="Times New Roman" w:hAnsi="Times New Roman"/>
          <w:sz w:val="18"/>
          <w:szCs w:val="18"/>
          <w:b w:val="1"/>
          <w:bCs w:val="1"/>
          <w:i w:val="1"/>
          <w:iCs w:val="1"/>
          <w:color w:val="auto"/>
        </w:rPr>
      </w:pPr>
    </w:p>
    <w:p>
      <w:pPr>
        <w:ind w:left="9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RESPONSE:</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Company acknowledges the Staff’s comment and respectfully advises the Staff that, beginning with its next earnings release, which will be for the fiscal year ending December 31, 2024, it will modify the disclosure to comply with the prominence requirements of Item 10(e)(1)(i)(A) of Regulation S-K and Question 102.10 of the Compliance and Disclosure Interpretations for Non-GAAP Financial Measures as requested by the Staff. The Company advises the Staff that such disclosure will be presented similarly to the below (responsive changes italicized), and similarly to the disclosure contained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Third Quarter Highlights</w:t>
      </w:r>
    </w:p>
    <w:p>
      <w:pPr>
        <w:spacing w:after="0" w:line="135" w:lineRule="exact"/>
        <w:rPr>
          <w:sz w:val="20"/>
          <w:szCs w:val="20"/>
          <w:color w:val="auto"/>
        </w:rPr>
      </w:pPr>
    </w:p>
    <w:p>
      <w:pPr>
        <w:ind w:left="2080" w:hanging="545"/>
        <w:spacing w:after="0"/>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totaled $815.6 million, an increase of 8.7% over the third quarter of 2023</w:t>
      </w:r>
    </w:p>
    <w:p>
      <w:pPr>
        <w:spacing w:after="0" w:line="130" w:lineRule="exact"/>
        <w:rPr>
          <w:rFonts w:ascii="Times New Roman" w:cs="Times New Roman" w:eastAsia="Times New Roman" w:hAnsi="Times New Roman"/>
          <w:sz w:val="18"/>
          <w:szCs w:val="18"/>
          <w:color w:val="auto"/>
        </w:rPr>
      </w:pPr>
    </w:p>
    <w:p>
      <w:pPr>
        <w:ind w:left="2080" w:right="60" w:hanging="545"/>
        <w:spacing w:after="0" w:line="282" w:lineRule="auto"/>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facility revenue increased 8.6% compared with the third quarter of 2023, including an increase in revenue per patient day of 3.6% and an increase in patient days of 4.7%</w:t>
      </w:r>
    </w:p>
    <w:p>
      <w:pPr>
        <w:spacing w:after="0" w:line="65" w:lineRule="exact"/>
        <w:rPr>
          <w:rFonts w:ascii="Times New Roman" w:cs="Times New Roman" w:eastAsia="Times New Roman" w:hAnsi="Times New Roman"/>
          <w:sz w:val="18"/>
          <w:szCs w:val="18"/>
          <w:color w:val="auto"/>
        </w:rPr>
      </w:pPr>
    </w:p>
    <w:p>
      <w:pPr>
        <w:ind w:left="2080" w:right="80" w:hanging="545"/>
        <w:spacing w:after="0" w:line="284" w:lineRule="auto"/>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income attributable to Acadia totaled $68.1 million, </w:t>
      </w:r>
      <w:r>
        <w:rPr>
          <w:rFonts w:ascii="Times New Roman" w:cs="Times New Roman" w:eastAsia="Times New Roman" w:hAnsi="Times New Roman"/>
          <w:sz w:val="18"/>
          <w:szCs w:val="18"/>
          <w:i w:val="1"/>
          <w:iCs w:val="1"/>
          <w:color w:val="auto"/>
        </w:rPr>
        <w:t>an increase of 131.3% over the third quarter of 2023,</w:t>
      </w:r>
      <w:r>
        <w:rPr>
          <w:rFonts w:ascii="Times New Roman" w:cs="Times New Roman" w:eastAsia="Times New Roman" w:hAnsi="Times New Roman"/>
          <w:sz w:val="18"/>
          <w:szCs w:val="18"/>
          <w:color w:val="auto"/>
        </w:rPr>
        <w:t xml:space="preserve"> or $0.74 per diluted share</w:t>
      </w:r>
    </w:p>
    <w:p>
      <w:pPr>
        <w:spacing w:after="0" w:line="63" w:lineRule="exact"/>
        <w:rPr>
          <w:rFonts w:ascii="Times New Roman" w:cs="Times New Roman" w:eastAsia="Times New Roman" w:hAnsi="Times New Roman"/>
          <w:sz w:val="18"/>
          <w:szCs w:val="18"/>
          <w:color w:val="auto"/>
        </w:rPr>
      </w:pPr>
    </w:p>
    <w:p>
      <w:pPr>
        <w:ind w:left="2080" w:right="140" w:hanging="545"/>
        <w:spacing w:after="0" w:line="284" w:lineRule="auto"/>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income attributable to Acadia totaled $84.1 million, </w:t>
      </w:r>
      <w:r>
        <w:rPr>
          <w:rFonts w:ascii="Times New Roman" w:cs="Times New Roman" w:eastAsia="Times New Roman" w:hAnsi="Times New Roman"/>
          <w:sz w:val="18"/>
          <w:szCs w:val="18"/>
          <w:i w:val="1"/>
          <w:iCs w:val="1"/>
          <w:color w:val="auto"/>
        </w:rPr>
        <w:t>an increase of 0.3% over the third quarter of 2023,</w:t>
      </w:r>
      <w:r>
        <w:rPr>
          <w:rFonts w:ascii="Times New Roman" w:cs="Times New Roman" w:eastAsia="Times New Roman" w:hAnsi="Times New Roman"/>
          <w:sz w:val="18"/>
          <w:szCs w:val="18"/>
          <w:color w:val="auto"/>
        </w:rPr>
        <w:t xml:space="preserve"> or $0.91 per diluted share</w:t>
      </w:r>
    </w:p>
    <w:p>
      <w:pPr>
        <w:spacing w:after="0" w:line="65"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totaled $194.3 million, an increase of 10.5% over the third quarter of 2023</w:t>
      </w:r>
    </w:p>
    <w:p>
      <w:pPr>
        <w:spacing w:after="0" w:line="128" w:lineRule="exact"/>
        <w:rPr>
          <w:rFonts w:ascii="Times New Roman" w:cs="Times New Roman" w:eastAsia="Times New Roman" w:hAnsi="Times New Roman"/>
          <w:sz w:val="18"/>
          <w:szCs w:val="18"/>
          <w:color w:val="auto"/>
        </w:rPr>
      </w:pPr>
    </w:p>
    <w:p>
      <w:pPr>
        <w:ind w:left="2080" w:right="580" w:hanging="545"/>
        <w:spacing w:after="0" w:line="284" w:lineRule="auto"/>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Profit margin increased to 8.4% compared to -29.6% for the third quarter of 2023, while same facility profit margin decreased to 18.9% compared to 19.0% for the third quarter of 2023</w:t>
      </w:r>
    </w:p>
    <w:p>
      <w:pPr>
        <w:spacing w:after="0" w:line="63"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Same facility adjusted EBITDA margin increased to 29.7% compared to 29.3% for the third quarter of 2023</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Tayyaba Shafique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Tracey Houser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5" w:lineRule="exact"/>
        <w:rPr>
          <w:sz w:val="20"/>
          <w:szCs w:val="20"/>
          <w:color w:val="auto"/>
        </w:rPr>
      </w:pPr>
    </w:p>
    <w:p>
      <w:pPr>
        <w:ind w:left="960" w:right="60" w:hanging="532"/>
        <w:spacing w:after="0" w:line="262" w:lineRule="auto"/>
        <w:tabs>
          <w:tab w:leader="none" w:pos="9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presentation of a net leverage ratio using Adjusted EBITDA as the denominator without also presenting with equal or greater prominence the calculation of net leverage ratio using the most comparable US GAAP measure. Please revise this presentation to comply with the guidance in Item 10(e)(1)(i)(A) of Regulation SK and Question 102.10(a) of the Compliance and Disclosure Interpretations for Non-GAAP Financial Measures.</w:t>
      </w:r>
    </w:p>
    <w:p>
      <w:pPr>
        <w:spacing w:after="0" w:line="72" w:lineRule="exact"/>
        <w:rPr>
          <w:rFonts w:ascii="Times New Roman" w:cs="Times New Roman" w:eastAsia="Times New Roman" w:hAnsi="Times New Roman"/>
          <w:sz w:val="18"/>
          <w:szCs w:val="18"/>
          <w:b w:val="1"/>
          <w:bCs w:val="1"/>
          <w:i w:val="1"/>
          <w:iCs w:val="1"/>
          <w:color w:val="auto"/>
        </w:rPr>
      </w:pPr>
    </w:p>
    <w:p>
      <w:pPr>
        <w:ind w:left="9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RESPONSE:</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Company acknowledges the Staff’s comment and respectfully advises the Staff that, historically, the Company has presented its net leverage ratio in its earnings releases not because the Company views it as a performance measure, but because the Company believes the measure is material to investors’ understanding of the Company’s financial condition and liquidity. Accordingly, beginning with the Company’s next earnings release, which will be for the fiscal year ending December 31, 2024, it will no longer present net leverage ratio in its earnings releases. Instead, the Company advises the Staff that, beginning with its Annual Report on Form 10-K for the fiscal year ending December 31, 2024, the Company will present its consolidated total net leverage ratio (as defined in the Company’s Quarterly Report on Form 10-Q for the fiscal quarter ended September 30, 2024 (the “Q3 10-Q”)) in the “Liquidity and Capital Resources” section of its Management’s Discussion and Analysis of Financial Condition and Results of Operations in its future Annual Reports on Form 10-K and Quarterly Reports on Form 10-Q. The Company will be providing this information in furtherance of its compliance with Item 303(b)(1) of Regulation S-K, which requires registrants to “identify any known trends or any known demands, commitments, events or uncertainties that will result in or that are reasonably likely to result in the registrant’s liquidity increasing or decreasing in any material way.”</w:t>
      </w:r>
    </w:p>
    <w:p>
      <w:pPr>
        <w:spacing w:after="0" w:line="19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The Company further respectfully directs the Staff’s attention to Question 102.09 of the Staff’s Compliance &amp; Disclosure Interpretations regarding Non-GAAP Financial Measures (“</w:t>
      </w:r>
      <w:r>
        <w:rPr>
          <w:rFonts w:ascii="Times New Roman" w:cs="Times New Roman" w:eastAsia="Times New Roman" w:hAnsi="Times New Roman"/>
          <w:sz w:val="18"/>
          <w:szCs w:val="18"/>
          <w:b w:val="1"/>
          <w:bCs w:val="1"/>
          <w:i w:val="1"/>
          <w:iCs w:val="1"/>
          <w:color w:val="auto"/>
        </w:rPr>
        <w:t>Question 102.09</w:t>
      </w:r>
      <w:r>
        <w:rPr>
          <w:rFonts w:ascii="Times New Roman" w:cs="Times New Roman" w:eastAsia="Times New Roman" w:hAnsi="Times New Roman"/>
          <w:sz w:val="18"/>
          <w:szCs w:val="18"/>
          <w:color w:val="auto"/>
        </w:rPr>
        <w:t xml:space="preserve">”), in which the Staff makes clear that, notwithstanding the prohibitions set forth in Item 10(e) of Regulation S-K, if a registrant believes that (a) a credit agreement is a material agreement, (b) a covenant thereunder is a material term of the credit agreement and (c) information about such covenant is material to an investor’s understanding of the registrant’s financial condition and/or liquidity, then the registrant may in fact “be </w:t>
      </w:r>
      <w:r>
        <w:rPr>
          <w:rFonts w:ascii="Times New Roman" w:cs="Times New Roman" w:eastAsia="Times New Roman" w:hAnsi="Times New Roman"/>
          <w:sz w:val="18"/>
          <w:szCs w:val="18"/>
          <w:i w:val="1"/>
          <w:iCs w:val="1"/>
          <w:color w:val="auto"/>
        </w:rPr>
        <w:t>required</w:t>
      </w:r>
      <w:r>
        <w:rPr>
          <w:rFonts w:ascii="Times New Roman" w:cs="Times New Roman" w:eastAsia="Times New Roman" w:hAnsi="Times New Roman"/>
          <w:sz w:val="18"/>
          <w:szCs w:val="18"/>
          <w:color w:val="auto"/>
        </w:rPr>
        <w:t xml:space="preserve"> to disclose the measure as calculated by the debt covenant as part of its MD&amp;A.” (emphasis added) As demonstrated by the disclosure on page 27 of the Q3 10-Q, each of the foregoing conditions has been met, which compels the disclosure of the measure.</w:t>
      </w:r>
    </w:p>
    <w:p>
      <w:pPr>
        <w:spacing w:after="0" w:line="189"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Importantly, both Regulation G and Item 10(e) of Regulation S-K specifically exclude from the definition of “non-GAAP financial measure” any measure that is “required to be disclosed by … Commission rules.” In light of the guidance reflected in Question 102.09 and the disclosure framework set forth in Item 303(b)(1) of Regulation S-K, we respectfully submit that disclosure of total consolidated net leverage ratio is a required element of the Company’s periodic reports. Accordingly, total consolidated net leverage ratio is not, by definition, a “non-</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Tayyaba Shafique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Tracey Houser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6,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GAAP financial measure”, and the Company’s future disclosure of total consolidated net leverage ratio in the “Liquidity and Capital Resources” section of its Management’s Discussion and Analysis of Financial Condition and Results of Operations should not be subject to the general prohibitions and requirements related to non-GAAP financial measures set forth in Regulation G and Item 10(e) of Regulation S-K.</w:t>
      </w:r>
    </w:p>
    <w:p>
      <w:pPr>
        <w:spacing w:after="0" w:line="176"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Company advises the Staff that it will provide enhanced disclosures relating to total consolidated net leverage ratio in future periodic reports to make clear that total consolidated net leverage ratio is being reported as calculated under the Credit Facility (as defined in the Q3 10-Q) and not pursuant to GAAP and to refer to the agreements governing the Credit Facility attached as exhibits to the Company’s periodic reports for further information related to the calculations thereof.</w:t>
      </w:r>
    </w:p>
    <w:p>
      <w:pPr>
        <w:spacing w:after="0" w:line="81" w:lineRule="exact"/>
        <w:rPr>
          <w:sz w:val="20"/>
          <w:szCs w:val="20"/>
          <w:color w:val="auto"/>
        </w:rPr>
      </w:pPr>
    </w:p>
    <w:p>
      <w:pPr>
        <w:ind w:left="964" w:right="920" w:hanging="532"/>
        <w:spacing w:after="0" w:line="286" w:lineRule="auto"/>
        <w:tabs>
          <w:tab w:leader="none" w:pos="964"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tell us and expand your disclosures for the transaction, legal and other costs adjustment to your various non-GAAP performance measures to clearly explain and quantify each component.</w:t>
      </w:r>
    </w:p>
    <w:p>
      <w:pPr>
        <w:spacing w:after="0" w:line="50" w:lineRule="exact"/>
        <w:rPr>
          <w:rFonts w:ascii="Times New Roman" w:cs="Times New Roman" w:eastAsia="Times New Roman" w:hAnsi="Times New Roman"/>
          <w:sz w:val="18"/>
          <w:szCs w:val="18"/>
          <w:b w:val="1"/>
          <w:bCs w:val="1"/>
          <w:i w:val="1"/>
          <w:iCs w:val="1"/>
          <w:color w:val="auto"/>
        </w:rPr>
      </w:pPr>
    </w:p>
    <w:p>
      <w:pPr>
        <w:ind w:left="984"/>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0"/>
          <w:szCs w:val="20"/>
          <w:color w:val="auto"/>
        </w:rPr>
      </w:pPr>
    </w:p>
    <w:p>
      <w:pPr>
        <w:ind w:left="4" w:right="100" w:firstLine="991"/>
        <w:spacing w:after="0" w:line="276" w:lineRule="auto"/>
        <w:rPr>
          <w:sz w:val="20"/>
          <w:szCs w:val="20"/>
          <w:color w:val="auto"/>
        </w:rPr>
      </w:pPr>
      <w:r>
        <w:rPr>
          <w:rFonts w:ascii="Times New Roman" w:cs="Times New Roman" w:eastAsia="Times New Roman" w:hAnsi="Times New Roman"/>
          <w:sz w:val="17"/>
          <w:szCs w:val="17"/>
          <w:color w:val="auto"/>
        </w:rPr>
        <w:t>The Company acknowledges the Staff’s comment and respectfully advises the Staff that transaction, legal and other costs has historically represented a composite of three individual categories: (1) legal, accounting and other acquisition-related costs; (2) management transition costs; and</w:t>
      </w:r>
    </w:p>
    <w:p>
      <w:pPr>
        <w:spacing w:after="0" w:line="1" w:lineRule="exact"/>
        <w:rPr>
          <w:sz w:val="20"/>
          <w:szCs w:val="20"/>
          <w:color w:val="auto"/>
        </w:rPr>
      </w:pPr>
    </w:p>
    <w:p>
      <w:pPr>
        <w:ind w:left="4" w:right="220" w:hanging="4"/>
        <w:spacing w:after="0" w:line="277" w:lineRule="auto"/>
        <w:tabs>
          <w:tab w:leader="none" w:pos="25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and restructuring costs. The Company advises the Staff that, beginning with its next earnings release, which will be for the fiscal year ending December 31, 2024, it will include disclosure explaining and quantifying each component of transaction, legal and other costs, including a conformed version of the table below, which the Company included in its Form 10-Q for the fiscal quarter ended September 30, 2024 (in thousands):</w:t>
      </w:r>
    </w:p>
    <w:p>
      <w:pPr>
        <w:spacing w:after="0" w:line="189"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8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accounting and other acquisition-related costs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4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Management transition costs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1,490</w:t>
            </w:r>
          </w:p>
        </w:tc>
        <w:tc>
          <w:tcPr>
            <w:tcW w:w="2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3,615</w:t>
            </w:r>
          </w:p>
        </w:tc>
        <w:tc>
          <w:tcPr>
            <w:tcW w:w="2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3,085</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14,590</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and restructuring costs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718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3,436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(1,263)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5,441</w:t>
            </w:r>
          </w:p>
        </w:tc>
      </w:tr>
      <w:tr>
        <w:trPr>
          <w:trHeight w:val="223"/>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center"/>
              <w:ind w:right="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17,187</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26,792</w:t>
            </w:r>
          </w:p>
        </w:tc>
        <w:tc>
          <w:tcPr>
            <w:tcW w:w="4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482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 </w:t>
            </w:r>
          </w:p>
        </w:tc>
        <w:tc>
          <w:tcPr>
            <w:tcW w:w="6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4"/>
          </w:cols>
          <w:pgMar w:left="436" w:top="270" w:right="49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Tayyaba Shafique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Tracey Houser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6,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Please contact Matthew Pacey of Kirkland &amp; Ellis LLP at (713) 836-3786 or Heather Dixon of the Company at (615) 861-6000 with any questions or further comments regarding the responses to the Staff’s comments.</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ACADIA HEALTHCARE COMPANY, INC.</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Heather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Heather Dixon</w:t>
      </w:r>
    </w:p>
    <w:p>
      <w:pPr>
        <w:spacing w:after="0" w:line="27"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34" w:lineRule="exact"/>
        <w:rPr>
          <w:sz w:val="20"/>
          <w:szCs w:val="20"/>
          <w:color w:val="auto"/>
        </w:rPr>
      </w:pPr>
    </w:p>
    <w:p>
      <w:pPr>
        <w:ind w:left="984" w:right="5740" w:hanging="984"/>
        <w:spacing w:after="0" w:line="257" w:lineRule="auto"/>
        <w:tabs>
          <w:tab w:leader="none" w:pos="9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H. Hunter, Acadia Healthcare Company, Inc. Brian Farley, Acadia Healthcare Company, Inc. Matthew R. Pacey, P.C., Kirkland &amp; Ellis LLP</w:t>
      </w:r>
    </w:p>
    <w:p>
      <w:pPr>
        <w:spacing w:after="0" w:line="1"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Ieuan A. List, Kirkland &amp; Ellis LLP</w:t>
      </w:r>
    </w:p>
    <w:p>
      <w:pPr>
        <w:sectPr>
          <w:pgSz w:w="11900" w:h="16838" w:orient="portrait"/>
          <w:cols w:equalWidth="0" w:num="1">
            <w:col w:w="10844"/>
          </w:cols>
          <w:pgMar w:left="436" w:top="270" w:right="619" w:bottom="1440" w:gutter="0" w:footer="0" w:header="0"/>
        </w:sectPr>
      </w:pPr>
    </w:p>
    <w:bookmarkStart w:id="6" w:name="page7"/>
    <w:bookmarkEnd w:id="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(Responsive changes italicized)</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Operating Statistics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Revenue in thousands)</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7"/>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0"/>
                <w:szCs w:val="10"/>
                <w:color w:val="auto"/>
              </w:rPr>
            </w:pPr>
          </w:p>
        </w:tc>
        <w:tc>
          <w:tcPr>
            <w:tcW w:w="580" w:type="dxa"/>
            <w:vAlign w:val="bottom"/>
          </w:tcPr>
          <w:p>
            <w:pPr>
              <w:jc w:val="right"/>
              <w:ind w:right="13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Same Facility Results (1)</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802,555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739,335</w:t>
            </w:r>
          </w:p>
        </w:tc>
        <w:tc>
          <w:tcPr>
            <w:tcW w:w="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2,334,956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2,148,408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Patient Days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800,880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764,703</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2,332,369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2,260,513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Admissions</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50,368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49,397</w:t>
            </w:r>
          </w:p>
        </w:tc>
        <w:tc>
          <w:tcPr>
            <w:tcW w:w="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147,617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147,130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Length of Stay (2)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per Patient Day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967</w:t>
            </w:r>
          </w:p>
        </w:tc>
        <w:tc>
          <w:tcPr>
            <w:tcW w:w="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Profit margin (3)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19.0%</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-10 bps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18.6%</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50 bps</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EBITDA margin (3)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 bps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 bps</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Profit margin excluding income from provider relief fund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18.4%</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50 bps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18.4%</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70 bps</w:t>
            </w:r>
          </w:p>
        </w:tc>
        <w:tc>
          <w:tcPr>
            <w:tcW w:w="0" w:type="dxa"/>
            <w:vAlign w:val="bottom"/>
          </w:tcPr>
          <w:p>
            <w:pPr>
              <w:spacing w:after="0"/>
              <w:rPr>
                <w:sz w:val="1"/>
                <w:szCs w:val="1"/>
                <w:color w:val="auto"/>
              </w:rPr>
            </w:pPr>
          </w:p>
        </w:tc>
      </w:tr>
      <w:tr>
        <w:trPr>
          <w:trHeight w:val="198"/>
        </w:trPr>
        <w:tc>
          <w:tcPr>
            <w:tcW w:w="50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Adjusted EBITDA margin excluding income from provider</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relief fund</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w:t>
            </w:r>
          </w:p>
        </w:tc>
        <w:tc>
          <w:tcPr>
            <w:tcW w:w="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 bps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 bps</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Results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815,634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750,334</w:t>
            </w:r>
          </w:p>
        </w:tc>
        <w:tc>
          <w:tcPr>
            <w:tcW w:w="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2,379,725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2,185,938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Patient Days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815,126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779,296</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2,375,477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2,306,109</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Admissions</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51,513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50,302</w:t>
            </w:r>
          </w:p>
        </w:tc>
        <w:tc>
          <w:tcPr>
            <w:tcW w:w="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151,082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150,237</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Length of Stay (2)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per Patient Day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963</w:t>
            </w:r>
          </w:p>
        </w:tc>
        <w:tc>
          <w:tcPr>
            <w:tcW w:w="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Profit margin (3)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18.5%</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-180 bps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17.6%</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0 bps</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EBITDA margin (3)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w:t>
            </w:r>
          </w:p>
        </w:tc>
        <w:tc>
          <w:tcPr>
            <w:tcW w:w="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-50 </w:t>
            </w:r>
            <w:r>
              <w:rPr>
                <w:rFonts w:ascii="Times New Roman" w:cs="Times New Roman" w:eastAsia="Times New Roman" w:hAnsi="Times New Roman"/>
                <w:sz w:val="18"/>
                <w:szCs w:val="18"/>
                <w:i w:val="1"/>
                <w:iCs w:val="1"/>
                <w:color w:val="auto"/>
              </w:rPr>
              <w:t>bps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 bps</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Profit margin excluding income from provider relief fund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17.9%</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-120 bps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17.4%</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20 bps</w:t>
            </w:r>
          </w:p>
        </w:tc>
        <w:tc>
          <w:tcPr>
            <w:tcW w:w="0" w:type="dxa"/>
            <w:vAlign w:val="bottom"/>
          </w:tcPr>
          <w:p>
            <w:pPr>
              <w:spacing w:after="0"/>
              <w:rPr>
                <w:sz w:val="1"/>
                <w:szCs w:val="1"/>
                <w:color w:val="auto"/>
              </w:rPr>
            </w:pPr>
          </w:p>
        </w:tc>
      </w:tr>
      <w:tr>
        <w:trPr>
          <w:trHeight w:val="198"/>
        </w:trPr>
        <w:tc>
          <w:tcPr>
            <w:tcW w:w="50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Adjusted EBITDA margin excluding income from provider</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relief fund</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w:t>
            </w:r>
          </w:p>
        </w:tc>
        <w:tc>
          <w:tcPr>
            <w:tcW w:w="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 bps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 bps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facility results for the periods presented include facilities we have operated for more than one year and exclude certain closed services.</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length of stay is defined as patient days divided by admissions.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the three and nine months ended September 30, 2023, includes income from provider relief fund of $4.4 million.</w:t>
      </w:r>
    </w:p>
    <w:p>
      <w:pPr>
        <w:sectPr>
          <w:pgSz w:w="11900" w:h="16838" w:orient="portrait"/>
          <w:cols w:equalWidth="0" w:num="1">
            <w:col w:w="11024"/>
          </w:cols>
          <w:pgMar w:left="436" w:top="266"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(Responsive changes italicized)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4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4"/>
          </w:tcPr>
          <w:p>
            <w:pPr>
              <w:jc w:val="right"/>
              <w:ind w:right="8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Acadia Healthcare Company,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68,132</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$(217,710)</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$222,997</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 (79,396)</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3,236</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2,185</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7,958</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27,199</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(71,873)</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72,916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(29,907)</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29,924</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20,742</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86,297</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61,651</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37,641</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33,388</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110,054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96,969</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166,132</w:t>
            </w:r>
          </w:p>
        </w:tc>
        <w:tc>
          <w:tcPr>
            <w:tcW w:w="4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(233,268)</w:t>
            </w:r>
          </w:p>
        </w:tc>
        <w:tc>
          <w:tcPr>
            <w:tcW w:w="4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500,222</w:t>
            </w:r>
          </w:p>
        </w:tc>
        <w:tc>
          <w:tcPr>
            <w:tcW w:w="3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 (a)</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9,467</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8,163</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27,014</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23,140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legal and other costs (b)</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8,249</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11,247</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17,187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26,792</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Legal settlements expense (c)</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394,181</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394,181</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impairment (d)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10,459</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11,459</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8,694</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194,307</w:t>
            </w:r>
          </w:p>
        </w:tc>
        <w:tc>
          <w:tcPr>
            <w:tcW w:w="4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$ 180,323</w:t>
            </w:r>
          </w:p>
        </w:tc>
        <w:tc>
          <w:tcPr>
            <w:tcW w:w="4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555,882</w:t>
            </w:r>
          </w:p>
        </w:tc>
        <w:tc>
          <w:tcPr>
            <w:tcW w:w="3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506,102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23.8%</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23.4%</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Profit margin</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8.4%</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(29.0)%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9.4%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(3.6)%</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provider relief fund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(4,442)</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excluding income from provider relief fund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194,307</w:t>
            </w:r>
          </w:p>
        </w:tc>
        <w:tc>
          <w:tcPr>
            <w:tcW w:w="4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$ 175,881</w:t>
            </w:r>
          </w:p>
        </w:tc>
        <w:tc>
          <w:tcPr>
            <w:tcW w:w="4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555,882</w:t>
            </w:r>
          </w:p>
        </w:tc>
        <w:tc>
          <w:tcPr>
            <w:tcW w:w="3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501,660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Net income (loss) attributable to Acadia Healthcare Company, Inc. excluding income from</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provider relief fund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w w:val="70"/>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68,132</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i w:val="1"/>
                <w:iCs w:val="1"/>
                <w:u w:val="single" w:color="auto"/>
                <w:color w:val="auto"/>
                <w:w w:val="98"/>
              </w:rPr>
              <w:t>$</w:t>
            </w:r>
            <w:r>
              <w:rPr>
                <w:rFonts w:ascii="Times New Roman" w:cs="Times New Roman" w:eastAsia="Times New Roman" w:hAnsi="Times New Roman"/>
                <w:sz w:val="18"/>
                <w:szCs w:val="18"/>
                <w:i w:val="1"/>
                <w:iCs w:val="1"/>
                <w:color w:val="auto"/>
                <w:w w:val="98"/>
              </w:rPr>
              <w:t>(222,152)</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222,997</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w w:val="98"/>
              </w:rPr>
              <w:t>$ (83,838)</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 margin excluding income from provider relief fund</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23.4%</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Profit margin excluding income from provider relief fund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8.4%</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(29.6)%</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9.4%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(3.8)%</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Net Income Attributable to Acadia Healthcare Company, Inc. to Adjusted EBITDA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00" w:type="dxa"/>
            <w:vAlign w:val="bottom"/>
          </w:tcPr>
          <w:p>
            <w:pPr>
              <w:spacing w:after="0"/>
              <w:rPr>
                <w:sz w:val="15"/>
                <w:szCs w:val="15"/>
                <w:color w:val="auto"/>
              </w:rPr>
            </w:pPr>
          </w:p>
        </w:tc>
        <w:tc>
          <w:tcPr>
            <w:tcW w:w="316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r>
      <w:tr>
        <w:trPr>
          <w:trHeight w:val="117"/>
        </w:trPr>
        <w:tc>
          <w:tcPr>
            <w:tcW w:w="4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Same</w:t>
            </w: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Same</w:t>
            </w: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87"/>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8"/>
        </w:trPr>
        <w:tc>
          <w:tcPr>
            <w:tcW w:w="4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Acadia Healthcare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Inc.</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$151,500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$136,420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68,132</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$140,356</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$138,456</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(217,710)</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2,185</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54,923</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49,523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27,199</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47,401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46,774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(71,873)</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207</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29,924</w:t>
            </w: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190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20,742</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31,948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33,482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37,641</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29,024</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29,633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33,388</w:t>
            </w: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238,578</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219,632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216,971</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215,052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(233,268)</w:t>
            </w:r>
          </w:p>
        </w:tc>
        <w:tc>
          <w:tcPr>
            <w:tcW w:w="220" w:type="dxa"/>
            <w:vAlign w:val="bottom"/>
          </w:tcPr>
          <w:p>
            <w:pPr>
              <w:spacing w:after="0"/>
              <w:rPr>
                <w:sz w:val="19"/>
                <w:szCs w:val="19"/>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 (a)</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9,467</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8,163</w:t>
            </w: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legal and other costs (b)</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8,249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11,247</w:t>
            </w: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Legal settlements expense (c)</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394,181</w:t>
            </w: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impairment (d)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10,459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238,578</w:t>
            </w:r>
          </w:p>
        </w:tc>
        <w:tc>
          <w:tcPr>
            <w:tcW w:w="3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230,091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194,307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216,971</w:t>
            </w:r>
          </w:p>
        </w:tc>
        <w:tc>
          <w:tcPr>
            <w:tcW w:w="3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215,052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180,323</w:t>
            </w:r>
          </w:p>
        </w:tc>
        <w:tc>
          <w:tcPr>
            <w:tcW w:w="220" w:type="dxa"/>
            <w:vAlign w:val="bottom"/>
          </w:tcPr>
          <w:p>
            <w:pPr>
              <w:spacing w:after="0"/>
              <w:rPr>
                <w:sz w:val="20"/>
                <w:szCs w:val="20"/>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Profit margin</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provider relief fund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(4,442)</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(4,442)</w:t>
            </w:r>
          </w:p>
        </w:tc>
      </w:tr>
      <w:tr>
        <w:trPr>
          <w:trHeight w:val="205"/>
        </w:trPr>
        <w:tc>
          <w:tcPr>
            <w:tcW w:w="4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Adjusted EBITDA excluding income from provider relief</w:t>
            </w: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238,578</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230,091</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194,307</w:t>
            </w: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212,529</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210,610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175,881</w:t>
            </w:r>
          </w:p>
        </w:tc>
      </w:tr>
      <w:tr>
        <w:trPr>
          <w:trHeight w:val="198"/>
        </w:trPr>
        <w:tc>
          <w:tcPr>
            <w:tcW w:w="4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Acadia Healthcare</w:t>
            </w:r>
          </w:p>
        </w:tc>
        <w:tc>
          <w:tcPr>
            <w:tcW w:w="1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Inc. excluding income from provider relief</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151,500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136,420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68,132</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135,914</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134,014</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(222,152)</w:t>
            </w:r>
          </w:p>
        </w:tc>
      </w:tr>
      <w:tr>
        <w:trPr>
          <w:trHeight w:val="205"/>
        </w:trPr>
        <w:tc>
          <w:tcPr>
            <w:tcW w:w="4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Adjusted EBITDA margin excluding income from provider</w:t>
            </w: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relief fund</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margin excluding income from provider relief fund</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r>
    </w:tbl>
    <w:p>
      <w:pPr>
        <w:sectPr>
          <w:pgSz w:w="11900" w:h="16838" w:orient="portrait"/>
          <w:cols w:equalWidth="0" w:num="1">
            <w:col w:w="11020"/>
          </w:cols>
          <w:pgMar w:left="440" w:top="266"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00" w:type="dxa"/>
            <w:vAlign w:val="bottom"/>
          </w:tcPr>
          <w:p>
            <w:pPr>
              <w:spacing w:after="0"/>
              <w:rPr>
                <w:sz w:val="15"/>
                <w:szCs w:val="15"/>
                <w:color w:val="auto"/>
              </w:rPr>
            </w:pPr>
          </w:p>
        </w:tc>
        <w:tc>
          <w:tcPr>
            <w:tcW w:w="316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r>
      <w:tr>
        <w:trPr>
          <w:trHeight w:val="117"/>
        </w:trPr>
        <w:tc>
          <w:tcPr>
            <w:tcW w:w="4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Same</w:t>
            </w: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Same</w:t>
            </w: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87"/>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8"/>
        </w:trPr>
        <w:tc>
          <w:tcPr>
            <w:tcW w:w="4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Acadia Healthcare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Inc.</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$445,884</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$418,383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222,997</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$ 399,117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$384,786</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(79,396)</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7,958</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3,978</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146,547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137,608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72,916</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135,188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130,424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(29,907)</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617</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86,297</w:t>
            </w: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625</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61,651</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91,801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96,985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110,054</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84,228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86,633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96,969</w:t>
            </w: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684,849</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653,593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500,222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619,158</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602,469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220" w:type="dxa"/>
            <w:vAlign w:val="bottom"/>
          </w:tcPr>
          <w:p>
            <w:pPr>
              <w:spacing w:after="0"/>
              <w:rPr>
                <w:sz w:val="19"/>
                <w:szCs w:val="19"/>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 (a)</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27,014</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23,140</w:t>
            </w: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legal and other costs (b)</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17,187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26,792</w:t>
            </w: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Legal settlements expense (c)</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394,181</w:t>
            </w: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impairment (d)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11,459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8,694</w:t>
            </w: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684,849</w:t>
            </w:r>
          </w:p>
        </w:tc>
        <w:tc>
          <w:tcPr>
            <w:tcW w:w="3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665,052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555,882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619,158</w:t>
            </w:r>
          </w:p>
        </w:tc>
        <w:tc>
          <w:tcPr>
            <w:tcW w:w="3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611,163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506,102</w:t>
            </w:r>
          </w:p>
        </w:tc>
        <w:tc>
          <w:tcPr>
            <w:tcW w:w="220" w:type="dxa"/>
            <w:vAlign w:val="bottom"/>
          </w:tcPr>
          <w:p>
            <w:pPr>
              <w:spacing w:after="0"/>
              <w:rPr>
                <w:sz w:val="20"/>
                <w:szCs w:val="20"/>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Profit margin</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provider relief fund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(4,442)</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(4,442)</w:t>
            </w:r>
          </w:p>
        </w:tc>
      </w:tr>
      <w:tr>
        <w:trPr>
          <w:trHeight w:val="205"/>
        </w:trPr>
        <w:tc>
          <w:tcPr>
            <w:tcW w:w="4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Adjusted EBITDA excluding income from provider relief</w:t>
            </w: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684,849</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665,052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555,882</w:t>
            </w: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614,716</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606,721</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501,660</w:t>
            </w:r>
          </w:p>
        </w:tc>
      </w:tr>
      <w:tr>
        <w:trPr>
          <w:trHeight w:val="198"/>
        </w:trPr>
        <w:tc>
          <w:tcPr>
            <w:tcW w:w="4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Acadia Healthcare</w:t>
            </w:r>
          </w:p>
        </w:tc>
        <w:tc>
          <w:tcPr>
            <w:tcW w:w="1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Inc. excluding income from provider relief</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445,884</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418,383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222,997</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394,675</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380,344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(83,838)</w:t>
            </w:r>
          </w:p>
        </w:tc>
      </w:tr>
      <w:tr>
        <w:trPr>
          <w:trHeight w:val="205"/>
        </w:trPr>
        <w:tc>
          <w:tcPr>
            <w:tcW w:w="4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Adjusted EBITDA margin excluding income from provider</w:t>
            </w: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relief fund</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margin excluding income from provider relief fund</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bl>
    <w:p>
      <w:pPr>
        <w:spacing w:after="0" w:line="1" w:lineRule="exact"/>
        <w:rPr>
          <w:sz w:val="20"/>
          <w:szCs w:val="20"/>
          <w:color w:val="auto"/>
        </w:rPr>
      </w:pPr>
    </w:p>
    <w:sectPr>
      <w:pgSz w:w="11900" w:h="16838" w:orient="portrait"/>
      <w:cols w:equalWidth="0" w:num="1">
        <w:col w:w="11020"/>
      </w:cols>
      <w:pgMar w:left="440" w:top="26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1"/>
    </w:lvl>
    <w:lvl w:ilvl="1">
      <w:lvlJc w:val="left"/>
      <w:lvlText w:val="%2."/>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lowerLetter"/>
      <w:start w:val="29"/>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2025-03-20T23:16:26Z</dcterms:created>
  <dcterms:modified xsi:type="dcterms:W3CDTF">2025-03-20T23:16:26Z</dcterms:modified>
</cp:coreProperties>
</file>