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611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Harrod Laurence L.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6100 TOWER CIRCLE, SUITE 1000</w:t>
            </w: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7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FRANKLIN</w:t>
            </w:r>
          </w:p>
        </w:tc>
        <w:tc>
          <w:tcPr>
            <w:tcW w:w="9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TN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37067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208" w:lineRule="exact"/>
              <w:rPr>
                <w:rFonts w:ascii="Arial" w:cs="Arial" w:eastAsia="Arial" w:hAnsi="Arial"/>
                <w:sz w:val="21"/>
                <w:szCs w:val="21"/>
                <w:color w:val="0000EE"/>
                <w:w w:val="95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5"/>
                </w:rPr>
                <w:t xml:space="preserve">Acadia Healthcare Company, Inc.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  <w:w w:val="95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  <w:w w:val="95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ACHC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  <w:w w:val="95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  <w:w w:val="95"/>
              </w:rPr>
              <w:t>]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9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03/24/2023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EVP of Finance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33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03/24/2023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2,600</w:t>
            </w:r>
          </w:p>
        </w:tc>
        <w:tc>
          <w:tcPr>
            <w:tcW w:w="4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69.44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217,008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Christopher L. Howard as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-8255</wp:posOffset>
            </wp:positionV>
            <wp:extent cx="127381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38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 in Fact for Laurence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03/27/2023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L. Harrod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43370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37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785450" TargetMode="External"/><Relationship Id="rId13" Type="http://schemas.openxmlformats.org/officeDocument/2006/relationships/hyperlink" Target="http://www.sec.gov/cgi-bin/browse-edgar?action=getcompany&amp;CIK=000152069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2023-03-27T16:46:40Z</dcterms:created>
  <dcterms:modified xsi:type="dcterms:W3CDTF">2023-03-27T16:46:40Z</dcterms:modified>
</cp:coreProperties>
</file>