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11,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ACADIA HEALTHCARE COMPANY,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420" w:type="dxa"/>
        <w:tblCellMar>
          <w:top w:w="0" w:type="dxa"/>
          <w:left w:w="0" w:type="dxa"/>
          <w:bottom w:w="0" w:type="dxa"/>
          <w:right w:w="0" w:type="dxa"/>
        </w:tblCellMar>
      </w:tblPr>
      <w:tr>
        <w:trPr>
          <w:trHeight w:val="211"/>
        </w:trPr>
        <w:tc>
          <w:tcPr>
            <w:tcW w:w="4460" w:type="dxa"/>
            <w:vAlign w:val="bottom"/>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2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45-2492228</w:t>
            </w:r>
          </w:p>
        </w:tc>
      </w:tr>
      <w:tr>
        <w:trPr>
          <w:trHeight w:val="147"/>
        </w:trPr>
        <w:tc>
          <w:tcPr>
            <w:tcW w:w="4460" w:type="dxa"/>
            <w:vAlign w:val="bottom"/>
          </w:tcPr>
          <w:p>
            <w:pPr>
              <w:jc w:val="center"/>
              <w:ind w:right="172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20" w:type="dxa"/>
            <w:vAlign w:val="bottom"/>
          </w:tcPr>
          <w:p>
            <w:pPr>
              <w:jc w:val="center"/>
              <w:ind w:left="174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460" w:type="dxa"/>
            <w:vAlign w:val="bottom"/>
          </w:tcPr>
          <w:p>
            <w:pPr>
              <w:jc w:val="center"/>
              <w:ind w:right="172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20" w:type="dxa"/>
            <w:vAlign w:val="bottom"/>
          </w:tcPr>
          <w:p>
            <w:pPr>
              <w:jc w:val="center"/>
              <w:ind w:left="17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17"/>
        </w:trPr>
        <w:tc>
          <w:tcPr>
            <w:tcW w:w="4460" w:type="dxa"/>
            <w:vAlign w:val="bottom"/>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4020 Aspen Grove Drive, Suite 900</w:t>
            </w:r>
          </w:p>
        </w:tc>
        <w:tc>
          <w:tcPr>
            <w:tcW w:w="2920" w:type="dxa"/>
            <w:vAlign w:val="bottom"/>
          </w:tcPr>
          <w:p>
            <w:pPr>
              <w:spacing w:after="0"/>
              <w:rPr>
                <w:sz w:val="24"/>
                <w:szCs w:val="24"/>
                <w:color w:val="auto"/>
              </w:rPr>
            </w:pPr>
          </w:p>
        </w:tc>
      </w:tr>
      <w:tr>
        <w:trPr>
          <w:trHeight w:val="211"/>
        </w:trPr>
        <w:tc>
          <w:tcPr>
            <w:tcW w:w="4460" w:type="dxa"/>
            <w:vAlign w:val="bottom"/>
          </w:tcPr>
          <w:p>
            <w:pPr>
              <w:jc w:val="center"/>
              <w:ind w:right="1740"/>
              <w:spacing w:after="0"/>
              <w:rPr>
                <w:sz w:val="20"/>
                <w:szCs w:val="20"/>
                <w:color w:val="auto"/>
              </w:rPr>
            </w:pPr>
            <w:r>
              <w:rPr>
                <w:rFonts w:ascii="Times New Roman" w:cs="Times New Roman" w:eastAsia="Times New Roman" w:hAnsi="Times New Roman"/>
                <w:sz w:val="18"/>
                <w:szCs w:val="18"/>
                <w:b w:val="1"/>
                <w:bCs w:val="1"/>
                <w:color w:val="auto"/>
                <w:w w:val="98"/>
              </w:rPr>
              <w:t>Franklin, Tennessee</w:t>
            </w:r>
          </w:p>
        </w:tc>
        <w:tc>
          <w:tcPr>
            <w:tcW w:w="292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37067</w:t>
            </w:r>
          </w:p>
        </w:tc>
      </w:tr>
      <w:tr>
        <w:trPr>
          <w:trHeight w:val="187"/>
        </w:trPr>
        <w:tc>
          <w:tcPr>
            <w:tcW w:w="4460" w:type="dxa"/>
            <w:vAlign w:val="bottom"/>
          </w:tcPr>
          <w:p>
            <w:pPr>
              <w:jc w:val="center"/>
              <w:ind w:right="17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20" w:type="dxa"/>
            <w:vAlign w:val="bottom"/>
          </w:tcPr>
          <w:p>
            <w:pPr>
              <w:jc w:val="center"/>
              <w:ind w:left="174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Acadia Healthcare Company, Inc. Amended and Restated Incentive Compensation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Brian P. Farley</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Administrative Officer and Secretary</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Acadia Healthcare Company,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4020 Aspen Grove Drive, Suite 900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Franklin, Tennessee 37067</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(615) 861-6000</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215900</wp:posOffset>
            </wp:positionV>
            <wp:extent cx="14503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James H. Nixon III</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Holland &amp; Knight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511 Union Street, Suite 2700</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Nashville, Tennessee 37219</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Telephone: (615) 244-6380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134620</wp:posOffset>
            </wp:positionV>
            <wp:extent cx="6921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177165</wp:posOffset>
            </wp:positionV>
            <wp:extent cx="69215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right="180" w:firstLine="436"/>
        <w:spacing w:after="0" w:line="268" w:lineRule="auto"/>
        <w:rPr>
          <w:sz w:val="20"/>
          <w:szCs w:val="20"/>
          <w:color w:val="auto"/>
        </w:rPr>
      </w:pPr>
      <w:r>
        <w:rPr>
          <w:rFonts w:ascii="Times New Roman" w:cs="Times New Roman" w:eastAsia="Times New Roman" w:hAnsi="Times New Roman"/>
          <w:sz w:val="17"/>
          <w:szCs w:val="17"/>
          <w:color w:val="auto"/>
        </w:rPr>
        <w:t>This registration statement (this “Registration Statement”) is being filed pursuant to General Instruction E to Form S-8 and relates to the registration of an additional 3,000,000 shares of common stock of Acadia Healthcare Company, Inc. (the “Registrant”) issuable pursuant to the Acadia Healthcare Company, Inc. Amended and Restated Incentive Compensation Plan, as amended (the “Incentive Plan”). The contents of the Registrant’s registration statements on Form S-8 previously filed with the Securities and Exchange Commission (the “SEC”) on November 15, 2011 (Reg.</w:t>
      </w:r>
    </w:p>
    <w:p>
      <w:pPr>
        <w:spacing w:after="0" w:line="1"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No. 333-177990), July 30, 2013 (Reg. No. 333-190232), May 20, 2016 (Reg. No. 333-211505), August 3, 2021 (Reg. No. 333-258420) and May 30, 2025 (Reg. No. 333-287698), including all exhibits filed therewith or incorporated therein by reference, are incorporated herein by reference and made a part hereof, except as the same may be modified by the information set forth herein.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The document(s) containing the information specified in Part I of this Form S-8 will be sent or given to participants as specified by Rule 428(b)(1) of the Securities Act of 1933, as amended (the “Securities Act”). Such documents need not be filed with the SEC either as part of this Registration Statement or as prospectuses or prospectus supplements pursuant to Rule 424 of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right="580" w:firstLine="436"/>
        <w:spacing w:after="0" w:line="262" w:lineRule="auto"/>
        <w:rPr>
          <w:sz w:val="20"/>
          <w:szCs w:val="20"/>
          <w:color w:val="auto"/>
        </w:rPr>
      </w:pPr>
      <w:r>
        <w:rPr>
          <w:rFonts w:ascii="Times New Roman" w:cs="Times New Roman" w:eastAsia="Times New Roman" w:hAnsi="Times New Roman"/>
          <w:sz w:val="18"/>
          <w:szCs w:val="18"/>
          <w:color w:val="auto"/>
        </w:rPr>
        <w:t>The SEC allows us to “incorporate by reference” information into this Registration Statement, which means that we can disclose important information to you by referring you to another document filed separately with the SEC. The following documents, which have been filed by the Registrant with the SEC, are incorporated in this Registration Statement by reference:</w:t>
      </w:r>
    </w:p>
    <w:p>
      <w:pPr>
        <w:spacing w:after="0" w:line="70" w:lineRule="exact"/>
        <w:rPr>
          <w:sz w:val="20"/>
          <w:szCs w:val="20"/>
          <w:color w:val="auto"/>
        </w:rPr>
      </w:pPr>
    </w:p>
    <w:p>
      <w:pPr>
        <w:ind w:left="1100" w:hanging="252"/>
        <w:spacing w:after="0"/>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19">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w:t>
      </w:r>
    </w:p>
    <w:p>
      <w:pPr>
        <w:spacing w:after="0" w:line="113" w:lineRule="exact"/>
        <w:rPr>
          <w:rFonts w:ascii="Times New Roman" w:cs="Times New Roman" w:eastAsia="Times New Roman" w:hAnsi="Times New Roman"/>
          <w:sz w:val="18"/>
          <w:szCs w:val="18"/>
          <w:color w:val="auto"/>
        </w:rPr>
      </w:pPr>
    </w:p>
    <w:p>
      <w:pPr>
        <w:ind w:left="1100" w:hanging="252"/>
        <w:spacing w:after="0"/>
        <w:tabs>
          <w:tab w:leader="none" w:pos="11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Quarterly Report on </w:t>
      </w:r>
      <w:hyperlink r:id="rId20">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 ended March 31, 2026;</w:t>
      </w:r>
    </w:p>
    <w:p>
      <w:pPr>
        <w:spacing w:after="0" w:line="113" w:lineRule="exact"/>
        <w:rPr>
          <w:rFonts w:ascii="Times New Roman" w:cs="Times New Roman" w:eastAsia="Times New Roman" w:hAnsi="Times New Roman"/>
          <w:sz w:val="18"/>
          <w:szCs w:val="18"/>
          <w:color w:val="auto"/>
        </w:rPr>
      </w:pPr>
    </w:p>
    <w:p>
      <w:pPr>
        <w:jc w:val="both"/>
        <w:ind w:left="420" w:right="160" w:firstLine="428"/>
        <w:spacing w:after="0" w:line="262" w:lineRule="auto"/>
        <w:tabs>
          <w:tab w:leader="none" w:pos="1081" w:val="left"/>
        </w:tabs>
        <w:numPr>
          <w:ilvl w:val="0"/>
          <w:numId w:val="1"/>
        </w:numPr>
        <w:rPr>
          <w:rFonts w:ascii="Times New Roman" w:cs="Times New Roman" w:eastAsia="Times New Roman" w:hAnsi="Times New Roman"/>
          <w:sz w:val="18"/>
          <w:szCs w:val="18"/>
          <w:color w:val="0000EE"/>
        </w:rPr>
      </w:pPr>
      <w:hyperlink r:id="rId21">
        <w:r>
          <w:rPr>
            <w:rFonts w:ascii="Times New Roman" w:cs="Times New Roman" w:eastAsia="Times New Roman" w:hAnsi="Times New Roman"/>
            <w:sz w:val="18"/>
            <w:szCs w:val="18"/>
            <w:color w:val="auto"/>
          </w:rPr>
          <w:t xml:space="preserve">The Registrant’s Current Reports on Form 8-K filed with the SEC on </w:t>
        </w:r>
        <w:r>
          <w:rPr>
            <w:rFonts w:ascii="Times New Roman" w:cs="Times New Roman" w:eastAsia="Times New Roman" w:hAnsi="Times New Roman"/>
            <w:sz w:val="18"/>
            <w:szCs w:val="18"/>
            <w:u w:val="single" w:color="auto"/>
            <w:color w:val="0000EE"/>
          </w:rPr>
          <w:t>January 20,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January 23,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12,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April 23,</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22">
        <w:r>
          <w:rPr>
            <w:rFonts w:ascii="Times New Roman" w:cs="Times New Roman" w:eastAsia="Times New Roman" w:hAnsi="Times New Roman"/>
            <w:sz w:val="18"/>
            <w:szCs w:val="18"/>
            <w:u w:val="single" w:color="auto"/>
            <w:color w:val="0000EE"/>
          </w:rPr>
          <w:t xml:space="preserve">May 6, 2026 </w:t>
        </w:r>
      </w:hyperlink>
      <w:hyperlink r:id="rId21">
        <w:r>
          <w:rPr>
            <w:rFonts w:ascii="Times New Roman" w:cs="Times New Roman" w:eastAsia="Times New Roman" w:hAnsi="Times New Roman"/>
            <w:sz w:val="18"/>
            <w:szCs w:val="18"/>
            <w:color w:val="000000"/>
          </w:rPr>
          <w:t>(other than information furnished pursuant to Item 2.02 or Item 7.01 of the Current Report on Form 8-K, unless expressly</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stated otherwise therein); and</w:t>
      </w:r>
    </w:p>
    <w:p>
      <w:pPr>
        <w:spacing w:after="0" w:line="70" w:lineRule="exact"/>
        <w:rPr>
          <w:rFonts w:ascii="Times New Roman" w:cs="Times New Roman" w:eastAsia="Times New Roman" w:hAnsi="Times New Roman"/>
          <w:sz w:val="18"/>
          <w:szCs w:val="18"/>
          <w:color w:val="0000EE"/>
        </w:rPr>
      </w:pPr>
    </w:p>
    <w:p>
      <w:pPr>
        <w:jc w:val="both"/>
        <w:ind w:left="420" w:right="80" w:firstLine="428"/>
        <w:spacing w:after="0" w:line="262" w:lineRule="auto"/>
        <w:tabs>
          <w:tab w:leader="none" w:pos="1087"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the Registrant’s Registration Statement on </w:t>
      </w:r>
      <w:hyperlink r:id="rId23">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filed with the SEC pursuant to Section 12(b) of the Securities Exchange Act of 1934, as amended (the “Exchange Act”), on October 31, 2011 (Reg. No. 001-35331), including any amendments or reports filed for the purpose of updating such descriptions.</w:t>
      </w:r>
    </w:p>
    <w:p>
      <w:pPr>
        <w:spacing w:after="0" w:line="177" w:lineRule="exact"/>
        <w:rPr>
          <w:rFonts w:ascii="Times New Roman" w:cs="Times New Roman" w:eastAsia="Times New Roman" w:hAnsi="Times New Roman"/>
          <w:sz w:val="18"/>
          <w:szCs w:val="18"/>
          <w:color w:val="0000EE"/>
        </w:rPr>
      </w:pPr>
    </w:p>
    <w:p>
      <w:pPr>
        <w:jc w:val="both"/>
        <w:ind w:right="60" w:firstLine="436"/>
        <w:spacing w:after="0" w:line="257" w:lineRule="auto"/>
        <w:rPr>
          <w:sz w:val="20"/>
          <w:szCs w:val="20"/>
          <w:color w:val="auto"/>
        </w:rPr>
      </w:pPr>
      <w:r>
        <w:rPr>
          <w:rFonts w:ascii="Times New Roman" w:cs="Times New Roman" w:eastAsia="Times New Roman" w:hAnsi="Times New Roman"/>
          <w:sz w:val="18"/>
          <w:szCs w:val="18"/>
          <w:color w:val="auto"/>
        </w:rPr>
        <w:t>All reports and other documents subsequently filed by the Registrant pursuant to Sections 13(a), 13(c), 14 and 15(d) of the Exchange Act after the date of this Registration Statement, but prior to the filing of a post-effective amendment which indicates that all securities offered hereby have been sold or which deregisters all securities then remaining unsold, shall be deemed to be incorporated by reference herein and to be a part hereof from the date of filing of such documents.</w:t>
      </w:r>
    </w:p>
    <w:p>
      <w:pPr>
        <w:spacing w:after="0" w:line="182" w:lineRule="exact"/>
        <w:rPr>
          <w:rFonts w:ascii="Times New Roman" w:cs="Times New Roman" w:eastAsia="Times New Roman" w:hAnsi="Times New Roman"/>
          <w:sz w:val="18"/>
          <w:szCs w:val="18"/>
          <w:color w:val="0000EE"/>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ectPr>
          <w:pgSz w:w="11900" w:h="16838" w:orient="portrait"/>
          <w:cols w:equalWidth="0" w:num="1">
            <w:col w:w="10900"/>
          </w:cols>
          <w:pgMar w:left="500" w:top="264"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18" w:lineRule="exact"/>
        <w:rPr>
          <w:sz w:val="20"/>
          <w:szCs w:val="20"/>
          <w:color w:val="auto"/>
        </w:rPr>
      </w:pPr>
    </w:p>
    <w:p>
      <w:pPr>
        <w:ind w:right="220" w:firstLine="436"/>
        <w:spacing w:after="0" w:line="253" w:lineRule="auto"/>
        <w:rPr>
          <w:sz w:val="20"/>
          <w:szCs w:val="20"/>
          <w:color w:val="auto"/>
        </w:rPr>
      </w:pPr>
      <w:r>
        <w:rPr>
          <w:rFonts w:ascii="Times New Roman" w:cs="Times New Roman" w:eastAsia="Times New Roman" w:hAnsi="Times New Roman"/>
          <w:sz w:val="18"/>
          <w:szCs w:val="18"/>
          <w:color w:val="auto"/>
        </w:rPr>
        <w:t>The Registrant is incorporated under the laws of the State of Delaware. Section 102(b)(7) of the Delaware General Corporation Law (the “DGCL”) allows a corporation to provide in its certificate of incorporation that a director of the corporation will not be personally liable to the corporation or its stockholders for monetary damages for breach of fiduciary duty as a director, except where the director breached the duty of loyalty, failed to act in good faith, engaged in intentional misconduct or knowingly violated a law, authorized the payment of a dividend or approved a stock repurchase in violation of Delaware corporate law or obtained an improper personal benefit. The Registrant’s amended and restated certificate of incorporation provides for this limitation of liability.</w:t>
      </w:r>
    </w:p>
    <w:p>
      <w:pPr>
        <w:spacing w:after="0" w:line="187"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7"/>
          <w:szCs w:val="17"/>
          <w:color w:val="auto"/>
        </w:rPr>
        <w:t>Section 145 of the DGCL (“Section 145”) provides that a Delaware corporation may indemnify any person who was, is or is threatened to be made party to any threatened, pending or completed action, suit or proceeding, whether civil, criminal, administrative or investigative (other than an action by or in the right of such corporation), by reason of the fact that such person is or was an officer, director, employee or agent of such corporation or is or was serving at the request of such corporation as a director, officer, employee or agent of another corporation or enterprise. The indemnity may include expenses (including attorneys’ fees), judgments, fines and amounts paid in settlement actually and reasonably incurred by such person in connection with such action, suit or proceeding, provided such person acted in good faith and in a manner he reasonably believed to be in or not opposed to the corporation’s best interests and, with respect to any criminal action or proceeding, had no reasonable cause to believe that his or her conduct was illegal. A Delaware corporation may indemnify any persons who are, were or are threatened to be made a party to any threatened, pending or completed action or suit by or in the right of the corporation by reason of the fact that such person is or was a director, officer, employee or agent of another corporation or enterprise. The indemnity may include expenses (including attorneys’ fees) actually and reasonably incurred by such person in connection with the defense or settlement of such action or suit, provided such person acted in good faith and in a manner he reasonably believed to be in or not opposed to the corporation’s best interests, provided that no indemnification is permitted without judicial approval if the officer, director, employee or agent is adjudged to be liable to the corporation. Where an officer or director is successful on the merits or otherwise in the defense of any action referred to above, the corporation must indemnify him against the expenses which such officer or director has actually and reasonably incurred.</w:t>
      </w:r>
    </w:p>
    <w:p>
      <w:pPr>
        <w:spacing w:after="0" w:line="184" w:lineRule="exact"/>
        <w:rPr>
          <w:sz w:val="20"/>
          <w:szCs w:val="20"/>
          <w:color w:val="auto"/>
        </w:rPr>
      </w:pPr>
    </w:p>
    <w:p>
      <w:pPr>
        <w:ind w:right="20" w:firstLine="436"/>
        <w:spacing w:after="0" w:line="257" w:lineRule="auto"/>
        <w:rPr>
          <w:sz w:val="20"/>
          <w:szCs w:val="20"/>
          <w:color w:val="auto"/>
        </w:rPr>
      </w:pPr>
      <w:r>
        <w:rPr>
          <w:rFonts w:ascii="Times New Roman" w:cs="Times New Roman" w:eastAsia="Times New Roman" w:hAnsi="Times New Roman"/>
          <w:sz w:val="18"/>
          <w:szCs w:val="18"/>
          <w:color w:val="auto"/>
        </w:rPr>
        <w:t>Section 145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or enterprise, against any liability asserted against him and incurred by him in any such capacity, or arising out of his or her status as such, whether or not the corporation would otherwise have the power to indemnify him under Section 145.</w:t>
      </w:r>
    </w:p>
    <w:p>
      <w:pPr>
        <w:spacing w:after="0" w:line="182"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color w:val="auto"/>
        </w:rPr>
        <w:t>The Registrant’s amended and restated bylaws provide that the Registrant must indemnify its directors and officers to the fullest extent authorized by the DGCL and must also pay expenses incurred in defending any such proceeding in advance of its final disposition; provided, that if and to the extent required by the DGCL, the advancement of expenses shall only be made upon delivery of an undertaking, by or on behalf of an indemnified person, to repay all amounts so advanced if it should be determined ultimately that such person is not entitled to be indemnified.</w:t>
      </w:r>
    </w:p>
    <w:p>
      <w:pPr>
        <w:spacing w:after="0" w:line="182"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The Registrant entered into indemnification agreements with each of its directors and executive officers. These agreements require the Registrant to indemnify these individuals to the fullest extent permitted under Delaware law against liabilities that may arise by reason of their service to the Registrant, and to advance expenses incurred as a result of any proceeding against them as to which they could be indemnified.</w:t>
      </w:r>
    </w:p>
    <w:p>
      <w:pPr>
        <w:spacing w:after="0" w:line="177" w:lineRule="exact"/>
        <w:rPr>
          <w:sz w:val="20"/>
          <w:szCs w:val="20"/>
          <w:color w:val="auto"/>
        </w:rPr>
      </w:pPr>
    </w:p>
    <w:p>
      <w:pPr>
        <w:ind w:right="320" w:firstLine="436"/>
        <w:spacing w:after="0" w:line="262" w:lineRule="auto"/>
        <w:rPr>
          <w:sz w:val="20"/>
          <w:szCs w:val="20"/>
          <w:color w:val="auto"/>
        </w:rPr>
      </w:pPr>
      <w:r>
        <w:rPr>
          <w:rFonts w:ascii="Times New Roman" w:cs="Times New Roman" w:eastAsia="Times New Roman" w:hAnsi="Times New Roman"/>
          <w:sz w:val="18"/>
          <w:szCs w:val="18"/>
          <w:color w:val="auto"/>
        </w:rPr>
        <w:t>The indemnification rights set forth above shall not be exclusive of any other right which an indemnified person may have or hereafter acquire under any statute, provision of the Registrant’s certificate of incorporation or bylaws, agreement, vote of stockholders or disinterested directors or otherwise.</w:t>
      </w:r>
    </w:p>
    <w:p>
      <w:pPr>
        <w:sectPr>
          <w:pgSz w:w="11900" w:h="16838" w:orient="portrait"/>
          <w:cols w:equalWidth="0" w:num="1">
            <w:col w:w="10900"/>
          </w:cols>
          <w:pgMar w:left="500" w:top="264" w:right="499" w:bottom="1440" w:gutter="0" w:footer="0" w:header="0"/>
        </w:sectPr>
      </w:pPr>
    </w:p>
    <w:bookmarkStart w:id="3" w:name="page4"/>
    <w:bookmarkEnd w:id="3"/>
    <w:p>
      <w:pPr>
        <w:jc w:val="both"/>
        <w:ind w:left="6" w:right="42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Registrant maintains standard policies of insurance that provide coverage (1) to its directors and officers against loss arising from claims made by reason of breach of duty or other wrongful act and (2) to the Registrant with respect to indemnification payments that it may make to such directors and officers.</w:t>
      </w:r>
    </w:p>
    <w:p>
      <w:pPr>
        <w:spacing w:after="0" w:line="320" w:lineRule="exact"/>
        <w:rPr>
          <w:sz w:val="20"/>
          <w:szCs w:val="20"/>
          <w:color w:val="auto"/>
        </w:rPr>
      </w:pPr>
    </w:p>
    <w:tbl>
      <w:tblPr>
        <w:tblLayout w:type="fixed"/>
        <w:tblInd w:w="6" w:type="dxa"/>
        <w:tblCellMar>
          <w:top w:w="0" w:type="dxa"/>
          <w:left w:w="0" w:type="dxa"/>
          <w:bottom w:w="0" w:type="dxa"/>
          <w:right w:w="0" w:type="dxa"/>
        </w:tblCellMar>
      </w:tblPr>
      <w:tr>
        <w:trPr>
          <w:trHeight w:val="237"/>
        </w:trPr>
        <w:tc>
          <w:tcPr>
            <w:tcW w:w="9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Item 8.</w:t>
            </w:r>
          </w:p>
        </w:tc>
        <w:tc>
          <w:tcPr>
            <w:tcW w:w="99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0" w:type="dxa"/>
            <w:vAlign w:val="bottom"/>
          </w:tcPr>
          <w:p>
            <w:pPr>
              <w:spacing w:after="0"/>
              <w:rPr>
                <w:sz w:val="1"/>
                <w:szCs w:val="1"/>
                <w:color w:val="auto"/>
              </w:rPr>
            </w:pPr>
          </w:p>
        </w:tc>
      </w:tr>
      <w:tr>
        <w:trPr>
          <w:trHeight w:val="362"/>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9980" w:type="dxa"/>
            <w:vAlign w:val="bottom"/>
            <w:vMerge w:val="restart"/>
          </w:tcPr>
          <w:p>
            <w:pPr>
              <w:ind w:left="4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2"/>
        </w:trPr>
        <w:tc>
          <w:tcPr>
            <w:tcW w:w="9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5" w:lineRule="exact"/>
        <w:rPr>
          <w:sz w:val="20"/>
          <w:szCs w:val="20"/>
          <w:color w:val="auto"/>
        </w:rPr>
      </w:pPr>
    </w:p>
    <w:p>
      <w:pPr>
        <w:ind w:left="926" w:right="300" w:hanging="926"/>
        <w:spacing w:after="0" w:line="262" w:lineRule="auto"/>
        <w:tabs>
          <w:tab w:leader="none" w:pos="93"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4.1</w:t>
      </w:r>
      <w:hyperlink r:id="rId26">
        <w:r>
          <w:rPr>
            <w:rFonts w:ascii="Times New Roman" w:cs="Times New Roman" w:eastAsia="Times New Roman" w:hAnsi="Times New Roman"/>
            <w:sz w:val="18"/>
            <w:szCs w:val="18"/>
            <w:u w:val="single" w:color="auto"/>
            <w:color w:val="0000EE"/>
          </w:rPr>
          <w:t>Amended and Restated Certificate of Incorporation of Acadia Healthcare Company, Inc. (the “Company”), as filed on October 28, 2011</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with the Secretary of State of the State of Delaware, as amended by the Certificate of Amendments filed on May 25, 2017 and May 23,</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w:t>
        </w:r>
      </w:hyperlink>
    </w:p>
    <w:p>
      <w:pPr>
        <w:spacing w:after="0" w:line="70" w:lineRule="exact"/>
        <w:rPr>
          <w:rFonts w:ascii="Times New Roman" w:cs="Times New Roman" w:eastAsia="Times New Roman" w:hAnsi="Times New Roman"/>
          <w:sz w:val="18"/>
          <w:szCs w:val="18"/>
          <w:color w:val="0000EE"/>
        </w:rPr>
      </w:pPr>
    </w:p>
    <w:p>
      <w:pPr>
        <w:ind w:left="86" w:hanging="86"/>
        <w:spacing w:after="0"/>
        <w:tabs>
          <w:tab w:leader="none" w:pos="86"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4.2</w:t>
      </w:r>
      <w:hyperlink r:id="rId27">
        <w:r>
          <w:rPr>
            <w:rFonts w:ascii="Times New Roman" w:cs="Times New Roman" w:eastAsia="Times New Roman" w:hAnsi="Times New Roman"/>
            <w:sz w:val="17"/>
            <w:szCs w:val="17"/>
            <w:u w:val="single" w:color="auto"/>
            <w:color w:val="0000EE"/>
          </w:rPr>
          <w:t xml:space="preserve">Amended and Restated Bylaws of the Company, as amended May 25, 2017. </w:t>
        </w:r>
      </w:hyperlink>
      <w:r>
        <w:rPr>
          <w:rFonts w:ascii="Times New Roman" w:cs="Times New Roman" w:eastAsia="Times New Roman" w:hAnsi="Times New Roman"/>
          <w:sz w:val="17"/>
          <w:szCs w:val="17"/>
          <w:color w:val="000000"/>
        </w:rPr>
        <w:t>(b)</w:t>
      </w:r>
    </w:p>
    <w:p>
      <w:pPr>
        <w:spacing w:after="0" w:line="125" w:lineRule="exact"/>
        <w:rPr>
          <w:rFonts w:ascii="Times New Roman" w:cs="Times New Roman" w:eastAsia="Times New Roman" w:hAnsi="Times New Roman"/>
          <w:sz w:val="17"/>
          <w:szCs w:val="17"/>
          <w:u w:val="single" w:color="auto"/>
          <w:color w:val="0000EE"/>
        </w:rPr>
      </w:pPr>
    </w:p>
    <w:p>
      <w:pPr>
        <w:ind w:left="86" w:hanging="86"/>
        <w:spacing w:after="0"/>
        <w:tabs>
          <w:tab w:leader="none" w:pos="86" w:val="left"/>
        </w:tabs>
        <w:numPr>
          <w:ilvl w:val="0"/>
          <w:numId w:val="2"/>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  4.3</w:t>
      </w:r>
      <w:hyperlink r:id="rId28">
        <w:r>
          <w:rPr>
            <w:rFonts w:ascii="Times New Roman" w:cs="Times New Roman" w:eastAsia="Times New Roman" w:hAnsi="Times New Roman"/>
            <w:sz w:val="17"/>
            <w:szCs w:val="17"/>
            <w:u w:val="single" w:color="auto"/>
            <w:color w:val="0000EE"/>
          </w:rPr>
          <w:t xml:space="preserve">Specimen of the Company’s Common Stock Certificate. </w:t>
        </w:r>
      </w:hyperlink>
      <w:r>
        <w:rPr>
          <w:rFonts w:ascii="Times New Roman" w:cs="Times New Roman" w:eastAsia="Times New Roman" w:hAnsi="Times New Roman"/>
          <w:sz w:val="17"/>
          <w:szCs w:val="17"/>
          <w:color w:val="000000"/>
        </w:rPr>
        <w:t>(c)</w:t>
      </w:r>
    </w:p>
    <w:p>
      <w:pPr>
        <w:spacing w:after="0" w:line="125" w:lineRule="exact"/>
        <w:rPr>
          <w:rFonts w:ascii="Times New Roman" w:cs="Times New Roman" w:eastAsia="Times New Roman" w:hAnsi="Times New Roman"/>
          <w:sz w:val="17"/>
          <w:szCs w:val="17"/>
          <w:u w:val="single" w:color="auto"/>
          <w:color w:val="0000EE"/>
        </w:rPr>
      </w:pPr>
    </w:p>
    <w:p>
      <w:pPr>
        <w:ind w:left="926" w:right="160" w:hanging="926"/>
        <w:spacing w:after="0" w:line="277" w:lineRule="auto"/>
        <w:tabs>
          <w:tab w:leader="none" w:pos="93"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4.4</w:t>
      </w:r>
      <w:hyperlink r:id="rId29">
        <w:r>
          <w:rPr>
            <w:rFonts w:ascii="Times New Roman" w:cs="Times New Roman" w:eastAsia="Times New Roman" w:hAnsi="Times New Roman"/>
            <w:sz w:val="18"/>
            <w:szCs w:val="18"/>
            <w:u w:val="single" w:color="auto"/>
            <w:color w:val="0000EE"/>
          </w:rPr>
          <w:t>Amended and Restated Stockholders Agreement, dated as of October 29, 2014, by and among the Company and each of the stockholders</w:t>
        </w:r>
      </w:hyperlink>
      <w:r>
        <w:rPr>
          <w:rFonts w:ascii="Times New Roman" w:cs="Times New Roman" w:eastAsia="Times New Roman" w:hAnsi="Times New Roman"/>
          <w:sz w:val="18"/>
          <w:szCs w:val="18"/>
          <w:u w:val="single" w:color="auto"/>
          <w:color w:val="0000EE"/>
        </w:rPr>
        <w:t xml:space="preserve"> </w:t>
      </w:r>
      <w:hyperlink r:id="rId29">
        <w:r>
          <w:rPr>
            <w:rFonts w:ascii="Times New Roman" w:cs="Times New Roman" w:eastAsia="Times New Roman" w:hAnsi="Times New Roman"/>
            <w:sz w:val="18"/>
            <w:szCs w:val="18"/>
            <w:u w:val="single" w:color="auto"/>
            <w:color w:val="0000EE"/>
          </w:rPr>
          <w:t>named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(d)</w:t>
        </w:r>
      </w:hyperlink>
    </w:p>
    <w:p>
      <w:pPr>
        <w:spacing w:after="0" w:line="56" w:lineRule="exact"/>
        <w:rPr>
          <w:rFonts w:ascii="Times New Roman" w:cs="Times New Roman" w:eastAsia="Times New Roman" w:hAnsi="Times New Roman"/>
          <w:sz w:val="18"/>
          <w:szCs w:val="18"/>
          <w:color w:val="0000EE"/>
        </w:rPr>
      </w:pPr>
    </w:p>
    <w:p>
      <w:pPr>
        <w:ind w:left="926" w:right="100" w:hanging="926"/>
        <w:spacing w:after="0" w:line="277" w:lineRule="auto"/>
        <w:tabs>
          <w:tab w:leader="none" w:pos="93"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4.5</w:t>
      </w:r>
      <w:hyperlink r:id="rId30">
        <w:r>
          <w:rPr>
            <w:rFonts w:ascii="Times New Roman" w:cs="Times New Roman" w:eastAsia="Times New Roman" w:hAnsi="Times New Roman"/>
            <w:sz w:val="18"/>
            <w:szCs w:val="18"/>
            <w:u w:val="single" w:color="auto"/>
            <w:color w:val="0000EE"/>
          </w:rPr>
          <w:t>Third Amended and Restated Registration Rights Agreement dated as of December 31, 2015, by and among the Company and each of the</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parties named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w:t>
        </w:r>
      </w:hyperlink>
    </w:p>
    <w:p>
      <w:pPr>
        <w:spacing w:after="0" w:line="56" w:lineRule="exact"/>
        <w:rPr>
          <w:rFonts w:ascii="Times New Roman" w:cs="Times New Roman" w:eastAsia="Times New Roman" w:hAnsi="Times New Roman"/>
          <w:sz w:val="18"/>
          <w:szCs w:val="18"/>
          <w:color w:val="0000EE"/>
        </w:rPr>
      </w:pPr>
    </w:p>
    <w:p>
      <w:pPr>
        <w:ind w:left="926" w:right="180" w:hanging="926"/>
        <w:spacing w:after="0" w:line="277" w:lineRule="auto"/>
        <w:tabs>
          <w:tab w:leader="none" w:pos="93" w:val="left"/>
        </w:tabs>
        <w:numPr>
          <w:ilvl w:val="0"/>
          <w:numId w:val="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4.6</w:t>
      </w:r>
      <w:hyperlink r:id="rId30">
        <w:r>
          <w:rPr>
            <w:rFonts w:ascii="Times New Roman" w:cs="Times New Roman" w:eastAsia="Times New Roman" w:hAnsi="Times New Roman"/>
            <w:sz w:val="18"/>
            <w:szCs w:val="18"/>
            <w:u w:val="single" w:color="auto"/>
            <w:color w:val="0000EE"/>
          </w:rPr>
          <w:t>Joinder, dated February 16, 2016, to the Third Amended and Restated Registration Rights Agreement dated as of December 31, 2015, by</w:t>
        </w:r>
      </w:hyperlink>
      <w:r>
        <w:rPr>
          <w:rFonts w:ascii="Times New Roman" w:cs="Times New Roman" w:eastAsia="Times New Roman" w:hAnsi="Times New Roman"/>
          <w:sz w:val="18"/>
          <w:szCs w:val="18"/>
          <w:u w:val="single" w:color="auto"/>
          <w:color w:val="0000EE"/>
        </w:rPr>
        <w:t xml:space="preserve"> </w:t>
      </w:r>
      <w:hyperlink r:id="rId30">
        <w:r>
          <w:rPr>
            <w:rFonts w:ascii="Times New Roman" w:cs="Times New Roman" w:eastAsia="Times New Roman" w:hAnsi="Times New Roman"/>
            <w:sz w:val="18"/>
            <w:szCs w:val="18"/>
            <w:u w:val="single" w:color="auto"/>
            <w:color w:val="0000EE"/>
          </w:rPr>
          <w:t>and among the Company and each of the parties named therein.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w:t>
        </w:r>
      </w:hyperlink>
    </w:p>
    <w:p>
      <w:pPr>
        <w:spacing w:after="0" w:line="56" w:lineRule="exact"/>
        <w:rPr>
          <w:rFonts w:ascii="Times New Roman" w:cs="Times New Roman" w:eastAsia="Times New Roman" w:hAnsi="Times New Roman"/>
          <w:sz w:val="18"/>
          <w:szCs w:val="18"/>
          <w:color w:val="0000EE"/>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5.1*</w:t>
      </w:r>
      <w:r>
        <w:rPr>
          <w:rFonts w:ascii="Times New Roman" w:cs="Times New Roman" w:eastAsia="Times New Roman" w:hAnsi="Times New Roman"/>
          <w:sz w:val="17"/>
          <w:szCs w:val="17"/>
          <w:u w:val="single" w:color="auto"/>
          <w:color w:val="0000EE"/>
        </w:rPr>
        <w:t>Opinion of Holland &amp; Knight LLP, with respect to the legality of the shares of common stock being registered hereby.</w:t>
      </w:r>
    </w:p>
    <w:p>
      <w:pPr>
        <w:spacing w:after="0" w:line="125"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23.1*</w:t>
      </w:r>
      <w:r>
        <w:rPr>
          <w:rFonts w:ascii="Times New Roman" w:cs="Times New Roman" w:eastAsia="Times New Roman" w:hAnsi="Times New Roman"/>
          <w:sz w:val="17"/>
          <w:szCs w:val="17"/>
          <w:u w:val="single" w:color="auto"/>
          <w:color w:val="0000EE"/>
        </w:rPr>
        <w:t>Consent of Ernst &amp; Young LLP, an independent registered public accounting firm.</w:t>
      </w:r>
    </w:p>
    <w:p>
      <w:pPr>
        <w:spacing w:after="0" w:line="123" w:lineRule="exact"/>
        <w:rPr>
          <w:rFonts w:ascii="Times New Roman" w:cs="Times New Roman" w:eastAsia="Times New Roman" w:hAnsi="Times New Roman"/>
          <w:sz w:val="17"/>
          <w:szCs w:val="17"/>
          <w:color w:val="auto"/>
        </w:rPr>
      </w:pPr>
    </w:p>
    <w:p>
      <w:pPr>
        <w:ind w:left="86" w:hanging="86"/>
        <w:spacing w:after="0"/>
        <w:tabs>
          <w:tab w:leader="none" w:pos="8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23.2</w:t>
      </w:r>
      <w:r>
        <w:rPr>
          <w:rFonts w:ascii="Times New Roman" w:cs="Times New Roman" w:eastAsia="Times New Roman" w:hAnsi="Times New Roman"/>
          <w:sz w:val="17"/>
          <w:szCs w:val="17"/>
          <w:u w:val="single" w:color="auto"/>
          <w:color w:val="0000EE"/>
        </w:rPr>
        <w:t xml:space="preserve">Consent of Holland &amp; Knight LLP </w:t>
      </w:r>
      <w:r>
        <w:rPr>
          <w:rFonts w:ascii="Times New Roman" w:cs="Times New Roman" w:eastAsia="Times New Roman" w:hAnsi="Times New Roman"/>
          <w:sz w:val="17"/>
          <w:szCs w:val="17"/>
          <w:i w:val="1"/>
          <w:iCs w:val="1"/>
          <w:u w:val="single" w:color="auto"/>
          <w:color w:val="0000EE"/>
        </w:rPr>
        <w:t>(included in Exhibit 5.1)</w:t>
      </w:r>
      <w:r>
        <w:rPr>
          <w:rFonts w:ascii="Times New Roman" w:cs="Times New Roman" w:eastAsia="Times New Roman" w:hAnsi="Times New Roman"/>
          <w:sz w:val="17"/>
          <w:szCs w:val="17"/>
          <w:u w:val="single" w:color="auto"/>
          <w:color w:val="0000EE"/>
        </w:rPr>
        <w:t>.</w:t>
      </w:r>
    </w:p>
    <w:p>
      <w:pPr>
        <w:spacing w:after="0" w:line="112" w:lineRule="exact"/>
        <w:rPr>
          <w:rFonts w:ascii="Times New Roman" w:cs="Times New Roman" w:eastAsia="Times New Roman" w:hAnsi="Times New Roman"/>
          <w:sz w:val="18"/>
          <w:szCs w:val="18"/>
          <w:color w:val="auto"/>
        </w:rPr>
      </w:pPr>
    </w:p>
    <w:tbl>
      <w:tblPr>
        <w:tblLayout w:type="fixed"/>
        <w:tblInd w:w="6"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24</w:t>
            </w:r>
          </w:p>
        </w:tc>
        <w:tc>
          <w:tcPr>
            <w:tcW w:w="94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 xml:space="preserve">Power of Attorney of certain officers and directors of the Company to file future amendments </w:t>
            </w:r>
            <w:r>
              <w:rPr>
                <w:rFonts w:ascii="Times New Roman" w:cs="Times New Roman" w:eastAsia="Times New Roman" w:hAnsi="Times New Roman"/>
                <w:sz w:val="18"/>
                <w:szCs w:val="18"/>
                <w:i w:val="1"/>
                <w:iCs w:val="1"/>
                <w:color w:val="0000EE"/>
                <w:w w:val="98"/>
              </w:rPr>
              <w:t>(set forth on the signature page of this</w:t>
            </w:r>
          </w:p>
        </w:tc>
      </w:tr>
      <w:tr>
        <w:trPr>
          <w:trHeight w:val="194"/>
        </w:trPr>
        <w:tc>
          <w:tcPr>
            <w:tcW w:w="920" w:type="dxa"/>
            <w:vAlign w:val="bottom"/>
          </w:tcPr>
          <w:p>
            <w:pPr>
              <w:spacing w:after="0"/>
              <w:rPr>
                <w:sz w:val="16"/>
                <w:szCs w:val="16"/>
                <w:color w:val="auto"/>
              </w:rPr>
            </w:pPr>
          </w:p>
        </w:tc>
        <w:tc>
          <w:tcPr>
            <w:tcW w:w="94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i w:val="1"/>
                <w:iCs w:val="1"/>
                <w:color w:val="0000EE"/>
              </w:rPr>
              <w:t>Registration Statement)</w:t>
            </w:r>
            <w:r>
              <w:rPr>
                <w:rFonts w:ascii="Times New Roman" w:cs="Times New Roman" w:eastAsia="Times New Roman" w:hAnsi="Times New Roman"/>
                <w:sz w:val="18"/>
                <w:szCs w:val="18"/>
                <w:color w:val="0000EE"/>
              </w:rPr>
              <w:t>.</w:t>
            </w:r>
          </w:p>
        </w:tc>
      </w:tr>
      <w:tr>
        <w:trPr>
          <w:trHeight w:val="20"/>
        </w:trPr>
        <w:tc>
          <w:tcPr>
            <w:tcW w:w="9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15" w:lineRule="exact"/>
        <w:rPr>
          <w:rFonts w:ascii="Times New Roman" w:cs="Times New Roman" w:eastAsia="Times New Roman" w:hAnsi="Times New Roman"/>
          <w:sz w:val="18"/>
          <w:szCs w:val="18"/>
          <w:color w:val="auto"/>
        </w:rPr>
      </w:pPr>
    </w:p>
    <w:p>
      <w:pPr>
        <w:ind w:left="86" w:hanging="86"/>
        <w:spacing w:after="0"/>
        <w:tabs>
          <w:tab w:leader="none" w:pos="86"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99.1</w:t>
      </w:r>
      <w:hyperlink r:id="rId31">
        <w:r>
          <w:rPr>
            <w:rFonts w:ascii="Times New Roman" w:cs="Times New Roman" w:eastAsia="Times New Roman" w:hAnsi="Times New Roman"/>
            <w:sz w:val="17"/>
            <w:szCs w:val="17"/>
            <w:u w:val="single" w:color="auto"/>
            <w:color w:val="0000EE"/>
          </w:rPr>
          <w:t>Acadia Healthcare Company, Inc. Amended and Restated Incentive Compensation Plan, effective May 18, 2023</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EE"/>
        </w:rPr>
        <w:t xml:space="preserve"> </w:t>
      </w:r>
      <w:r>
        <w:rPr>
          <w:rFonts w:ascii="Times New Roman" w:cs="Times New Roman" w:eastAsia="Times New Roman" w:hAnsi="Times New Roman"/>
          <w:sz w:val="17"/>
          <w:szCs w:val="17"/>
          <w:color w:val="000000"/>
        </w:rPr>
        <w:t>(g)</w:t>
      </w:r>
    </w:p>
    <w:p>
      <w:pPr>
        <w:spacing w:after="0" w:line="125" w:lineRule="exact"/>
        <w:rPr>
          <w:rFonts w:ascii="Times New Roman" w:cs="Times New Roman" w:eastAsia="Times New Roman" w:hAnsi="Times New Roman"/>
          <w:sz w:val="17"/>
          <w:szCs w:val="17"/>
          <w:u w:val="single" w:color="auto"/>
          <w:color w:val="0000EE"/>
        </w:rPr>
      </w:pPr>
    </w:p>
    <w:p>
      <w:pPr>
        <w:ind w:left="86" w:hanging="86"/>
        <w:spacing w:after="0"/>
        <w:tabs>
          <w:tab w:leader="none" w:pos="86"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99.2</w:t>
      </w:r>
      <w:hyperlink r:id="rId31">
        <w:r>
          <w:rPr>
            <w:rFonts w:ascii="Times New Roman" w:cs="Times New Roman" w:eastAsia="Times New Roman" w:hAnsi="Times New Roman"/>
            <w:sz w:val="17"/>
            <w:szCs w:val="17"/>
            <w:u w:val="single" w:color="auto"/>
            <w:color w:val="0000EE"/>
          </w:rPr>
          <w:t>Amendment, effective May 29, 2025, to the Acadia Healthcare Company, Inc. Incentive Compensation Plan</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EE"/>
        </w:rPr>
        <w:t xml:space="preserve"> </w:t>
      </w:r>
      <w:r>
        <w:rPr>
          <w:rFonts w:ascii="Times New Roman" w:cs="Times New Roman" w:eastAsia="Times New Roman" w:hAnsi="Times New Roman"/>
          <w:sz w:val="17"/>
          <w:szCs w:val="17"/>
          <w:color w:val="000000"/>
        </w:rPr>
        <w:t>(h)</w:t>
      </w:r>
    </w:p>
    <w:p>
      <w:pPr>
        <w:spacing w:after="0" w:line="125" w:lineRule="exact"/>
        <w:rPr>
          <w:rFonts w:ascii="Times New Roman" w:cs="Times New Roman" w:eastAsia="Times New Roman" w:hAnsi="Times New Roman"/>
          <w:sz w:val="17"/>
          <w:szCs w:val="17"/>
          <w:u w:val="single" w:color="auto"/>
          <w:color w:val="0000EE"/>
        </w:rPr>
      </w:pPr>
    </w:p>
    <w:p>
      <w:pPr>
        <w:ind w:left="86" w:hanging="86"/>
        <w:spacing w:after="0"/>
        <w:tabs>
          <w:tab w:leader="none" w:pos="86" w:val="left"/>
        </w:tabs>
        <w:numPr>
          <w:ilvl w:val="0"/>
          <w:numId w:val="3"/>
        </w:numPr>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99.3</w:t>
      </w:r>
      <w:hyperlink r:id="rId32">
        <w:r>
          <w:rPr>
            <w:rFonts w:ascii="Times New Roman" w:cs="Times New Roman" w:eastAsia="Times New Roman" w:hAnsi="Times New Roman"/>
            <w:sz w:val="17"/>
            <w:szCs w:val="17"/>
            <w:u w:val="single" w:color="auto"/>
            <w:color w:val="0000EE"/>
          </w:rPr>
          <w:t>Second Amendment, effective May 6, 2026, to the Acadia Healthcare Company, Inc. Incentive Compensation Plan</w:t>
        </w:r>
      </w:hyperlink>
      <w:r>
        <w:rPr>
          <w:rFonts w:ascii="Times New Roman" w:cs="Times New Roman" w:eastAsia="Times New Roman" w:hAnsi="Times New Roman"/>
          <w:sz w:val="17"/>
          <w:szCs w:val="17"/>
          <w:color w:val="000000"/>
        </w:rPr>
        <w:t>.</w:t>
      </w:r>
      <w:r>
        <w:rPr>
          <w:rFonts w:ascii="Times New Roman" w:cs="Times New Roman" w:eastAsia="Times New Roman" w:hAnsi="Times New Roman"/>
          <w:sz w:val="17"/>
          <w:szCs w:val="17"/>
          <w:u w:val="single" w:color="auto"/>
          <w:color w:val="0000EE"/>
        </w:rPr>
        <w:t xml:space="preserve"> </w:t>
      </w:r>
      <w:r>
        <w:rPr>
          <w:rFonts w:ascii="Times New Roman" w:cs="Times New Roman" w:eastAsia="Times New Roman" w:hAnsi="Times New Roman"/>
          <w:sz w:val="17"/>
          <w:szCs w:val="17"/>
          <w:color w:val="000000"/>
        </w:rPr>
        <w:t>(i)</w:t>
      </w:r>
    </w:p>
    <w:p>
      <w:pPr>
        <w:spacing w:after="0" w:line="125" w:lineRule="exact"/>
        <w:rPr>
          <w:rFonts w:ascii="Times New Roman" w:cs="Times New Roman" w:eastAsia="Times New Roman" w:hAnsi="Times New Roman"/>
          <w:sz w:val="17"/>
          <w:szCs w:val="17"/>
          <w:u w:val="single" w:color="auto"/>
          <w:color w:val="0000EE"/>
        </w:rPr>
      </w:pPr>
    </w:p>
    <w:p>
      <w:pPr>
        <w:ind w:left="6"/>
        <w:spacing w:after="0"/>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rFonts w:ascii="Times New Roman" w:cs="Times New Roman" w:eastAsia="Times New Roman" w:hAnsi="Times New Roman"/>
          <w:sz w:val="17"/>
          <w:szCs w:val="17"/>
          <w:u w:val="single" w:color="auto"/>
          <w:color w:val="0000EE"/>
        </w:rPr>
        <w:t>Filing Fee Table.</w:t>
      </w:r>
    </w:p>
    <w:p>
      <w:pPr>
        <w:spacing w:after="0" w:line="20"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column">
              <wp:posOffset>4445</wp:posOffset>
            </wp:positionH>
            <wp:positionV relativeFrom="paragraph">
              <wp:posOffset>109220</wp:posOffset>
            </wp:positionV>
            <wp:extent cx="755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174"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6"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May 24, 2024 (File No. 001-35331).</w:t>
      </w:r>
    </w:p>
    <w:p>
      <w:pPr>
        <w:spacing w:after="0" w:line="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May 25, 2017 (File No. 001-35331).</w:t>
      </w:r>
    </w:p>
    <w:p>
      <w:pPr>
        <w:spacing w:after="0" w:line="6" w:lineRule="exact"/>
        <w:rPr>
          <w:rFonts w:ascii="Times New Roman" w:cs="Times New Roman" w:eastAsia="Times New Roman" w:hAnsi="Times New Roman"/>
          <w:sz w:val="18"/>
          <w:szCs w:val="18"/>
          <w:color w:val="auto"/>
        </w:rPr>
      </w:pPr>
    </w:p>
    <w:p>
      <w:pPr>
        <w:ind w:left="426" w:right="120" w:hanging="426"/>
        <w:spacing w:after="0" w:line="247" w:lineRule="auto"/>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registration statement on Form S-1, as amended (File No. 333-175523), originally filed with the SEC on November 23, 2011.</w:t>
      </w:r>
    </w:p>
    <w:p>
      <w:pPr>
        <w:spacing w:after="0" w:line="1"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October 30, 2014 (File No. 001-35331).</w:t>
      </w:r>
    </w:p>
    <w:p>
      <w:pPr>
        <w:spacing w:after="0" w:line="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January 4, 2016 (File No. 001-35331).</w:t>
      </w:r>
    </w:p>
    <w:p>
      <w:pPr>
        <w:spacing w:after="0" w:line="6"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exhibits filed with the Company’s Current Report on Form 8-K filed February 16, 2016 (File No. 001-35331).</w:t>
      </w:r>
    </w:p>
    <w:p>
      <w:pPr>
        <w:sectPr>
          <w:pgSz w:w="11900" w:h="16838" w:orient="portrait"/>
          <w:cols w:equalWidth="0" w:num="1">
            <w:col w:w="10906"/>
          </w:cols>
          <w:pgMar w:left="494" w:top="268" w:right="499" w:bottom="1440" w:gutter="0" w:footer="0" w:header="0"/>
        </w:sectPr>
      </w:pPr>
    </w:p>
    <w:bookmarkStart w:id="4" w:name="page5"/>
    <w:bookmarkEnd w:id="4"/>
    <w:p>
      <w:pPr>
        <w:ind w:left="426" w:right="1460" w:hanging="426"/>
        <w:spacing w:after="0" w:line="258"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Incorporated by reference to Appendix B to the Company’s Definitive Proxy Statement filed with the SEC on April 10, 2025 (File No. 001-35331).</w:t>
      </w:r>
    </w:p>
    <w:p>
      <w:pPr>
        <w:spacing w:after="0" w:line="1" w:lineRule="exact"/>
        <w:rPr>
          <w:rFonts w:ascii="Times New Roman" w:cs="Times New Roman" w:eastAsia="Times New Roman" w:hAnsi="Times New Roman"/>
          <w:sz w:val="18"/>
          <w:szCs w:val="18"/>
          <w:color w:val="auto"/>
        </w:rPr>
      </w:pPr>
    </w:p>
    <w:p>
      <w:pPr>
        <w:ind w:left="426" w:right="1460" w:hanging="426"/>
        <w:spacing w:after="0" w:line="247"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filed with the SEC on April 10, 2025 (File No. 001-35331).</w:t>
      </w:r>
    </w:p>
    <w:p>
      <w:pPr>
        <w:spacing w:after="0" w:line="1" w:lineRule="exact"/>
        <w:rPr>
          <w:rFonts w:ascii="Times New Roman" w:cs="Times New Roman" w:eastAsia="Times New Roman" w:hAnsi="Times New Roman"/>
          <w:sz w:val="18"/>
          <w:szCs w:val="18"/>
          <w:color w:val="auto"/>
        </w:rPr>
      </w:pPr>
    </w:p>
    <w:p>
      <w:pPr>
        <w:ind w:left="426" w:right="1360" w:hanging="426"/>
        <w:spacing w:after="0" w:line="255" w:lineRule="auto"/>
        <w:tabs>
          <w:tab w:leader="none" w:pos="42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to Appendix A to the Company’s Definitive Proxy Statement filed with the SEC on March 25, 2026 (File No. 001-35331).</w:t>
      </w:r>
    </w:p>
    <w:p>
      <w:pPr>
        <w:spacing w:after="0" w:line="285"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18" w:lineRule="exact"/>
        <w:rPr>
          <w:sz w:val="20"/>
          <w:szCs w:val="20"/>
          <w:color w:val="auto"/>
        </w:rPr>
      </w:pPr>
    </w:p>
    <w:p>
      <w:pPr>
        <w:ind w:left="246" w:hanging="246"/>
        <w:spacing w:after="0"/>
        <w:tabs>
          <w:tab w:leader="none" w:pos="24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13" w:lineRule="exact"/>
        <w:rPr>
          <w:rFonts w:ascii="Times New Roman" w:cs="Times New Roman" w:eastAsia="Times New Roman" w:hAnsi="Times New Roman"/>
          <w:sz w:val="18"/>
          <w:szCs w:val="18"/>
          <w:color w:val="auto"/>
        </w:rPr>
      </w:pPr>
    </w:p>
    <w:p>
      <w:pPr>
        <w:ind w:left="686" w:hanging="250"/>
        <w:spacing w:after="0"/>
        <w:tabs>
          <w:tab w:leader="none" w:pos="686"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13" w:lineRule="exact"/>
        <w:rPr>
          <w:rFonts w:ascii="Times New Roman" w:cs="Times New Roman" w:eastAsia="Times New Roman" w:hAnsi="Times New Roman"/>
          <w:sz w:val="18"/>
          <w:szCs w:val="18"/>
          <w:color w:val="auto"/>
        </w:rPr>
      </w:pPr>
    </w:p>
    <w:p>
      <w:pPr>
        <w:ind w:left="1066" w:hanging="212"/>
        <w:spacing w:after="0"/>
        <w:tabs>
          <w:tab w:leader="none" w:pos="106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13" w:lineRule="exact"/>
        <w:rPr>
          <w:rFonts w:ascii="Times New Roman" w:cs="Times New Roman" w:eastAsia="Times New Roman" w:hAnsi="Times New Roman"/>
          <w:sz w:val="18"/>
          <w:szCs w:val="18"/>
          <w:color w:val="auto"/>
        </w:rPr>
      </w:pPr>
    </w:p>
    <w:p>
      <w:pPr>
        <w:ind w:left="426" w:right="20" w:firstLine="428"/>
        <w:spacing w:after="0" w:line="252" w:lineRule="auto"/>
        <w:tabs>
          <w:tab w:leader="none" w:pos="1107"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percent change in the maximum aggregate offering price set forth in the “Calculation of Filing Fee Tables” or “Calculation of Registration Fee” table, as applicable, in the effective registration statement;</w:t>
      </w:r>
    </w:p>
    <w:p>
      <w:pPr>
        <w:spacing w:after="0" w:line="81" w:lineRule="exact"/>
        <w:rPr>
          <w:rFonts w:ascii="Times New Roman" w:cs="Times New Roman" w:eastAsia="Times New Roman" w:hAnsi="Times New Roman"/>
          <w:sz w:val="18"/>
          <w:szCs w:val="18"/>
          <w:color w:val="auto"/>
        </w:rPr>
      </w:pPr>
    </w:p>
    <w:p>
      <w:pPr>
        <w:ind w:left="426" w:firstLine="428"/>
        <w:spacing w:after="0" w:line="277" w:lineRule="auto"/>
        <w:tabs>
          <w:tab w:leader="none" w:pos="1156"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1" w:lineRule="exact"/>
        <w:rPr>
          <w:sz w:val="20"/>
          <w:szCs w:val="20"/>
          <w:color w:val="auto"/>
        </w:rPr>
      </w:pPr>
    </w:p>
    <w:p>
      <w:pPr>
        <w:jc w:val="both"/>
        <w:ind w:left="6" w:right="40"/>
        <w:spacing w:after="0" w:line="263"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 amendment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those paragraphs is contained in reports filed with or furnished to the SEC by the registrant pursuant to Section 13 or Section 15(d) of the Exchange Act that are incorporated by reference in the registration statement.</w:t>
      </w:r>
    </w:p>
    <w:p>
      <w:pPr>
        <w:spacing w:after="0" w:line="176" w:lineRule="exact"/>
        <w:rPr>
          <w:sz w:val="20"/>
          <w:szCs w:val="20"/>
          <w:color w:val="auto"/>
        </w:rPr>
      </w:pPr>
    </w:p>
    <w:p>
      <w:pPr>
        <w:ind w:left="6" w:right="40" w:firstLine="430"/>
        <w:spacing w:after="0" w:line="262" w:lineRule="auto"/>
        <w:tabs>
          <w:tab w:leader="none" w:pos="69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7" w:lineRule="exact"/>
        <w:rPr>
          <w:rFonts w:ascii="Times New Roman" w:cs="Times New Roman" w:eastAsia="Times New Roman" w:hAnsi="Times New Roman"/>
          <w:sz w:val="18"/>
          <w:szCs w:val="18"/>
          <w:color w:val="auto"/>
        </w:rPr>
      </w:pPr>
    </w:p>
    <w:p>
      <w:pPr>
        <w:ind w:left="6" w:right="520" w:firstLine="430"/>
        <w:spacing w:after="0" w:line="277" w:lineRule="auto"/>
        <w:tabs>
          <w:tab w:leader="none" w:pos="694"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3" w:lineRule="exact"/>
        <w:rPr>
          <w:rFonts w:ascii="Times New Roman" w:cs="Times New Roman" w:eastAsia="Times New Roman" w:hAnsi="Times New Roman"/>
          <w:sz w:val="18"/>
          <w:szCs w:val="18"/>
          <w:color w:val="auto"/>
        </w:rPr>
      </w:pPr>
    </w:p>
    <w:p>
      <w:pPr>
        <w:ind w:left="6" w:right="40" w:hanging="6"/>
        <w:spacing w:after="0" w:line="255" w:lineRule="auto"/>
        <w:tabs>
          <w:tab w:leader="none" w:pos="2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2" w:lineRule="exact"/>
        <w:rPr>
          <w:rFonts w:ascii="Times New Roman" w:cs="Times New Roman" w:eastAsia="Times New Roman" w:hAnsi="Times New Roman"/>
          <w:sz w:val="18"/>
          <w:szCs w:val="18"/>
          <w:color w:val="auto"/>
        </w:rPr>
      </w:pPr>
    </w:p>
    <w:p>
      <w:pPr>
        <w:ind w:left="6" w:right="20" w:hanging="6"/>
        <w:spacing w:after="0" w:line="252" w:lineRule="auto"/>
        <w:tabs>
          <w:tab w:leader="none" w:pos="24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0786"/>
          </w:cols>
          <w:pgMar w:left="494" w:top="268" w:right="6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20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Franklin of Tennessee, on May 11, 2026.</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Debra K. Osteen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4351655</wp:posOffset>
            </wp:positionH>
            <wp:positionV relativeFrom="paragraph">
              <wp:posOffset>15875</wp:posOffset>
            </wp:positionV>
            <wp:extent cx="25704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2570480" cy="8255"/>
                    </a:xfrm>
                    <a:prstGeom prst="rect">
                      <a:avLst/>
                    </a:prstGeom>
                    <a:noFill/>
                  </pic:spPr>
                </pic:pic>
              </a:graphicData>
            </a:graphic>
          </wp:anchor>
        </w:drawing>
      </w:r>
    </w:p>
    <w:p>
      <w:pPr>
        <w:spacing w:after="0" w:line="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Debra K. Osteen</w:t>
      </w:r>
    </w:p>
    <w:p>
      <w:pPr>
        <w:spacing w:after="0" w:line="2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 Chief Executive Officer and Director</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hereby constitutes and appoints Brian P. Farley and David M. Duckworth his or her true and lawful attorney-in-fact and agent, each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said attorneys-in-fact and agents, or any of them, may lawfully do or cause to be done by virtue hereof.</w:t>
      </w:r>
    </w:p>
    <w:p>
      <w:pPr>
        <w:spacing w:after="0" w:line="189" w:lineRule="exact"/>
        <w:rPr>
          <w:sz w:val="20"/>
          <w:szCs w:val="20"/>
          <w:color w:val="auto"/>
        </w:rPr>
      </w:pPr>
    </w:p>
    <w:p>
      <w:pPr>
        <w:ind w:right="24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Signature</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2260"/>
              <w:spacing w:after="0"/>
              <w:rPr>
                <w:sz w:val="20"/>
                <w:szCs w:val="20"/>
                <w:color w:val="auto"/>
              </w:rPr>
            </w:pPr>
            <w:r>
              <w:rPr>
                <w:rFonts w:ascii="Times New Roman" w:cs="Times New Roman" w:eastAsia="Times New Roman" w:hAnsi="Times New Roman"/>
                <w:sz w:val="14"/>
                <w:szCs w:val="14"/>
                <w:color w:val="auto"/>
              </w:rPr>
              <w:t>Title</w:t>
            </w:r>
          </w:p>
        </w:tc>
        <w:tc>
          <w:tcPr>
            <w:tcW w:w="100" w:type="dxa"/>
            <w:vAlign w:val="bottom"/>
          </w:tcPr>
          <w:p>
            <w:pPr>
              <w:spacing w:after="0"/>
              <w:rPr>
                <w:sz w:val="15"/>
                <w:szCs w:val="15"/>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Date</w:t>
            </w:r>
          </w:p>
        </w:tc>
      </w:tr>
      <w:tr>
        <w:trPr>
          <w:trHeight w:val="407"/>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Debra K. Osteen</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Debra K. Osteen</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M. Duckworth</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Interim Chief Financial Officer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David M. Duckworth</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Reeve B. Waud</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Chairman of the Board</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Reeve B. Waud</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Jason R. Bernhard</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Jason R. Bernhard</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 Perot Bissell</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E. Perot Bissell</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Daniel J. Cancelmi</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Daniel J. Cancelmi</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Michel J. Fucci</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Michel J. Fucci</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Vicky B. Gregg</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Vicky B. Gregg</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William F. Grieco</w:t>
            </w:r>
          </w:p>
        </w:tc>
        <w:tc>
          <w:tcPr>
            <w:tcW w:w="50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1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William F. Grieco</w:t>
            </w:r>
          </w:p>
        </w:tc>
        <w:tc>
          <w:tcPr>
            <w:tcW w:w="12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ectPr>
          <w:pgSz w:w="11900" w:h="16838" w:orient="portrait"/>
          <w:cols w:equalWidth="0" w:num="1">
            <w:col w:w="10900"/>
          </w:cols>
          <w:pgMar w:left="500" w:top="264" w:right="49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Patrice A. Harris</w:t>
            </w: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2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5"/>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Patrice A. Harris</w:t>
            </w:r>
          </w:p>
        </w:tc>
        <w:tc>
          <w:tcPr>
            <w:tcW w:w="3060" w:type="dxa"/>
            <w:vAlign w:val="bottom"/>
          </w:tcPr>
          <w:p>
            <w:pPr>
              <w:spacing w:after="0"/>
              <w:rPr>
                <w:sz w:val="19"/>
                <w:szCs w:val="19"/>
                <w:color w:val="auto"/>
              </w:rPr>
            </w:pPr>
          </w:p>
        </w:tc>
        <w:tc>
          <w:tcPr>
            <w:tcW w:w="3320" w:type="dxa"/>
            <w:vAlign w:val="bottom"/>
          </w:tcPr>
          <w:p>
            <w:pPr>
              <w:spacing w:after="0"/>
              <w:rPr>
                <w:sz w:val="19"/>
                <w:szCs w:val="19"/>
                <w:color w:val="auto"/>
              </w:rPr>
            </w:pPr>
          </w:p>
        </w:tc>
      </w:tr>
      <w:tr>
        <w:trPr>
          <w:trHeight w:val="422"/>
        </w:trPr>
        <w:tc>
          <w:tcPr>
            <w:tcW w:w="4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R. David Kelly</w:t>
            </w:r>
          </w:p>
        </w:tc>
        <w:tc>
          <w:tcPr>
            <w:tcW w:w="3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w:t>
            </w:r>
          </w:p>
        </w:tc>
        <w:tc>
          <w:tcPr>
            <w:tcW w:w="3320" w:type="dxa"/>
            <w:vAlign w:val="bottom"/>
          </w:tcPr>
          <w:p>
            <w:pPr>
              <w:ind w:left="2340"/>
              <w:spacing w:after="0"/>
              <w:rPr>
                <w:sz w:val="20"/>
                <w:szCs w:val="20"/>
                <w:color w:val="auto"/>
              </w:rPr>
            </w:pPr>
            <w:r>
              <w:rPr>
                <w:rFonts w:ascii="Times New Roman" w:cs="Times New Roman" w:eastAsia="Times New Roman" w:hAnsi="Times New Roman"/>
                <w:sz w:val="18"/>
                <w:szCs w:val="18"/>
                <w:color w:val="auto"/>
                <w:w w:val="95"/>
              </w:rPr>
              <w:t>May 11, 2026</w:t>
            </w:r>
          </w:p>
        </w:tc>
      </w:tr>
      <w:tr>
        <w:trPr>
          <w:trHeight w:val="226"/>
        </w:trPr>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 David Kelly</w:t>
            </w:r>
          </w:p>
        </w:tc>
        <w:tc>
          <w:tcPr>
            <w:tcW w:w="3060" w:type="dxa"/>
            <w:vAlign w:val="bottom"/>
          </w:tcPr>
          <w:p>
            <w:pPr>
              <w:spacing w:after="0"/>
              <w:rPr>
                <w:sz w:val="19"/>
                <w:szCs w:val="19"/>
                <w:color w:val="auto"/>
              </w:rPr>
            </w:pPr>
          </w:p>
        </w:tc>
        <w:tc>
          <w:tcPr>
            <w:tcW w:w="3320" w:type="dxa"/>
            <w:vAlign w:val="bottom"/>
          </w:tcPr>
          <w:p>
            <w:pPr>
              <w:spacing w:after="0"/>
              <w:rPr>
                <w:sz w:val="19"/>
                <w:szCs w:val="19"/>
                <w:color w:val="auto"/>
              </w:rPr>
            </w:pPr>
          </w:p>
        </w:tc>
      </w:tr>
    </w:tbl>
    <w:p>
      <w:pPr>
        <w:sectPr>
          <w:pgSz w:w="11900" w:h="16838" w:orient="portrait"/>
          <w:cols w:equalWidth="0" w:num="1">
            <w:col w:w="10520"/>
          </w:cols>
          <w:pgMar w:left="500" w:top="268" w:right="87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171450</wp:posOffset>
            </wp:positionV>
            <wp:extent cx="2027555" cy="280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2027555" cy="28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511 Union Street, Suite 2700 | Nashville, TN 37219</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 615.850.6380 | F 615.244.6804</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Holland &amp; Knight LLP | www.hklaw.com</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11,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Acadia Healthcare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4020 Aspen Grove Drive, Suite 900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Franklin, Tennessee 37067</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Re: Registration Statement on Form S-8 for the Acadia Healthcare Company, Inc. Amended and Restated Incentive Compensation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We have acted as counsel to Acadia Healthcare Company,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preparation and filing with the Securities and Exchange Commission of a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pursuant to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relating to the registration under the Securities Act by the Company of 3,000,000 additional shares of its common stock, par value $0.01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issuable under the Company’s Amended and Restated Incentive Compensation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This opinion is being issued pursuant to the requirements of the Securities Act.</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so acting, we have examined original counterparts or copies of original counterparts of the following documents:</w:t>
      </w:r>
    </w:p>
    <w:p>
      <w:pPr>
        <w:spacing w:after="0" w:line="114" w:lineRule="exact"/>
        <w:rPr>
          <w:sz w:val="20"/>
          <w:szCs w:val="20"/>
          <w:color w:val="auto"/>
        </w:rPr>
      </w:pPr>
    </w:p>
    <w:p>
      <w:pPr>
        <w:ind w:left="640" w:hanging="210"/>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and all exhibits thereto.</w:t>
      </w:r>
    </w:p>
    <w:p>
      <w:pPr>
        <w:spacing w:after="0" w:line="220" w:lineRule="exact"/>
        <w:rPr>
          <w:rFonts w:ascii="Times New Roman" w:cs="Times New Roman" w:eastAsia="Times New Roman" w:hAnsi="Times New Roman"/>
          <w:sz w:val="18"/>
          <w:szCs w:val="18"/>
          <w:color w:val="auto"/>
        </w:rPr>
      </w:pPr>
    </w:p>
    <w:p>
      <w:pPr>
        <w:ind w:left="700" w:hanging="270"/>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Certificate of Incorporation, as amended to date.</w:t>
      </w:r>
    </w:p>
    <w:p>
      <w:pPr>
        <w:spacing w:after="0" w:line="220" w:lineRule="exact"/>
        <w:rPr>
          <w:rFonts w:ascii="Times New Roman" w:cs="Times New Roman" w:eastAsia="Times New Roman" w:hAnsi="Times New Roman"/>
          <w:sz w:val="18"/>
          <w:szCs w:val="18"/>
          <w:color w:val="auto"/>
        </w:rPr>
      </w:pPr>
    </w:p>
    <w:p>
      <w:pPr>
        <w:ind w:left="740" w:hanging="310"/>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Amended and Restated Bylaws, as amended to date.</w:t>
      </w:r>
    </w:p>
    <w:p>
      <w:pPr>
        <w:spacing w:after="0" w:line="220" w:lineRule="exact"/>
        <w:rPr>
          <w:rFonts w:ascii="Times New Roman" w:cs="Times New Roman" w:eastAsia="Times New Roman" w:hAnsi="Times New Roman"/>
          <w:sz w:val="18"/>
          <w:szCs w:val="18"/>
          <w:color w:val="auto"/>
        </w:rPr>
      </w:pPr>
    </w:p>
    <w:p>
      <w:pPr>
        <w:ind w:left="740" w:hanging="310"/>
        <w:spacing w:after="0"/>
        <w:tabs>
          <w:tab w:leader="none" w:pos="7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0"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Resolutions of the Board of Directors of the Company in connection with the Registration Statement.</w:t>
      </w:r>
    </w:p>
    <w:p>
      <w:pPr>
        <w:spacing w:after="0" w:line="220"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We have also examined originals or copies of such records of the Company, certificates and web sites of public officials and of officers or other representatives of the Company and agreements and other documents, and made such other investigations, as we have deemed necessary, subject to the assumptions set forth below, as a basis for the opinions expressed below.</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rendering the opinions set forth herein, we have assumed:</w:t>
      </w:r>
    </w:p>
    <w:p>
      <w:pPr>
        <w:spacing w:after="0" w:line="114" w:lineRule="exact"/>
        <w:rPr>
          <w:sz w:val="20"/>
          <w:szCs w:val="20"/>
          <w:color w:val="auto"/>
        </w:rPr>
      </w:pPr>
    </w:p>
    <w:p>
      <w:pPr>
        <w:jc w:val="both"/>
        <w:ind w:right="600" w:firstLine="975"/>
        <w:spacing w:after="0" w:line="262" w:lineRule="auto"/>
        <w:tabs>
          <w:tab w:leader="none" w:pos="119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genuineness of all signatures (whether manual, electronic or otherwise) and, to the extent that a signature on a document is manifested by electronic or similar means, such signature has been executed or adopted by a signatory with an intent to authenticate and sign the document.</w:t>
      </w:r>
    </w:p>
    <w:p>
      <w:pPr>
        <w:spacing w:after="0" w:line="110"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color w:val="auto"/>
        </w:rPr>
        <w:t>Atlanta | Austin | Birmingham | Boston | Century City | Charlotte | Chattanooga | Chicago | Dallas | Denver | Fort Lauderdale | Houston | Jacksonville | Los Angeles | Miami | Nashville | New York | Newport Beach | Orlando | Philadelphia | Portland | Richmond | San Francisco | Seattle | Stamford | Tallahassee | Tampa | Tysons | Washington, D.C. | West Palm Beach</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Algiers | Bogotá | London | Mexico City | Monterrey</w:t>
      </w:r>
    </w:p>
    <w:p>
      <w:pPr>
        <w:sectPr>
          <w:pgSz w:w="11900" w:h="16838" w:orient="portrait"/>
          <w:cols w:equalWidth="0" w:num="1">
            <w:col w:w="10900"/>
          </w:cols>
          <w:pgMar w:left="500" w:top="117"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Acadia Healthcare Company,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left="1240" w:hanging="265"/>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authenticity of the originals of the documents submitted to us.</w:t>
      </w:r>
    </w:p>
    <w:p>
      <w:pPr>
        <w:spacing w:after="0" w:line="220" w:lineRule="exact"/>
        <w:rPr>
          <w:rFonts w:ascii="Times New Roman" w:cs="Times New Roman" w:eastAsia="Times New Roman" w:hAnsi="Times New Roman"/>
          <w:sz w:val="18"/>
          <w:szCs w:val="18"/>
          <w:color w:val="auto"/>
        </w:rPr>
      </w:pPr>
    </w:p>
    <w:p>
      <w:pPr>
        <w:ind w:left="1280" w:hanging="305"/>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conformity to authentic originals of any documents submitted to us as copies.</w:t>
      </w:r>
    </w:p>
    <w:p>
      <w:pPr>
        <w:spacing w:after="0" w:line="220" w:lineRule="exact"/>
        <w:rPr>
          <w:rFonts w:ascii="Times New Roman" w:cs="Times New Roman" w:eastAsia="Times New Roman" w:hAnsi="Times New Roman"/>
          <w:sz w:val="18"/>
          <w:szCs w:val="18"/>
          <w:color w:val="auto"/>
        </w:rPr>
      </w:pPr>
    </w:p>
    <w:p>
      <w:pPr>
        <w:ind w:right="660" w:firstLine="975"/>
        <w:spacing w:after="0" w:line="277" w:lineRule="auto"/>
        <w:tabs>
          <w:tab w:leader="none" w:pos="128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matters of fact, the truthfulness of the representations made or otherwise incorporated in the Registration Statement and representations and statements made in certificates or web sites of public officials and officers or other representatives of the Company.</w:t>
      </w:r>
    </w:p>
    <w:p>
      <w:pPr>
        <w:spacing w:after="0" w:line="163" w:lineRule="exact"/>
        <w:rPr>
          <w:rFonts w:ascii="Times New Roman" w:cs="Times New Roman" w:eastAsia="Times New Roman" w:hAnsi="Times New Roman"/>
          <w:sz w:val="18"/>
          <w:szCs w:val="18"/>
          <w:color w:val="auto"/>
        </w:rPr>
      </w:pPr>
    </w:p>
    <w:p>
      <w:pPr>
        <w:ind w:right="440" w:firstLine="975"/>
        <w:spacing w:after="0" w:line="277"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offer and sale of Shares under the Plan complies in all respects with the terms, conditions and restrictions set forth in the Registration Statement and the Plan.</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have not independently established the validity of the foregoing assumptions.</w:t>
      </w:r>
    </w:p>
    <w:p>
      <w:pPr>
        <w:spacing w:after="0" w:line="220" w:lineRule="exact"/>
        <w:rPr>
          <w:sz w:val="20"/>
          <w:szCs w:val="20"/>
          <w:color w:val="auto"/>
        </w:rPr>
      </w:pPr>
    </w:p>
    <w:p>
      <w:pPr>
        <w:jc w:val="both"/>
        <w:ind w:right="280" w:firstLine="436"/>
        <w:spacing w:after="0" w:line="262" w:lineRule="auto"/>
        <w:rPr>
          <w:sz w:val="20"/>
          <w:szCs w:val="20"/>
          <w:color w:val="auto"/>
        </w:rPr>
      </w:pPr>
      <w:r>
        <w:rPr>
          <w:rFonts w:ascii="Times New Roman" w:cs="Times New Roman" w:eastAsia="Times New Roman" w:hAnsi="Times New Roman"/>
          <w:sz w:val="18"/>
          <w:szCs w:val="18"/>
          <w:color w:val="auto"/>
        </w:rPr>
        <w:t>Based on the foregoing, and subject to the assumptions, qualifications and limitations stated herein, we are of the opinion that the Shares have been duly authorized by the Company and, when issued and paid for in the manner described in the Plan, the Shares will be validly issued, fully paid and non-assessable.</w:t>
      </w:r>
    </w:p>
    <w:p>
      <w:pPr>
        <w:spacing w:after="0" w:line="177" w:lineRule="exact"/>
        <w:rPr>
          <w:sz w:val="20"/>
          <w:szCs w:val="20"/>
          <w:color w:val="auto"/>
        </w:rPr>
      </w:pPr>
    </w:p>
    <w:p>
      <w:pPr>
        <w:ind w:right="220" w:firstLine="436"/>
        <w:spacing w:after="0" w:line="277" w:lineRule="auto"/>
        <w:rPr>
          <w:sz w:val="20"/>
          <w:szCs w:val="20"/>
          <w:color w:val="auto"/>
        </w:rPr>
      </w:pPr>
      <w:r>
        <w:rPr>
          <w:rFonts w:ascii="Times New Roman" w:cs="Times New Roman" w:eastAsia="Times New Roman" w:hAnsi="Times New Roman"/>
          <w:sz w:val="18"/>
          <w:szCs w:val="18"/>
          <w:color w:val="auto"/>
        </w:rPr>
        <w:t>Our opinion is limited to the General Corporation Law of the State of Delaware, including all reported judicial decisions interpreting such laws, and we do not express any opinion herein concerning any other laws.</w:t>
      </w:r>
    </w:p>
    <w:p>
      <w:pPr>
        <w:spacing w:after="0" w:line="163"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This opinion letter has been prepared, and is to be understood, in accordance with customary practice of lawyers who regularly give and lawyers who regularly advise recipients regarding opinions of this kind, is limited to the matters expressly stated herein and is provided solely in connection with the Plan and no opinions may be inferred or implied beyond the matters expressly stated herein. The opinions expressed herein are rendered and speak only as of the date hereof and we specifically disclaim any responsibility to update such opinions subsequent to the date hereof or to advise you of subsequent developments affecting such opinions.</w:t>
      </w:r>
    </w:p>
    <w:p>
      <w:pPr>
        <w:spacing w:after="0" w:line="183" w:lineRule="exact"/>
        <w:rPr>
          <w:sz w:val="20"/>
          <w:szCs w:val="20"/>
          <w:color w:val="auto"/>
        </w:rPr>
      </w:pPr>
    </w:p>
    <w:p>
      <w:pPr>
        <w:jc w:val="both"/>
        <w:ind w:right="220" w:firstLine="436"/>
        <w:spacing w:after="0" w:line="262" w:lineRule="auto"/>
        <w:rPr>
          <w:sz w:val="20"/>
          <w:szCs w:val="20"/>
          <w:color w:val="auto"/>
        </w:rPr>
      </w:pPr>
      <w:r>
        <w:rPr>
          <w:rFonts w:ascii="Times New Roman" w:cs="Times New Roman" w:eastAsia="Times New Roman" w:hAnsi="Times New Roman"/>
          <w:sz w:val="18"/>
          <w:szCs w:val="18"/>
          <w:color w:val="auto"/>
        </w:rPr>
        <w:t>We consent to the reference to this firm in the Registration Statement under the caption “Legal Matters” as the attorneys who will pass upon the legal validity of the Shares and to the filing of this opinion as Exhibit 5.1 to the Registration Statement. Our consent, however, shall not constitute an admission to our being experts as provided for in Sections 7 and 11 of the Securities Act.</w:t>
      </w:r>
    </w:p>
    <w:p>
      <w:pPr>
        <w:spacing w:after="0" w:line="20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Respectfully submitted,</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/s/ Holland &amp; Knight LLP</w:t>
      </w:r>
    </w:p>
    <w:p>
      <w:pPr>
        <w:spacing w:after="0" w:line="22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HOLLAND &amp; KNIGHT LLP</w:t>
      </w:r>
    </w:p>
    <w:p>
      <w:pPr>
        <w:sectPr>
          <w:pgSz w:w="11900" w:h="16838" w:orient="portrait"/>
          <w:cols w:equalWidth="0" w:num="1">
            <w:col w:w="10880"/>
          </w:cols>
          <w:pgMar w:left="500" w:top="268"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Acadia Healthcare Company, Inc. Amended and Restated Incentive Compensation Plan, as amended, of our reports dated February 26, 2026, with respect to the consolidated financial statements of Acadia Healthcare Company, Inc. and the effectiveness of internal control over financial reporting of Acadia Healthcare Company, Inc., included in its Annual Report (Form 10-K) for the year ended December 31, 2025,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Nashville, Tennessee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11, 2026</w:t>
      </w:r>
    </w:p>
    <w:p>
      <w:pPr>
        <w:sectPr>
          <w:pgSz w:w="11900" w:h="16838" w:orient="portrait"/>
          <w:cols w:equalWidth="0" w:num="1">
            <w:col w:w="10900"/>
          </w:cols>
          <w:pgMar w:left="500" w:top="117" w:right="499" w:bottom="1440" w:gutter="0" w:footer="0" w:header="0"/>
        </w:sectPr>
      </w:pPr>
    </w:p>
    <w:bookmarkStart w:id="10" w:name="page11"/>
    <w:bookmarkEnd w:id="10"/>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Acadia Healthcare Company,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46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3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18"/>
                <w:szCs w:val="18"/>
                <w:color w:val="auto"/>
              </w:rPr>
            </w:pPr>
          </w:p>
        </w:tc>
        <w:tc>
          <w:tcPr>
            <w:tcW w:w="118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2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40" w:type="dxa"/>
            <w:vAlign w:val="bottom"/>
          </w:tcPr>
          <w:p>
            <w:pPr>
              <w:spacing w:after="0"/>
              <w:rPr>
                <w:sz w:val="18"/>
                <w:szCs w:val="18"/>
                <w:color w:val="auto"/>
              </w:rPr>
            </w:pPr>
          </w:p>
        </w:tc>
        <w:tc>
          <w:tcPr>
            <w:tcW w:w="14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3"/>
                <w:szCs w:val="23"/>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3"/>
                <w:szCs w:val="23"/>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40" w:type="dxa"/>
            <w:vAlign w:val="bottom"/>
            <w:shd w:val="clear" w:color="auto" w:fill="9ADAF6"/>
          </w:tcPr>
          <w:p>
            <w:pPr>
              <w:spacing w:after="0"/>
              <w:rPr>
                <w:sz w:val="23"/>
                <w:szCs w:val="23"/>
                <w:color w:val="auto"/>
              </w:rPr>
            </w:pPr>
          </w:p>
        </w:tc>
        <w:tc>
          <w:tcPr>
            <w:tcW w:w="40" w:type="dxa"/>
            <w:vAlign w:val="bottom"/>
          </w:tcPr>
          <w:p>
            <w:pPr>
              <w:spacing w:after="0"/>
              <w:rPr>
                <w:sz w:val="23"/>
                <w:szCs w:val="23"/>
                <w:color w:val="auto"/>
              </w:rPr>
            </w:pPr>
          </w:p>
        </w:tc>
        <w:tc>
          <w:tcPr>
            <w:tcW w:w="14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ind w:left="20"/>
              <w:spacing w:after="0" w:line="227"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4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 par</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value</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10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$0.01 per</w:t>
            </w:r>
          </w:p>
        </w:tc>
        <w:tc>
          <w:tcPr>
            <w:tcW w:w="4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10"/>
                <w:szCs w:val="1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3,000,000</w:t>
            </w:r>
          </w:p>
        </w:tc>
        <w:tc>
          <w:tcPr>
            <w:tcW w:w="20" w:type="dxa"/>
            <w:vAlign w:val="bottom"/>
          </w:tcPr>
          <w:p>
            <w:pPr>
              <w:spacing w:after="0"/>
              <w:rPr>
                <w:sz w:val="10"/>
                <w:szCs w:val="10"/>
                <w:color w:val="auto"/>
              </w:rPr>
            </w:pPr>
          </w:p>
        </w:tc>
        <w:tc>
          <w:tcPr>
            <w:tcW w:w="13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$ 24.855</w:t>
            </w:r>
          </w:p>
        </w:tc>
        <w:tc>
          <w:tcPr>
            <w:tcW w:w="20" w:type="dxa"/>
            <w:vAlign w:val="bottom"/>
          </w:tcPr>
          <w:p>
            <w:pPr>
              <w:spacing w:after="0"/>
              <w:rPr>
                <w:sz w:val="10"/>
                <w:szCs w:val="10"/>
                <w:color w:val="auto"/>
              </w:rPr>
            </w:pPr>
          </w:p>
        </w:tc>
        <w:tc>
          <w:tcPr>
            <w:tcW w:w="15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40" w:type="dxa"/>
            <w:vAlign w:val="bottom"/>
          </w:tcPr>
          <w:p>
            <w:pPr>
              <w:spacing w:after="0"/>
              <w:rPr>
                <w:sz w:val="10"/>
                <w:szCs w:val="10"/>
                <w:color w:val="auto"/>
              </w:rPr>
            </w:pPr>
          </w:p>
        </w:tc>
        <w:tc>
          <w:tcPr>
            <w:tcW w:w="14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$ 10,297.43</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74,565,000.00</w:t>
            </w:r>
          </w:p>
        </w:tc>
        <w:tc>
          <w:tcPr>
            <w:tcW w:w="20" w:type="dxa"/>
            <w:vAlign w:val="bottom"/>
          </w:tcPr>
          <w:p>
            <w:pPr>
              <w:spacing w:after="0"/>
              <w:rPr>
                <w:sz w:val="18"/>
                <w:szCs w:val="18"/>
                <w:color w:val="auto"/>
              </w:rPr>
            </w:pPr>
          </w:p>
        </w:tc>
        <w:tc>
          <w:tcPr>
            <w:tcW w:w="104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46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E7E7E2"/>
          </w:tcPr>
          <w:p>
            <w:pPr>
              <w:ind w:left="20"/>
              <w:spacing w:after="0" w:line="147" w:lineRule="exact"/>
              <w:rPr>
                <w:sz w:val="20"/>
                <w:szCs w:val="20"/>
                <w:color w:val="auto"/>
              </w:rPr>
            </w:pPr>
            <w:r>
              <w:rPr>
                <w:rFonts w:ascii="Arial" w:cs="Arial" w:eastAsia="Arial" w:hAnsi="Arial"/>
                <w:sz w:val="17"/>
                <w:szCs w:val="17"/>
                <w:color w:val="auto"/>
              </w:rPr>
              <w:t>share</w:t>
            </w:r>
          </w:p>
        </w:tc>
        <w:tc>
          <w:tcPr>
            <w:tcW w:w="4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3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46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("Common</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ind w:left="20"/>
              <w:spacing w:after="0"/>
              <w:rPr>
                <w:sz w:val="20"/>
                <w:szCs w:val="20"/>
                <w:color w:val="auto"/>
              </w:rPr>
            </w:pPr>
            <w:r>
              <w:rPr>
                <w:rFonts w:ascii="Arial" w:cs="Arial" w:eastAsia="Arial" w:hAnsi="Arial"/>
                <w:sz w:val="21"/>
                <w:szCs w:val="21"/>
                <w:color w:val="auto"/>
              </w:rPr>
              <w:t>Stock")</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$ 10,297.43</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74,565,000.00</w:t>
            </w: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$ 10,297.43</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80" w:hanging="225"/>
        <w:spacing w:after="0" w:line="236" w:lineRule="auto"/>
        <w:tabs>
          <w:tab w:leader="none" w:pos="800" w:val="left"/>
        </w:tabs>
        <w:numPr>
          <w:ilvl w:val="0"/>
          <w:numId w:val="13"/>
        </w:numPr>
        <w:rPr>
          <w:rFonts w:ascii="Arial" w:cs="Arial" w:eastAsia="Arial" w:hAnsi="Arial"/>
          <w:sz w:val="27"/>
          <w:szCs w:val="27"/>
          <w:color w:val="auto"/>
          <w:vertAlign w:val="superscript"/>
        </w:rPr>
      </w:pPr>
      <w:r>
        <w:rPr>
          <w:rFonts w:ascii="Arial" w:cs="Arial" w:eastAsia="Arial" w:hAnsi="Arial"/>
          <w:sz w:val="21"/>
          <w:szCs w:val="21"/>
          <w:color w:val="auto"/>
        </w:rPr>
        <w:t>(1) Pursuant to Rule 416 under the Securities Act of 1933, as amended (the "Securities Act"), this Registration Statement shall also cover any additional shares of common stock that become issuable under the Acadia Healthcare Company, Inc. Amended and Restated Incentive Compensation Plan (the "Incentive Plan"), by reason of any stock dividend, stock split, recapitalization, merger, consolidation or reorganization of or by us that results in an increase in the number of shares of our outstanding common stock. (2) Estimated solely for the purpose of determining the registration fee pursuant to Rule 457(c) and Rule 457(h) under the Securities Act, based upon the average of the high and low sale prices per share of Common Stock, as reported on The NASDAQ Global Select Market on May 7, 2026 (which is within five business days prior to the date of filing of this Registration Statement). (3) Calculated at a rate of $138.10 per $1,000,000 of the proposed maximum aggregate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81915</wp:posOffset>
            </wp:positionV>
            <wp:extent cx="63874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 "/>
      <w:numFmt w:val="bullet"/>
      <w:start w:val="1"/>
    </w:lvl>
  </w:abstractNum>
  <w:abstractNum w:abstractNumId="2">
    <w:nsid w:val="7545E146"/>
    <w:multiLevelType w:val="hybridMultilevel"/>
    <w:lvl w:ilvl="0">
      <w:lvlJc w:val="left"/>
      <w:lvlText w:val=" "/>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7"/>
    </w:lvl>
  </w:abstractNum>
  <w:abstractNum w:abstractNumId="6">
    <w:nsid w:val="4DB127F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7">
    <w:nsid w:val="216231B"/>
    <w:multiLevelType w:val="hybridMultilevel"/>
    <w:lvl w:ilvl="0">
      <w:lvlJc w:val="left"/>
      <w:lvlText w:val="%1"/>
      <w:numFmt w:val="lowerLetter"/>
      <w:start w:val="1"/>
    </w:lvl>
    <w:lvl w:ilvl="1">
      <w:lvlJc w:val="left"/>
      <w:lvlText w:val="(%2)"/>
      <w:numFmt w:val="decimal"/>
      <w:start w:val="2"/>
    </w:lvl>
  </w:abstractNum>
  <w:abstractNum w:abstractNumId="8">
    <w:nsid w:val="1F16E9E8"/>
    <w:multiLevelType w:val="hybridMultilevel"/>
    <w:lvl w:ilvl="0">
      <w:lvlJc w:val="left"/>
      <w:lvlText w:val="(%1)"/>
      <w:numFmt w:val="lowerLetter"/>
      <w:start w:val="2"/>
    </w:lvl>
    <w:lvl w:ilvl="1">
      <w:lvlJc w:val="left"/>
      <w:lvlText w:val="%2"/>
      <w:numFmt w:val="decimal"/>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Roman"/>
      <w:start w:val="1"/>
    </w:lvl>
  </w:abstractNum>
  <w:abstractNum w:abstractNumId="11">
    <w:nsid w:val="140E0F76"/>
    <w:multiLevelType w:val="hybridMultilevel"/>
    <w:lvl w:ilvl="0">
      <w:lvlJc w:val="left"/>
      <w:lvlText w:val="(%1)"/>
      <w:numFmt w:val="lowerRoman"/>
      <w:start w:val="2"/>
    </w:lvl>
  </w:abstractNum>
  <w:abstractNum w:abstractNumId="12">
    <w:nsid w:val="3352255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jpe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19" Type="http://schemas.openxmlformats.org/officeDocument/2006/relationships/hyperlink" Target="http://www.sec.gov/ix?doc=/Archives/edgar/data/1520697/000119312526078266/achc-20251231.htm" TargetMode="External"/><Relationship Id="rId20" Type="http://schemas.openxmlformats.org/officeDocument/2006/relationships/hyperlink" Target="http://www.sec.gov/ix?doc=/Archives/edgar/data/1520697/000119312526192508/achc-20260331.htm" TargetMode="External"/><Relationship Id="rId21" Type="http://schemas.openxmlformats.org/officeDocument/2006/relationships/hyperlink" Target="http://www.sec.gov/ix?doc=/Archives/edgar/data/1520697/000119312526173769/d116826d8k.htm" TargetMode="External"/><Relationship Id="rId22" Type="http://schemas.openxmlformats.org/officeDocument/2006/relationships/hyperlink" Target="http://www.sec.gov/ix?doc=/Archives/edgar/data/1520697/000119312526209324/d82444d8k.htm" TargetMode="External"/><Relationship Id="rId23" Type="http://schemas.openxmlformats.org/officeDocument/2006/relationships/hyperlink" Target="http://www.sec.gov/Archives/edgar/data/1520697/000119312511288511/d248295d8a12b.htm" TargetMode="External"/><Relationship Id="rId26" Type="http://schemas.openxmlformats.org/officeDocument/2006/relationships/hyperlink" Target="http://www.sec.gov/Archives/edgar/data/1520697/000119312524146576/d833064dex31.htm" TargetMode="External"/><Relationship Id="rId27" Type="http://schemas.openxmlformats.org/officeDocument/2006/relationships/hyperlink" Target="http://www.sec.gov/Archives/edgar/data/1520697/000119312517183851/d383441dex32.htm" TargetMode="External"/><Relationship Id="rId28" Type="http://schemas.openxmlformats.org/officeDocument/2006/relationships/hyperlink" Target="http://www.sec.gov/Archives/edgar/data/1520697/000119312511321378/d258032dex41.htm" TargetMode="External"/><Relationship Id="rId29" Type="http://schemas.openxmlformats.org/officeDocument/2006/relationships/hyperlink" Target="http://www.sec.gov/Archives/edgar/data/1520697/000119312514389882/d810723dex41.htm" TargetMode="External"/><Relationship Id="rId30" Type="http://schemas.openxmlformats.org/officeDocument/2006/relationships/hyperlink" Target="http://www.sec.gov/Archives/edgar/data/1520697/000119312516418747/d113050dex4.htm" TargetMode="External"/><Relationship Id="rId31" Type="http://schemas.openxmlformats.org/officeDocument/2006/relationships/hyperlink" Target="http://www.sec.gov/ix?doc=/Archives/edgar/data/1520697/000114036125013294/ny20042551x1_def14a.htm" TargetMode="External"/><Relationship Id="rId32" Type="http://schemas.openxmlformats.org/officeDocument/2006/relationships/hyperlink" Target="http://www.sec.gov/ix?doc=/Archives/edgar/data/1520697/000114036126011130/ny20062977x1_def14a.htm#APPENDIXA"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2026-05-11T16:22:44Z</dcterms:created>
  <dcterms:modified xsi:type="dcterms:W3CDTF">2026-05-11T16:22:44Z</dcterms:modified>
</cp:coreProperties>
</file>