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October 17,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Acadia Healthcare Company, Inc.</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001-35331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46-2492228</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5"/>
          <w:szCs w:val="15"/>
          <w:b w:val="1"/>
          <w:bCs w:val="1"/>
          <w:color w:val="auto"/>
        </w:rPr>
        <w:t>830 Crescent Centre Drive, Suite 610, Franklin, Tennessee 37067</w:t>
      </w:r>
    </w:p>
    <w:p>
      <w:pPr>
        <w:spacing w:after="0" w:line="56"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(615) 861-6000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Acadia Healthcare Company, Inc. (the “Company”) is re-issuing in an updated format its historical financial statements in connection with Financial Accounting Standards Board (“FASB”) Accounting Standards Codification (“ASC”) 205-20, “Discontinued Operations” (“ASC 205-20”). Generally accepted accounting principles require that all components of an entity that have been disposed of (by sale, by abandonment or in a distribution to owners) or are held for sale, and whose cash flows can be clearly distinguished from the rest of the entity, be presented as discontinued operations. In June 2012, the Company disposed of its PsychSolutions facility located in Miami, Florida. In accordance with ASC 205-20, the Company has reported the results of such operations, net of applicable income taxes, as discontinued operations for each period presented in its Quarterly Report on Form 10-Q for the quarterly period ended June 30, 2012 (including the comparable periods of the prior year). Under Securities and Exchange Commission (“SEC”) requirements, the same reclassification to discontinued operations that is required by ASC 205-20 is also required for previously issued financial statements for each of the three years shown in the Company’s last Annual Report on Form 10-K, if those financial statements are incorporated by reference in subsequent filings with the SEC made under the Securities Act of 1933, as amended, even though those financial statements relate to periods prior to the date the operations were exited or made available for sale. This reclassification has no effect on the Company’s reported net income and should not be read as a restatement of the Company’s Annual Report on Form 10-K for the year ended December 31, 2011 (the “2011 Form 10-K”).</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Current Report on Form 8-K updates Items 6, 7 and 8 of the 2011 Form 10-K to reflect PsychSolutions as a discontinued operation. All items of the 2011 Form 10-K not reissued with this Form 8-K remain unchanged. No attempt has been made to update matters in the 2011 Form 10-K except to the extent expressly provided above.</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attached information should be read together with the Company’s filings with the SEC subsequent to the Company’s filing of the 2011 Form 10-K, which was filed on March 13, 2012, including its Quarterly Reports on Form 10-Q for the quarterly periods ended March 31, 2012 and June 30, 2012.</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940" w:type="dxa"/>
            <w:vAlign w:val="bottom"/>
          </w:tcPr>
          <w:p>
            <w:pPr>
              <w:ind w:left="100"/>
              <w:spacing w:after="0"/>
              <w:rPr>
                <w:sz w:val="20"/>
                <w:szCs w:val="20"/>
                <w:color w:val="auto"/>
              </w:rPr>
            </w:pPr>
            <w:r>
              <w:rPr>
                <w:rFonts w:ascii="Arial" w:cs="Arial" w:eastAsia="Arial" w:hAnsi="Arial"/>
                <w:sz w:val="18"/>
                <w:szCs w:val="18"/>
                <w:color w:val="auto"/>
              </w:rPr>
              <w:t>23.1</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99.1</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Re-issued 2011</w:t>
            </w:r>
          </w:p>
        </w:tc>
        <w:tc>
          <w:tcPr>
            <w:tcW w:w="1400" w:type="dxa"/>
            <w:vAlign w:val="bottom"/>
          </w:tcPr>
          <w:p>
            <w:pPr>
              <w:ind w:left="20"/>
              <w:spacing w:after="0"/>
              <w:rPr>
                <w:sz w:val="20"/>
                <w:szCs w:val="20"/>
                <w:color w:val="auto"/>
              </w:rPr>
            </w:pPr>
            <w:r>
              <w:rPr>
                <w:rFonts w:ascii="Arial" w:cs="Arial" w:eastAsia="Arial" w:hAnsi="Arial"/>
                <w:sz w:val="18"/>
                <w:szCs w:val="18"/>
                <w:color w:val="auto"/>
                <w:w w:val="90"/>
              </w:rPr>
              <w:t>Form 10-K, Item 6.</w:t>
            </w:r>
          </w:p>
        </w:tc>
        <w:tc>
          <w:tcPr>
            <w:tcW w:w="5740" w:type="dxa"/>
            <w:vAlign w:val="bottom"/>
          </w:tcPr>
          <w:p>
            <w:pPr>
              <w:ind w:left="20"/>
              <w:spacing w:after="0"/>
              <w:rPr>
                <w:sz w:val="20"/>
                <w:szCs w:val="20"/>
                <w:color w:val="auto"/>
              </w:rPr>
            </w:pPr>
            <w:r>
              <w:rPr>
                <w:rFonts w:ascii="Arial" w:cs="Arial" w:eastAsia="Arial" w:hAnsi="Arial"/>
                <w:sz w:val="18"/>
                <w:szCs w:val="18"/>
                <w:color w:val="auto"/>
              </w:rPr>
              <w:t>— Selected Financial Data</w:t>
            </w:r>
          </w:p>
        </w:tc>
      </w:tr>
      <w:tr>
        <w:trPr>
          <w:trHeight w:val="318"/>
        </w:trPr>
        <w:tc>
          <w:tcPr>
            <w:tcW w:w="940" w:type="dxa"/>
            <w:vAlign w:val="bottom"/>
          </w:tcPr>
          <w:p>
            <w:pPr>
              <w:ind w:left="100"/>
              <w:spacing w:after="0"/>
              <w:rPr>
                <w:sz w:val="20"/>
                <w:szCs w:val="20"/>
                <w:color w:val="auto"/>
              </w:rPr>
            </w:pPr>
            <w:r>
              <w:rPr>
                <w:rFonts w:ascii="Arial" w:cs="Arial" w:eastAsia="Arial" w:hAnsi="Arial"/>
                <w:sz w:val="18"/>
                <w:szCs w:val="18"/>
                <w:color w:val="auto"/>
              </w:rPr>
              <w:t>99.2</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Re-issued 2011</w:t>
            </w:r>
          </w:p>
        </w:tc>
        <w:tc>
          <w:tcPr>
            <w:tcW w:w="1400" w:type="dxa"/>
            <w:vAlign w:val="bottom"/>
          </w:tcPr>
          <w:p>
            <w:pPr>
              <w:ind w:left="20"/>
              <w:spacing w:after="0"/>
              <w:rPr>
                <w:sz w:val="20"/>
                <w:szCs w:val="20"/>
                <w:color w:val="auto"/>
              </w:rPr>
            </w:pPr>
            <w:r>
              <w:rPr>
                <w:rFonts w:ascii="Arial" w:cs="Arial" w:eastAsia="Arial" w:hAnsi="Arial"/>
                <w:sz w:val="18"/>
                <w:szCs w:val="18"/>
                <w:color w:val="auto"/>
                <w:w w:val="90"/>
              </w:rPr>
              <w:t>Form 10-K, Item 7.</w:t>
            </w:r>
          </w:p>
        </w:tc>
        <w:tc>
          <w:tcPr>
            <w:tcW w:w="5740" w:type="dxa"/>
            <w:vAlign w:val="bottom"/>
          </w:tcPr>
          <w:p>
            <w:pPr>
              <w:ind w:left="20"/>
              <w:spacing w:after="0"/>
              <w:rPr>
                <w:sz w:val="20"/>
                <w:szCs w:val="20"/>
                <w:color w:val="auto"/>
              </w:rPr>
            </w:pPr>
            <w:r>
              <w:rPr>
                <w:rFonts w:ascii="Arial" w:cs="Arial" w:eastAsia="Arial" w:hAnsi="Arial"/>
                <w:sz w:val="18"/>
                <w:szCs w:val="18"/>
                <w:color w:val="auto"/>
                <w:w w:val="89"/>
              </w:rPr>
              <w:t>— Management’s Discussion and Analysis of Financial Condition and Results of</w:t>
            </w:r>
          </w:p>
        </w:tc>
      </w:tr>
      <w:tr>
        <w:trPr>
          <w:trHeight w:val="222"/>
        </w:trPr>
        <w:tc>
          <w:tcPr>
            <w:tcW w:w="940" w:type="dxa"/>
            <w:vAlign w:val="bottom"/>
          </w:tcPr>
          <w:p>
            <w:pPr>
              <w:spacing w:after="0"/>
              <w:rPr>
                <w:sz w:val="19"/>
                <w:szCs w:val="19"/>
                <w:color w:val="auto"/>
              </w:rPr>
            </w:pPr>
          </w:p>
        </w:tc>
        <w:tc>
          <w:tcPr>
            <w:tcW w:w="13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400" w:type="dxa"/>
            <w:vAlign w:val="bottom"/>
          </w:tcPr>
          <w:p>
            <w:pPr>
              <w:spacing w:after="0"/>
              <w:rPr>
                <w:sz w:val="19"/>
                <w:szCs w:val="19"/>
                <w:color w:val="auto"/>
              </w:rPr>
            </w:pPr>
          </w:p>
        </w:tc>
        <w:tc>
          <w:tcPr>
            <w:tcW w:w="5740" w:type="dxa"/>
            <w:vAlign w:val="bottom"/>
          </w:tcPr>
          <w:p>
            <w:pPr>
              <w:spacing w:after="0"/>
              <w:rPr>
                <w:sz w:val="19"/>
                <w:szCs w:val="19"/>
                <w:color w:val="auto"/>
              </w:rPr>
            </w:pPr>
          </w:p>
        </w:tc>
      </w:tr>
      <w:tr>
        <w:trPr>
          <w:trHeight w:val="324"/>
        </w:trPr>
        <w:tc>
          <w:tcPr>
            <w:tcW w:w="940" w:type="dxa"/>
            <w:vAlign w:val="bottom"/>
          </w:tcPr>
          <w:p>
            <w:pPr>
              <w:ind w:left="100"/>
              <w:spacing w:after="0"/>
              <w:rPr>
                <w:sz w:val="20"/>
                <w:szCs w:val="20"/>
                <w:color w:val="auto"/>
              </w:rPr>
            </w:pPr>
            <w:r>
              <w:rPr>
                <w:rFonts w:ascii="Arial" w:cs="Arial" w:eastAsia="Arial" w:hAnsi="Arial"/>
                <w:sz w:val="18"/>
                <w:szCs w:val="18"/>
                <w:color w:val="auto"/>
              </w:rPr>
              <w:t>99.3</w:t>
            </w:r>
          </w:p>
        </w:tc>
        <w:tc>
          <w:tcPr>
            <w:tcW w:w="1300" w:type="dxa"/>
            <w:vAlign w:val="bottom"/>
          </w:tcPr>
          <w:p>
            <w:pPr>
              <w:ind w:left="180"/>
              <w:spacing w:after="0"/>
              <w:rPr>
                <w:sz w:val="20"/>
                <w:szCs w:val="20"/>
                <w:color w:val="auto"/>
              </w:rPr>
            </w:pPr>
            <w:r>
              <w:rPr>
                <w:rFonts w:ascii="Arial" w:cs="Arial" w:eastAsia="Arial" w:hAnsi="Arial"/>
                <w:sz w:val="18"/>
                <w:szCs w:val="18"/>
                <w:color w:val="auto"/>
                <w:w w:val="87"/>
              </w:rPr>
              <w:t>Re-issued 2011</w:t>
            </w:r>
          </w:p>
        </w:tc>
        <w:tc>
          <w:tcPr>
            <w:tcW w:w="1400" w:type="dxa"/>
            <w:vAlign w:val="bottom"/>
          </w:tcPr>
          <w:p>
            <w:pPr>
              <w:ind w:left="20"/>
              <w:spacing w:after="0"/>
              <w:rPr>
                <w:sz w:val="20"/>
                <w:szCs w:val="20"/>
                <w:color w:val="auto"/>
              </w:rPr>
            </w:pPr>
            <w:r>
              <w:rPr>
                <w:rFonts w:ascii="Arial" w:cs="Arial" w:eastAsia="Arial" w:hAnsi="Arial"/>
                <w:sz w:val="18"/>
                <w:szCs w:val="18"/>
                <w:color w:val="auto"/>
                <w:w w:val="90"/>
              </w:rPr>
              <w:t>Form 10-K, Item 8.</w:t>
            </w:r>
          </w:p>
        </w:tc>
        <w:tc>
          <w:tcPr>
            <w:tcW w:w="5740" w:type="dxa"/>
            <w:vAlign w:val="bottom"/>
          </w:tcPr>
          <w:p>
            <w:pPr>
              <w:ind w:left="20"/>
              <w:spacing w:after="0"/>
              <w:rPr>
                <w:sz w:val="20"/>
                <w:szCs w:val="20"/>
                <w:color w:val="auto"/>
              </w:rPr>
            </w:pPr>
            <w:r>
              <w:rPr>
                <w:rFonts w:ascii="Arial" w:cs="Arial" w:eastAsia="Arial" w:hAnsi="Arial"/>
                <w:sz w:val="18"/>
                <w:szCs w:val="18"/>
                <w:color w:val="auto"/>
              </w:rPr>
              <w:t>— Financial Statements and Supplementary Data</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270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5740" w:type="dxa"/>
            <w:vAlign w:val="bottom"/>
          </w:tcPr>
          <w:p>
            <w:pPr>
              <w:spacing w:after="0"/>
              <w:rPr>
                <w:sz w:val="24"/>
                <w:szCs w:val="24"/>
                <w:color w:val="auto"/>
              </w:rPr>
            </w:pP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XBRL Taxonomy Labels Linkbase Document</w:t>
            </w:r>
          </w:p>
        </w:tc>
      </w:tr>
      <w:tr>
        <w:trPr>
          <w:trHeight w:val="32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440" w:type="dxa"/>
            <w:vAlign w:val="bottom"/>
            <w:gridSpan w:val="3"/>
          </w:tcPr>
          <w:p>
            <w:pPr>
              <w:ind w:left="18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96" w:lineRule="exact"/>
        <w:rPr>
          <w:sz w:val="20"/>
          <w:szCs w:val="20"/>
          <w:color w:val="auto"/>
        </w:rPr>
      </w:pPr>
    </w:p>
    <w:p>
      <w:pPr>
        <w:ind w:left="220" w:hanging="212"/>
        <w:spacing w:after="0" w:line="306" w:lineRule="auto"/>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XBRL related information in Exhibit 101 to this report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ectPr>
          <w:pgSz w:w="11900" w:h="16838" w:orient="portrait"/>
          <w:cols w:equalWidth="0" w:num="1">
            <w:col w:w="11360"/>
          </w:cols>
          <w:pgMar w:left="240" w:top="274" w:right="29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ACADIA HEALTHCARE COMPANY,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16, 2012</w:t>
      </w:r>
      <w:r>
        <w:rPr>
          <w:sz w:val="20"/>
          <w:szCs w:val="20"/>
          <w:color w:val="auto"/>
        </w:rPr>
        <w:tab/>
      </w:r>
      <w:r>
        <w:rPr>
          <w:rFonts w:ascii="Arial" w:cs="Arial" w:eastAsia="Arial" w:hAnsi="Arial"/>
          <w:sz w:val="16"/>
          <w:szCs w:val="16"/>
          <w:color w:val="auto"/>
        </w:rPr>
        <w:t>By: /s/ Christopher L.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Christopher L. Howard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Secretary and General Counsel</w:t>
      </w:r>
    </w:p>
    <w:p>
      <w:pPr>
        <w:sectPr>
          <w:pgSz w:w="11900" w:h="16838" w:orient="portrait"/>
          <w:cols w:equalWidth="0" w:num="1">
            <w:col w:w="10540"/>
          </w:cols>
          <w:pgMar w:left="240" w:top="274" w:right="11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6540" w:type="dxa"/>
            <w:vAlign w:val="bottom"/>
            <w:gridSpan w:val="3"/>
          </w:tcPr>
          <w:p>
            <w:pPr>
              <w:ind w:left="13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60" w:type="dxa"/>
            <w:vAlign w:val="bottom"/>
          </w:tcPr>
          <w:p>
            <w:pPr>
              <w:spacing w:after="0"/>
              <w:rPr>
                <w:sz w:val="24"/>
                <w:szCs w:val="2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Exhibit</w:t>
            </w:r>
          </w:p>
        </w:tc>
        <w:tc>
          <w:tcPr>
            <w:tcW w:w="2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161"/>
        </w:trPr>
        <w:tc>
          <w:tcPr>
            <w:tcW w:w="1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600" w:type="dxa"/>
            <w:vAlign w:val="bottom"/>
          </w:tcPr>
          <w:p>
            <w:pPr>
              <w:spacing w:after="0"/>
              <w:rPr>
                <w:sz w:val="14"/>
                <w:szCs w:val="14"/>
                <w:color w:val="auto"/>
              </w:rPr>
            </w:pPr>
          </w:p>
        </w:tc>
      </w:tr>
      <w:tr>
        <w:trPr>
          <w:trHeight w:val="3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9280" w:type="dxa"/>
            <w:vAlign w:val="bottom"/>
            <w:gridSpan w:val="4"/>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88"/>
              </w:rPr>
              <w:t>Re-issued 2011 Form 10-K, Item 6.</w:t>
            </w:r>
          </w:p>
        </w:tc>
        <w:tc>
          <w:tcPr>
            <w:tcW w:w="6540" w:type="dxa"/>
            <w:vAlign w:val="bottom"/>
            <w:gridSpan w:val="3"/>
          </w:tcPr>
          <w:p>
            <w:pPr>
              <w:ind w:left="20"/>
              <w:spacing w:after="0"/>
              <w:rPr>
                <w:sz w:val="20"/>
                <w:szCs w:val="20"/>
                <w:color w:val="auto"/>
              </w:rPr>
            </w:pPr>
            <w:r>
              <w:rPr>
                <w:rFonts w:ascii="Arial" w:cs="Arial" w:eastAsia="Arial" w:hAnsi="Arial"/>
                <w:sz w:val="18"/>
                <w:szCs w:val="18"/>
                <w:color w:val="auto"/>
              </w:rPr>
              <w:t>— Selected Financial Data</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88"/>
              </w:rPr>
              <w:t>Re-issued 2011 Form 10-K, Item 7.</w:t>
            </w:r>
          </w:p>
        </w:tc>
        <w:tc>
          <w:tcPr>
            <w:tcW w:w="6540" w:type="dxa"/>
            <w:vAlign w:val="bottom"/>
            <w:gridSpan w:val="3"/>
          </w:tcPr>
          <w:p>
            <w:pPr>
              <w:ind w:left="20"/>
              <w:spacing w:after="0"/>
              <w:rPr>
                <w:sz w:val="20"/>
                <w:szCs w:val="20"/>
                <w:color w:val="auto"/>
              </w:rPr>
            </w:pPr>
            <w:r>
              <w:rPr>
                <w:rFonts w:ascii="Arial" w:cs="Arial" w:eastAsia="Arial" w:hAnsi="Arial"/>
                <w:sz w:val="18"/>
                <w:szCs w:val="18"/>
                <w:color w:val="auto"/>
                <w:w w:val="88"/>
              </w:rPr>
              <w:t>— Management’s Discussion and Analysis of Financial Condition and Results of Operations</w:t>
            </w:r>
          </w:p>
        </w:tc>
      </w:tr>
      <w:tr>
        <w:trPr>
          <w:trHeight w:val="324"/>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99.3</w:t>
            </w:r>
          </w:p>
        </w:tc>
        <w:tc>
          <w:tcPr>
            <w:tcW w:w="360" w:type="dxa"/>
            <w:vAlign w:val="bottom"/>
          </w:tcPr>
          <w:p>
            <w:pPr>
              <w:spacing w:after="0"/>
              <w:rPr>
                <w:sz w:val="24"/>
                <w:szCs w:val="24"/>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88"/>
              </w:rPr>
              <w:t>Re-issued 2011 Form 10-K, Item 8.</w:t>
            </w:r>
          </w:p>
        </w:tc>
        <w:tc>
          <w:tcPr>
            <w:tcW w:w="6540" w:type="dxa"/>
            <w:vAlign w:val="bottom"/>
            <w:gridSpan w:val="3"/>
          </w:tcPr>
          <w:p>
            <w:pPr>
              <w:ind w:left="20"/>
              <w:spacing w:after="0"/>
              <w:rPr>
                <w:sz w:val="20"/>
                <w:szCs w:val="20"/>
                <w:color w:val="auto"/>
              </w:rPr>
            </w:pPr>
            <w:r>
              <w:rPr>
                <w:rFonts w:ascii="Arial" w:cs="Arial" w:eastAsia="Arial" w:hAnsi="Arial"/>
                <w:sz w:val="18"/>
                <w:szCs w:val="18"/>
                <w:color w:val="auto"/>
              </w:rPr>
              <w:t>— Financial Statements and Supplementary Data</w:t>
            </w:r>
          </w:p>
        </w:tc>
      </w:tr>
      <w:tr>
        <w:trPr>
          <w:trHeight w:val="324"/>
        </w:trPr>
        <w:tc>
          <w:tcPr>
            <w:tcW w:w="9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2740" w:type="dxa"/>
            <w:vAlign w:val="bottom"/>
          </w:tcPr>
          <w:p>
            <w:pPr>
              <w:ind w:left="220"/>
              <w:spacing w:after="0"/>
              <w:rPr>
                <w:sz w:val="20"/>
                <w:szCs w:val="20"/>
                <w:color w:val="auto"/>
              </w:rPr>
            </w:pPr>
            <w:r>
              <w:rPr>
                <w:rFonts w:ascii="Arial" w:cs="Arial" w:eastAsia="Arial" w:hAnsi="Arial"/>
                <w:sz w:val="18"/>
                <w:szCs w:val="18"/>
                <w:color w:val="auto"/>
              </w:rPr>
              <w:t>XBRL Instance Document</w:t>
            </w: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24"/>
        </w:trPr>
        <w:tc>
          <w:tcPr>
            <w:tcW w:w="9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101.SCH*</w:t>
            </w:r>
          </w:p>
        </w:tc>
        <w:tc>
          <w:tcPr>
            <w:tcW w:w="9280" w:type="dxa"/>
            <w:vAlign w:val="bottom"/>
            <w:gridSpan w:val="4"/>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101.CAL*</w:t>
            </w:r>
          </w:p>
        </w:tc>
        <w:tc>
          <w:tcPr>
            <w:tcW w:w="9280" w:type="dxa"/>
            <w:vAlign w:val="bottom"/>
            <w:gridSpan w:val="4"/>
          </w:tcPr>
          <w:p>
            <w:pPr>
              <w:ind w:left="22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8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101.LAB*</w:t>
            </w:r>
          </w:p>
        </w:tc>
        <w:tc>
          <w:tcPr>
            <w:tcW w:w="9280" w:type="dxa"/>
            <w:vAlign w:val="bottom"/>
            <w:gridSpan w:val="4"/>
          </w:tcPr>
          <w:p>
            <w:pPr>
              <w:ind w:left="220"/>
              <w:spacing w:after="0"/>
              <w:rPr>
                <w:sz w:val="20"/>
                <w:szCs w:val="20"/>
                <w:color w:val="auto"/>
              </w:rPr>
            </w:pPr>
            <w:r>
              <w:rPr>
                <w:rFonts w:ascii="Arial" w:cs="Arial" w:eastAsia="Arial" w:hAnsi="Arial"/>
                <w:sz w:val="18"/>
                <w:szCs w:val="18"/>
                <w:color w:val="auto"/>
              </w:rPr>
              <w:t>XBRL Taxonomy Labels Linkbase Document</w:t>
            </w:r>
          </w:p>
        </w:tc>
      </w:tr>
      <w:tr>
        <w:trPr>
          <w:trHeight w:val="324"/>
        </w:trPr>
        <w:tc>
          <w:tcPr>
            <w:tcW w:w="9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9280" w:type="dxa"/>
            <w:vAlign w:val="bottom"/>
            <w:gridSpan w:val="4"/>
          </w:tcPr>
          <w:p>
            <w:pPr>
              <w:ind w:left="22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20" w:hanging="212"/>
        <w:spacing w:after="0" w:line="306"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XBRL related information in Exhibit 101 to this report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ectPr>
          <w:pgSz w:w="11900" w:h="16838" w:orient="portrait"/>
          <w:cols w:equalWidth="0" w:num="1">
            <w:col w:w="11360"/>
          </w:cols>
          <w:pgMar w:left="240" w:top="274" w:right="2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consent to the use of our report dated March 13, 2012, (except for Note 6, as to which the date is October 17, 2012) included in the Current Report (Form 8-K) of Acadia Healthcare Company, Inc., dated October 17, 2012, with respect to the consolidated financial statements of Acadia Healthcare Company, Inc. as of December 31, 2011 and 2010 and for each of the three years in the period ended December 31,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17, 2012</w:t>
      </w:r>
    </w:p>
    <w:p>
      <w:pPr>
        <w:sectPr>
          <w:pgSz w:w="11900" w:h="16838" w:orient="portrait"/>
          <w:cols w:equalWidth="0" w:num="1">
            <w:col w:w="11420"/>
          </w:cols>
          <w:pgMar w:left="240" w:top="125"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selected financial data presented below for the years ended December 31, 2011, 2010 and 2009, and as of December 31, 2011 and 2010, is derived from our audited consolidated financial statements included elsewhere in this Annual Report on Form 10-K. The selected financial data for the years ended December 31, 2008 and 2007, and as of December 31, 2009, 2008 and 2007, is derived from our audited consolidated financial statements not included herein. The audited financial statements for the periods presented have been reclassified for discontinued operations. The selected consolidated financial data below should be read in conjunction with the “Management’s Discussion and Analysis of Financial Condition and Results of Operations” and with our consolidated financial statements and notes thereto included elsewhere in this Annual Report on Form 10-K. The selected financial data presented below does not give effect to the YFCS acquisition prior to April 1, 2011, the PHC acquisition prior to November 1, 2011, the Acadiana and Village facilities acquisitions prior to March 5, 2009 and November 2, 2009, respectively, and the Abilene facility acquisition prior to October 5, 2007 and therefore the selected financial data does not give effect to such acquisitions prior to the respective date of such acquisitions. On May 13, 2011, the Company elected to convert from a Delaware limited liability company to a Delaware corporation in accordance with Delaware law.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6"/>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8"/>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Revenue before provision for doubtful accounts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219,704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64,342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51,821</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33,353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(2,239)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(2,424)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21"/>
        </w:trPr>
        <w:tc>
          <w:tcPr>
            <w:tcW w:w="70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216,498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62,103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49,397</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31,549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Salaries, wages and benefits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152,609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38,661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32,572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1,827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11,857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10,446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Sponsor management fees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700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(38,466)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7,158</w:t>
            </w: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2,811</w:t>
            </w:r>
          </w:p>
        </w:tc>
        <w:tc>
          <w:tcPr>
            <w:tcW w:w="8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00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w:t>
            </w: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(33,194)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2,758</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(1,562)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discontinued operations, net of 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(34,892)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6,210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2,877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(1,718)</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412,996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45,395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41,254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32,274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277,459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10,259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11,608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96,365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25,107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21,193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80" w:right="1840" w:hanging="5672"/>
        <w:spacing w:after="0" w:line="387" w:lineRule="auto"/>
        <w:tabs>
          <w:tab w:leader="none" w:pos="464"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Salaries, wages and benefits for the year ended December 31, 2011 includes $17.3 million of equity-based compensation expense. 1</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with our audited consolidated financial statements and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Forward-looking statements include any statements that address future results or occurrences. In some cases you can identify forward-looking statements by terminology such as “may,” “might,” “will,” “would,” “should,” “could” or the negative thereof. Generally, the words “anticipate,” “believe,” “continue,” “expect,” “intend,” “estimate,” “project,” “plan” and similar expressions identify forward-looking statements. In particular, statements about our expectations, beliefs, plans, objectives, assumptions or future events or performance contained are forward-looking statements.</w:t>
      </w:r>
    </w:p>
    <w:p>
      <w:pPr>
        <w:spacing w:after="0" w:line="1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uncertainties and other factors, many of which are outside of our control, which could cause our actual results, performance or achievements to differ materially from any results, performance or achievements expressed or implied by such forward-looking statements. These risks, uncertainties and other factors include, but are not limited to:</w:t>
      </w:r>
    </w:p>
    <w:p>
      <w:pPr>
        <w:spacing w:after="0" w:line="62" w:lineRule="exact"/>
        <w:rPr>
          <w:sz w:val="20"/>
          <w:szCs w:val="20"/>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significant debt and ability to incur substantially more debt;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cash flow and earnings;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our debt obligations;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payments received from the government and third-party payors on our revenues and results of operations;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economic and employment conditions in the United States on our business and results of operations;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recent healthcare reform;</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our highly competitive industry on patient volumes;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recruitment and retention of quality psychiatrists and other physicians on our performance;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competition for staffing on our labor costs and profitability;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key management personnel, key executives and our local facility management personnel;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laws and government regulations;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claims brought against our facilities;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governmental investigations, regulatory actions and whistleblower lawsuits;</w:t>
      </w:r>
    </w:p>
    <w:p>
      <w:pPr>
        <w:spacing w:after="0" w:line="90" w:lineRule="exact"/>
        <w:rPr>
          <w:rFonts w:ascii="Arial" w:cs="Arial" w:eastAsia="Arial" w:hAnsi="Arial"/>
          <w:sz w:val="18"/>
          <w:szCs w:val="18"/>
          <w:color w:val="auto"/>
        </w:rPr>
      </w:pPr>
    </w:p>
    <w:p>
      <w:pPr>
        <w:ind w:left="1460" w:right="60" w:hanging="547"/>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successfully integrating the YFCS, PHC and Haven facilities and operations or realizing the potential benefits and synergies of these acquisitions;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acquiring facilities in general and acquiring facilities from not-for-profit entities due to regulatory scrutiny;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improving the operations of the facilities we acquire;</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unknown or contingent liabilities on facilities we acquire;</w:t>
      </w:r>
    </w:p>
    <w:p>
      <w:pPr>
        <w:spacing w:after="0" w:line="90" w:lineRule="exact"/>
        <w:rPr>
          <w:rFonts w:ascii="Arial" w:cs="Arial" w:eastAsia="Arial" w:hAnsi="Arial"/>
          <w:sz w:val="18"/>
          <w:szCs w:val="18"/>
          <w:color w:val="auto"/>
        </w:rPr>
      </w:pPr>
    </w:p>
    <w:p>
      <w:pPr>
        <w:ind w:left="1460" w:right="800" w:hanging="547"/>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state efforts to regulate the construction or expansion of healthcare facilities on our ability to operate and expand our operations;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controls designed to reduce inpatient services on our revenues;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impact of fluctuations in our operating results, quarter to quarter earnings and other factors on the price of our common stock;</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different interpretations of accounting principles on our results of operations or financial condition;</w:t>
      </w:r>
    </w:p>
    <w:p>
      <w:pPr>
        <w:spacing w:after="0" w:line="90" w:lineRule="exact"/>
        <w:rPr>
          <w:rFonts w:ascii="Arial" w:cs="Arial" w:eastAsia="Arial" w:hAnsi="Arial"/>
          <w:sz w:val="18"/>
          <w:szCs w:val="18"/>
          <w:color w:val="auto"/>
        </w:rPr>
      </w:pPr>
    </w:p>
    <w:p>
      <w:pPr>
        <w:ind w:left="1460" w:right="180" w:hanging="547"/>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an increase in uninsured and underinsured patients or the deterioration in the collectability of the accounts of such patients on our results of operations;</w:t>
      </w:r>
    </w:p>
    <w:p>
      <w:pPr>
        <w:spacing w:after="0" w:line="50" w:lineRule="exact"/>
        <w:rPr>
          <w:rFonts w:ascii="Arial" w:cs="Arial" w:eastAsia="Arial" w:hAnsi="Arial"/>
          <w:sz w:val="18"/>
          <w:szCs w:val="18"/>
          <w:color w:val="auto"/>
        </w:rPr>
      </w:pPr>
    </w:p>
    <w:p>
      <w:pPr>
        <w:ind w:left="1460" w:right="180" w:hanging="547"/>
        <w:spacing w:after="0" w:line="268"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legislative and regulatory initiatives relating to privacy and security of patient health information and standards for electronic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 w:name="page9"/>
    <w:bookmarkEnd w:id="8"/>
    <w:p>
      <w:pPr>
        <w:ind w:left="1460" w:right="240" w:hanging="547"/>
        <w:spacing w:after="0" w:line="268"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impact of the trend for insurance companies and managed care organizations to enter into sole source contracts on our ability to obtain patients;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fact that we have not been required to comply with regulatory requirements applicable to reporting companies until recently;</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status as a “controlled company”;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other risks described under the heading “Risk Factors” in Item 1A</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Given these risks and uncertainties, you are cautioned not to place undue reliance on such forward-looking statements. These risks and uncertainties may cause our actual future results to be materially different than those expressed in our forward-looking statements. These forward-looking statements are made only as of the date of this Annual Report on Form 10-K. We do not undertake and specifically decline any obligation to update any such statements or to publicly announce the results of any revisions to any such statements to reflect future events or developments.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Our business strategy is to acquire and develop inpatient behavioral healthcare facilities and improve our operating results within our inpatient facilities and our other behavioral healthcare operations. Our goal is to improve the operating results of our facilities by providing high quality services, expanding referral networks and marketing initiatives while meeting the increased demand for behavioral healthcare services through expansion of our current locations as well as developing new services within existing locations.</w:t>
      </w:r>
    </w:p>
    <w:p>
      <w:pPr>
        <w:spacing w:after="0" w:line="143"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On March 1, 2012, we completed the acquisition of three inpatient behavioral healthcare facilities with a combined 166 licensed beds from Haven for $91.0 million of cash consideration. Also on March 1, 2012, we amended our Senior Secured Credit Facility to provide an incremental $25.0 million of term loans and increase the revolving credit facility by $45.0 million, from $30.0 million to $75.0 million. We used the net proceeds from the sale of our common stock, the incremental term loans of $25.0 million and a $5.0 million borrowing under the revolving credit facility to fund the acquisition of the Haven facilities.</w:t>
      </w:r>
    </w:p>
    <w:p>
      <w:pPr>
        <w:spacing w:after="0" w:line="113"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On December 20, 2011, we completed the offering of 9,583,332 shares of our common stock (including shares sold pursuant to the exercise of the over-allotment option that we granted to the underwriters as part of the offering) at a price of $7.50 per share. The net proceeds to us from the sale of the shares, after deducting the underwriting discount of approximately $3.8 million and additional offering-related expenses of approximately $0.9 million, were approximately $67.2 million.</w:t>
      </w:r>
    </w:p>
    <w:p>
      <w:pPr>
        <w:spacing w:after="0" w:line="14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On November 1, 2011, we completed our acquisition of PHC, a leading national provider of inpatient and outpatient mental health and drug and alcohol addiction treatment programs in Delaware, Michigan, Nevada, Pennsylvania, Utah and Virginia. In connection with the acquisition, we issued $150.0 million of our Senior Notes and used the proceeds of such debt issuance primarily to pay a cash distribution of $74.4 million to existing Acadia stockholders, repay PHC debt of $26.4 million, fund the $5.0 million cash portion of the acquisition consideration issued to the holders of PHC’s Class B Common Stock, pay a $20.6 million fee to terminate the professional services agreement between Acadia and Waud Capital Partners and pay transaction-related expenses. The Senior Notes were issued at a discount of $2.5 million. Additionally, pursuant to the PHC merger agreement, we issued 4,891,667 shares of our common stock to the holders of PHC’s Class A Common Stock and Class B Common Stock based on a one-to-four conversion rate and 19,566,668 PHC shares outstanding immediately prior to the acquisition.</w:t>
      </w:r>
    </w:p>
    <w:p>
      <w:pPr>
        <w:spacing w:after="0" w:line="118" w:lineRule="exact"/>
        <w:rPr>
          <w:sz w:val="20"/>
          <w:szCs w:val="20"/>
          <w:color w:val="auto"/>
        </w:rPr>
      </w:pPr>
    </w:p>
    <w:p>
      <w:pPr>
        <w:ind w:right="80" w:firstLine="913"/>
        <w:spacing w:after="0" w:line="294" w:lineRule="auto"/>
        <w:rPr>
          <w:sz w:val="20"/>
          <w:szCs w:val="20"/>
          <w:color w:val="auto"/>
        </w:rPr>
      </w:pPr>
      <w:r>
        <w:rPr>
          <w:rFonts w:ascii="Arial" w:cs="Arial" w:eastAsia="Arial" w:hAnsi="Arial"/>
          <w:sz w:val="16"/>
          <w:szCs w:val="16"/>
          <w:color w:val="auto"/>
        </w:rPr>
        <w:t>On April 1, 2011, we completed the acquisition of YFCS, the largest private, for-profit provider of behavioral health, education and long-term support services exclusively for abused and neglected children and adolescents, for approximately $178.0 million. YFCS operates 13 facilities in eight states and offers a broad array of behavioral programs to adults, adolescents and children. These programs include behavioral acute and residential care in inpatient facilities, therapeutic group homes, therapeutic foster care services, education, and other community based services. This transaction was financed with a $135.0 million term loan facility and $10 million of borrowings on a $30 million revolving credit facility, as well as $52.5 million of new equity contributions.</w:t>
      </w:r>
    </w:p>
    <w:p>
      <w:pPr>
        <w:spacing w:after="0" w:line="116" w:lineRule="exact"/>
        <w:rPr>
          <w:sz w:val="20"/>
          <w:szCs w:val="20"/>
          <w:color w:val="auto"/>
        </w:rPr>
      </w:pPr>
    </w:p>
    <w:p>
      <w:pPr>
        <w:ind w:right="200" w:firstLine="913"/>
        <w:spacing w:after="0" w:line="291" w:lineRule="auto"/>
        <w:rPr>
          <w:sz w:val="20"/>
          <w:szCs w:val="20"/>
          <w:color w:val="auto"/>
        </w:rPr>
      </w:pPr>
      <w:r>
        <w:rPr>
          <w:rFonts w:ascii="Arial" w:cs="Arial" w:eastAsia="Arial" w:hAnsi="Arial"/>
          <w:sz w:val="16"/>
          <w:szCs w:val="16"/>
          <w:color w:val="auto"/>
        </w:rPr>
        <w:t>The recent acquisitions of facilities and services make us the leading publicly traded pure-play provider of inpatient behavioral healthcare services based upon number of licensed beds in the United States. We believe that the YFCS, PHC and Haven acquisitions position the combined company as a leading platform in a highly fragmented industry under the direction of an experienced management team that has significant industry expertise. We expect to take advantage of several strategies that are more accessible as a result of our increased size and geographic scale, including implementing a national marketing strategy to attract new patients and referral sources, increasing our volume of out-of-state referrals, providing a broader range of services to new and existing patients and clients and selectively pursuing opportunities to expand our facility and bed 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receive payments from the following sources, or services rendered in our facilities: (i) state governments under their respective Medicaid programs and otherwise; (ii) private insurers, including managed care plans; (iii) the federal Medicare Program; and (iv) directly from other payors including individual patients and clients. For the year ended December 31, 2011, on a pro forma basis giving effect to the acquisitions of YFCS and PHC, approximately 67% of our revenue came from Medicaid, approximately 20% came from private insurers, approximately 8% came from Medicare and approximately 5% came from private pay and other payors.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illustrates our consolidated results of operations from continuing operations for the respective periods shown (dollars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7"/>
              </w:rPr>
              <w:t>AMOUNT</w:t>
            </w: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 before provision for doubtful accounts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$219,704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64,342</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51,821</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(3,206)</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(2,239)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(2,424)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216,498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100.0%</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62,103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49,397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322"/>
        </w:trPr>
        <w:tc>
          <w:tcPr>
            <w:tcW w:w="620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152,609</w:t>
            </w:r>
          </w:p>
        </w:tc>
        <w:tc>
          <w:tcPr>
            <w:tcW w:w="300" w:type="dxa"/>
            <w:vAlign w:val="bottom"/>
          </w:tcPr>
          <w:p>
            <w:pPr>
              <w:spacing w:after="0"/>
              <w:rPr>
                <w:sz w:val="24"/>
                <w:szCs w:val="24"/>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38,661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32,572</w:t>
            </w:r>
          </w:p>
        </w:tc>
        <w:tc>
          <w:tcPr>
            <w:tcW w:w="3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Supplies</w:t>
            </w: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rPr>
              <w:t>11,349</w:t>
            </w: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3,699</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20,171</w:t>
            </w:r>
          </w:p>
        </w:tc>
        <w:tc>
          <w:tcPr>
            <w:tcW w:w="300" w:type="dxa"/>
            <w:vAlign w:val="bottom"/>
          </w:tcPr>
          <w:p>
            <w:pPr>
              <w:spacing w:after="0"/>
              <w:rPr>
                <w:sz w:val="18"/>
                <w:szCs w:val="18"/>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6,870</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6,720</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expense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9,191</w:t>
            </w:r>
          </w:p>
        </w:tc>
        <w:tc>
          <w:tcPr>
            <w:tcW w:w="300" w:type="dxa"/>
            <w:vAlign w:val="bottom"/>
          </w:tcPr>
          <w:p>
            <w:pPr>
              <w:spacing w:after="0"/>
              <w:rPr>
                <w:sz w:val="18"/>
                <w:szCs w:val="18"/>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738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774</w:t>
            </w:r>
          </w:p>
        </w:tc>
        <w:tc>
          <w:tcPr>
            <w:tcW w:w="3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Sponsor management fees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41,547</w:t>
            </w:r>
          </w:p>
        </w:tc>
        <w:tc>
          <w:tcPr>
            <w:tcW w:w="300" w:type="dxa"/>
            <w:vAlign w:val="bottom"/>
          </w:tcPr>
          <w:p>
            <w:pPr>
              <w:spacing w:after="0"/>
              <w:rPr>
                <w:sz w:val="18"/>
                <w:szCs w:val="18"/>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918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254,964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117.8%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54,945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46,586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6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20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(38,466)</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7,158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2,811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(5,272)</w:t>
            </w:r>
          </w:p>
        </w:tc>
        <w:tc>
          <w:tcPr>
            <w:tcW w:w="8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w w:val="85"/>
              </w:rPr>
              <w:t>$ (33,194)</w:t>
            </w:r>
          </w:p>
        </w:tc>
        <w:tc>
          <w:tcPr>
            <w:tcW w:w="800" w:type="dxa"/>
            <w:vAlign w:val="bottom"/>
            <w:gridSpan w:val="2"/>
          </w:tcPr>
          <w:p>
            <w:pPr>
              <w:jc w:val="right"/>
              <w:ind w:right="72"/>
              <w:spacing w:after="0"/>
              <w:rPr>
                <w:sz w:val="20"/>
                <w:szCs w:val="20"/>
                <w:color w:val="auto"/>
              </w:rPr>
            </w:pPr>
            <w:r>
              <w:rPr>
                <w:rFonts w:ascii="Arial" w:cs="Arial" w:eastAsia="Arial" w:hAnsi="Arial"/>
                <w:sz w:val="18"/>
                <w:szCs w:val="18"/>
                <w:color w:val="auto"/>
              </w:rPr>
              <w:t>(15.3)%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6,681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2,758</w:t>
            </w:r>
          </w:p>
        </w:tc>
        <w:tc>
          <w:tcPr>
            <w:tcW w:w="3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2011 Compared to the Year Ended December 31, 2010</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 xml:space="preserve">Revenue before provision for doubtful accounts. </w:t>
      </w:r>
      <w:r>
        <w:rPr>
          <w:rFonts w:ascii="Arial" w:cs="Arial" w:eastAsia="Arial" w:hAnsi="Arial"/>
          <w:sz w:val="16"/>
          <w:szCs w:val="16"/>
          <w:color w:val="auto"/>
        </w:rPr>
        <w:t>Revenue before provision for doubtful accounts increased $155.4 million, or 241.5%,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$219.7 million for the year ended December 31, 2011 compared to $64.3 million for the year ended December 31, 2010. The increase relates primarily to the</w:t>
      </w:r>
    </w:p>
    <w:p>
      <w:pPr>
        <w:spacing w:after="0" w:line="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$147.7 million of revenue generated during 2011 from the YFCS facilities acquired on April 1, 2011 and the PHC facilities acquired on November 1, 2011. The remainder of the increase in revenue before provision for doubtful accounts is attributable to same-facility revenue before provision for doubtful accounts growth of $7.7 million, or 12.0%, on same-facility growth in patient days of 13.3%.</w:t>
      </w:r>
    </w:p>
    <w:p>
      <w:pPr>
        <w:spacing w:after="0" w:line="144" w:lineRule="exact"/>
        <w:rPr>
          <w:sz w:val="20"/>
          <w:szCs w:val="20"/>
          <w:color w:val="auto"/>
        </w:rPr>
      </w:pPr>
    </w:p>
    <w:p>
      <w:pPr>
        <w:ind w:right="280" w:firstLine="913"/>
        <w:spacing w:after="0" w:line="302" w:lineRule="auto"/>
        <w:rPr>
          <w:sz w:val="20"/>
          <w:szCs w:val="20"/>
          <w:color w:val="auto"/>
        </w:rPr>
      </w:pPr>
      <w:r>
        <w:rPr>
          <w:rFonts w:ascii="Arial" w:cs="Arial" w:eastAsia="Arial" w:hAnsi="Arial"/>
          <w:sz w:val="15"/>
          <w:szCs w:val="15"/>
          <w:i w:val="1"/>
          <w:iCs w:val="1"/>
          <w:color w:val="auto"/>
        </w:rPr>
        <w:t xml:space="preserve">Provision for doubtful accounts. </w:t>
      </w:r>
      <w:r>
        <w:rPr>
          <w:rFonts w:ascii="Arial" w:cs="Arial" w:eastAsia="Arial" w:hAnsi="Arial"/>
          <w:sz w:val="15"/>
          <w:szCs w:val="15"/>
          <w:color w:val="auto"/>
        </w:rPr>
        <w:t>The provision for doubtful accounts was $3.2 million for the year ended December 31, 2011, or 1.5% of revenue</w:t>
      </w:r>
      <w:r>
        <w:rPr>
          <w:rFonts w:ascii="Arial" w:cs="Arial" w:eastAsia="Arial" w:hAnsi="Arial"/>
          <w:sz w:val="15"/>
          <w:szCs w:val="15"/>
          <w:i w:val="1"/>
          <w:iCs w:val="1"/>
          <w:color w:val="auto"/>
        </w:rPr>
        <w:t xml:space="preserve"> </w:t>
      </w:r>
      <w:r>
        <w:rPr>
          <w:rFonts w:ascii="Arial" w:cs="Arial" w:eastAsia="Arial" w:hAnsi="Arial"/>
          <w:sz w:val="15"/>
          <w:szCs w:val="15"/>
          <w:color w:val="auto"/>
        </w:rPr>
        <w:t>before provision for doubtful accounts, compared to $2.2 million for the year ended December 31, 2010, or 3.5% of revenue before provision for doubtful accounts. The decrease in the provision for doubtful accounts is attributable to the lower volumes of private pay admissions and bad debts associated with the facilities acquired from YFCS on April 1, 2011. The same-facility provision for doubtful accounts was $2.3 million for the year ended December 31, 2011, or</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3.2% of revenue before provision for doubtful accounts, compared to $2.2 million for the year ended December 31, 2010, or 3.5% of revenue before provision for doubtful accounts.</w:t>
      </w:r>
    </w:p>
    <w:p>
      <w:pPr>
        <w:spacing w:after="0" w:line="138" w:lineRule="exact"/>
        <w:rPr>
          <w:sz w:val="20"/>
          <w:szCs w:val="20"/>
          <w:color w:val="auto"/>
        </w:rPr>
      </w:pPr>
    </w:p>
    <w:p>
      <w:pPr>
        <w:ind w:right="80" w:firstLine="913"/>
        <w:spacing w:after="0" w:line="301" w:lineRule="auto"/>
        <w:rPr>
          <w:sz w:val="20"/>
          <w:szCs w:val="20"/>
          <w:color w:val="auto"/>
        </w:rPr>
      </w:pPr>
      <w:r>
        <w:rPr>
          <w:rFonts w:ascii="Arial" w:cs="Arial" w:eastAsia="Arial" w:hAnsi="Arial"/>
          <w:sz w:val="15"/>
          <w:szCs w:val="15"/>
          <w:i w:val="1"/>
          <w:iCs w:val="1"/>
          <w:color w:val="auto"/>
        </w:rPr>
        <w:t xml:space="preserve">Salaries, wages and benefits. </w:t>
      </w:r>
      <w:r>
        <w:rPr>
          <w:rFonts w:ascii="Arial" w:cs="Arial" w:eastAsia="Arial" w:hAnsi="Arial"/>
          <w:sz w:val="15"/>
          <w:szCs w:val="15"/>
          <w:color w:val="auto"/>
        </w:rPr>
        <w:t>Salaries, wages and benefits (“SWB”) expense was $152.6 million for the year ended December 31, 2011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$38.7 million for the year ended December 31, 2010, an increase of $113.9 million. SWB expense includes $17.3 million of equity-based compensation expense for the year ended December 31, 2011. This equity-based compensation primarily relates to the incentive equity units issued by Acadia Healthcare Holdings, LLC, our former parent company, prior to its liquidation on November 1, 2011. We do not expect equity-based compensation to be this significant in future periods because of the liquidation of Acadia Healthcare Holdings, LLC and exchange of all equity incentive units for shares of Acadia Healthcare Company, Inc. common stock. There was no equity-based compensation expense during the year ended December 31, 2010. Excluding equity-based compensation expense, SWB expense was $135.3 million, or 62.5% of revenue, for the year ended December 31, 2011, compared to 62.3% of revenue for the year ended December 31, 2010. The increase in SWB expense, excluding equity-based compensation expense, as a percentage of revenue is attributable to the higher SWB expense associated with the facilities acquired from YFCS on April 1, 2011. Same-facility SWB expense was $39.2 million for the year ended December 31, 2011, or</w:t>
      </w:r>
    </w:p>
    <w:p>
      <w:pPr>
        <w:spacing w:after="0" w:line="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56.2% of revenue, compared to $35.7 million for the year ended December 31, 2010, or 57.4% of revenue. SWB expense, excluding equity-based compensation expense, for our corporate office was $8.8 million for the year ended December 31, 2011 compared to $3.0 million for the year ended December 31, 2010 as a result of the hiring of senior management and other personnel necessary to facilitate acquisitions and the overall growth of the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 w:name="page11"/>
    <w:bookmarkEnd w:id="10"/>
    <w:p>
      <w:pPr>
        <w:ind w:right="180" w:firstLine="913"/>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Professional fees. </w:t>
      </w:r>
      <w:r>
        <w:rPr>
          <w:rFonts w:ascii="Arial" w:cs="Arial" w:eastAsia="Arial" w:hAnsi="Arial"/>
          <w:sz w:val="18"/>
          <w:szCs w:val="18"/>
          <w:color w:val="auto"/>
        </w:rPr>
        <w:t>Professional fees were $8.9 million for the year ended December 31, 2011, or 4.1% of revenue, compared to $1.7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or 2.7% of revenue. The $7.2 million increase in professional fees is primarily attributable to the higher professional fees associated with the facilities acquired from YFCS on April 1, 2011. Same-facility professional fees were $1.2 million, or 1.8% of revenue, for each of the years ended December 31, 2011 and 2010.</w:t>
      </w:r>
    </w:p>
    <w:p>
      <w:pPr>
        <w:spacing w:after="0" w:line="143"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i w:val="1"/>
          <w:iCs w:val="1"/>
          <w:color w:val="auto"/>
        </w:rPr>
        <w:t xml:space="preserve">Supplies. </w:t>
      </w:r>
      <w:r>
        <w:rPr>
          <w:rFonts w:ascii="Arial" w:cs="Arial" w:eastAsia="Arial" w:hAnsi="Arial"/>
          <w:sz w:val="16"/>
          <w:szCs w:val="16"/>
          <w:color w:val="auto"/>
        </w:rPr>
        <w:t>Supplies expense was $11.3 million for the year ended December 31, 2011, or 5.2% of revenue, compared to $3.7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2010, or 6.0% of revenue. The $7.6 million increase in supplies expense is primarily attributable to the higher supplies expense associated with the facilities acquired from YFCS on April 1, 2011. Same-facility supplies expense was $4.1 million for the year ended December 31, 2011, or 5.9% of revenue, compared to $3.7 million for the year ended December 31, 2010, or 5.9% of revenue.</w:t>
      </w:r>
    </w:p>
    <w:p>
      <w:pPr>
        <w:spacing w:after="0" w:line="11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i w:val="1"/>
          <w:iCs w:val="1"/>
          <w:color w:val="auto"/>
        </w:rPr>
        <w:t xml:space="preserve">Rents and leases. </w:t>
      </w:r>
      <w:r>
        <w:rPr>
          <w:rFonts w:ascii="Arial" w:cs="Arial" w:eastAsia="Arial" w:hAnsi="Arial"/>
          <w:sz w:val="18"/>
          <w:szCs w:val="18"/>
          <w:color w:val="auto"/>
        </w:rPr>
        <w:t>Rents and leases were $5.6 million for the year ended December 31, 2011, or 2.6% of revenue, compared to $1.3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or 2.1% of revenue. The increase in rents and leases is attributable to the acquisition of YFCS on April 1, 2011 and PHC on November 1, 2011. Same-facility rents and leases were $1.2 million for the year ended December 31, 2011, or 1.8% of revenue, compared to $1.2 million for the year ended December 31, 2010, or 1.9% of revenue.</w:t>
      </w:r>
    </w:p>
    <w:p>
      <w:pPr>
        <w:spacing w:after="0" w:line="14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Other operating expenses consist primarily of purchased services, utilities, insurance, travel and repairs and maintenance</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Other operating expenses were $20.2 million for the year ended December 31, 2011, or 9.3% of revenue, compared to $6.9 million for the year ended December 31, 2010, or 11.1% of revenue. The decrease in other operating expenses as a percentage of revenue is attributable to the lower other operating expenses associated with the facilities acquired from YFCS on April 1, 2011. Same-facility other operating expenses were $7.2 million for the year ended December 31, 2011, or 10.4% of revenue, compared to $5.9 million for the year ended December 31, 2010, or 9.5% of revenue.</w:t>
      </w:r>
    </w:p>
    <w:p>
      <w:pPr>
        <w:spacing w:after="0" w:line="11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was $4.3 million for the year ended December 31, 2011, or 2.0%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year ended December 31, 2010, or 1.6% of revenue. The increase in depreciation and amortization is attributable to the acquisition of YFCS on April 1, 2011 and the acquisition of PHC on November 1, 2011.</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$9.2 million for the year ended December 31, 2011 compared to $0.7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increase in interest expense is a result of borrowings under our Senior Secured Credit Facility on April 1, 2011 and the issuance of $150.0 million of Senior Notes on November 1, 2011.</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 xml:space="preserve">Sponsor management fees. </w:t>
      </w:r>
      <w:r>
        <w:rPr>
          <w:rFonts w:ascii="Arial" w:cs="Arial" w:eastAsia="Arial" w:hAnsi="Arial"/>
          <w:sz w:val="18"/>
          <w:szCs w:val="18"/>
          <w:color w:val="auto"/>
        </w:rPr>
        <w:t>Sponsor management fees were $1.3 million for the year ended December 31, 2011 compared to $0.1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2010. Sponsor management fees relate to our professional services agreement with Waud Capital Partners, which was amended effective April 1, 2011 and terminated on November 1, 2011.</w:t>
      </w:r>
    </w:p>
    <w:p>
      <w:pPr>
        <w:spacing w:after="0" w:line="140" w:lineRule="exact"/>
        <w:rPr>
          <w:sz w:val="20"/>
          <w:szCs w:val="20"/>
          <w:color w:val="auto"/>
        </w:rPr>
      </w:pPr>
    </w:p>
    <w:p>
      <w:pPr>
        <w:jc w:val="both"/>
        <w:ind w:right="60" w:firstLine="913"/>
        <w:spacing w:after="0" w:line="256" w:lineRule="auto"/>
        <w:rPr>
          <w:sz w:val="20"/>
          <w:szCs w:val="20"/>
          <w:color w:val="auto"/>
        </w:rPr>
      </w:pPr>
      <w:r>
        <w:rPr>
          <w:rFonts w:ascii="Arial" w:cs="Arial" w:eastAsia="Arial" w:hAnsi="Arial"/>
          <w:sz w:val="18"/>
          <w:szCs w:val="18"/>
          <w:i w:val="1"/>
          <w:iCs w:val="1"/>
          <w:color w:val="auto"/>
        </w:rPr>
        <w:t xml:space="preserve">Transaction-related expenses. </w:t>
      </w:r>
      <w:r>
        <w:rPr>
          <w:rFonts w:ascii="Arial" w:cs="Arial" w:eastAsia="Arial" w:hAnsi="Arial"/>
          <w:sz w:val="18"/>
          <w:szCs w:val="18"/>
          <w:color w:val="auto"/>
        </w:rPr>
        <w:t>Transaction-related expenses were $41.5 million for the year ended December 31, 2011 compared to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2010. Transaction-related expenses represent costs incurred in the respective periods related to the acquisition of YFCS on April 1, 2011, the acquisition of PHC on November 1, 2011 and the termination of the professional services agreement with Waud Capital Partners, as summarized below (in thousands):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Fee paid to equity sponsor for termination of professional services agreement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Advisory fees paid to equity sponsor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 banking advisory and bridge commitment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Legal, accounting and other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918</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contract termination costs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7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918</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i w:val="1"/>
          <w:iCs w:val="1"/>
          <w:color w:val="auto"/>
        </w:rPr>
        <w:t>Revenue before provision for doubtful accounts</w:t>
      </w:r>
      <w:r>
        <w:rPr>
          <w:rFonts w:ascii="Arial" w:cs="Arial" w:eastAsia="Arial" w:hAnsi="Arial"/>
          <w:sz w:val="16"/>
          <w:szCs w:val="16"/>
          <w:color w:val="auto"/>
        </w:rPr>
        <w:t>. Revenue before provision for doubtful accounts increased $12.5 million, or 24.2%, to $64.3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2010 compared to $51.8 million for the year ended December 31, 2009. On a same-facility basis, revenue before provision for doubtful accounts increased $7.0 million or 13.5% for the year ended December 31, 2010 compared to the year ended December 31, 2009. Same-facility revenue before provision for doubtful accounts growth is attributable to an increase in same-facility inpatient days of 10.3% and an increase in same-facility outpatient visits of 17.6%. Revenue before provision for doubtful accounts increased by $5.5 million in 2010 compared to 2009 as a result of the acquisitions of the Acadiana facility on March 5, 2009 and The Village facility on November 2, 2009.</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 w:name="page12"/>
    <w:bookmarkEnd w:id="11"/>
    <w:p>
      <w:pPr>
        <w:ind w:right="280" w:firstLine="913"/>
        <w:spacing w:after="0" w:line="30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 for doubtful accounts</w:t>
      </w:r>
      <w:r>
        <w:rPr>
          <w:rFonts w:ascii="Arial" w:cs="Arial" w:eastAsia="Arial" w:hAnsi="Arial"/>
          <w:sz w:val="16"/>
          <w:szCs w:val="16"/>
          <w:color w:val="auto"/>
        </w:rPr>
        <w:t>. The provision for doubtful accounts was $2.2 million for the year ended December 31, 2010, or 3.5%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before provision for doubtful accounts, compared to $2.4 million for the year ended December 31, 2009, or 4.7% of revenue before provision for doubtful accounts. This decrease as a percent of revenue before provision for doubtful accounts was a result of improved collection efforts at our facilities.</w:t>
      </w:r>
    </w:p>
    <w:p>
      <w:pPr>
        <w:spacing w:after="0" w:line="107" w:lineRule="exact"/>
        <w:rPr>
          <w:sz w:val="20"/>
          <w:szCs w:val="20"/>
          <w:color w:val="auto"/>
        </w:rPr>
      </w:pPr>
    </w:p>
    <w:p>
      <w:pPr>
        <w:ind w:right="160" w:firstLine="913"/>
        <w:spacing w:after="0" w:line="305" w:lineRule="auto"/>
        <w:rPr>
          <w:sz w:val="20"/>
          <w:szCs w:val="20"/>
          <w:color w:val="auto"/>
        </w:rPr>
      </w:pPr>
      <w:r>
        <w:rPr>
          <w:rFonts w:ascii="Arial" w:cs="Arial" w:eastAsia="Arial" w:hAnsi="Arial"/>
          <w:sz w:val="15"/>
          <w:szCs w:val="15"/>
          <w:i w:val="1"/>
          <w:iCs w:val="1"/>
          <w:color w:val="auto"/>
        </w:rPr>
        <w:t>Salaries, wages and benefits</w:t>
      </w:r>
      <w:r>
        <w:rPr>
          <w:rFonts w:ascii="Arial" w:cs="Arial" w:eastAsia="Arial" w:hAnsi="Arial"/>
          <w:sz w:val="15"/>
          <w:szCs w:val="15"/>
          <w:color w:val="auto"/>
        </w:rPr>
        <w:t>. SWB expense was $38.7 million for the year ended December 31, 2010 compared to $32.6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2009, an increase of $6.1 million, or 18.7%. SWB expense represented 62.3% of revenue for the year ended December 31, 2010 compared to</w:t>
      </w:r>
    </w:p>
    <w:p>
      <w:pPr>
        <w:spacing w:after="0" w:line="255" w:lineRule="auto"/>
        <w:rPr>
          <w:sz w:val="20"/>
          <w:szCs w:val="20"/>
          <w:color w:val="auto"/>
        </w:rPr>
      </w:pPr>
      <w:r>
        <w:rPr>
          <w:rFonts w:ascii="Arial" w:cs="Arial" w:eastAsia="Arial" w:hAnsi="Arial"/>
          <w:sz w:val="18"/>
          <w:szCs w:val="18"/>
          <w:color w:val="auto"/>
        </w:rPr>
        <w:t>65.9% of revenue for the year ended December 31, 2009. Same-facility SWB expense was $35.2 million in 2010, or 62.1% of revenue, compared to $32.6 million in 2009, or 65.9% of revenue. This decrease in same-facility SWB expense as a percent of revenue is primarily the result of improved operating efficiencies on higher volumes.</w:t>
      </w:r>
    </w:p>
    <w:p>
      <w:pPr>
        <w:spacing w:after="0" w:line="144"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i w:val="1"/>
          <w:iCs w:val="1"/>
          <w:color w:val="auto"/>
        </w:rPr>
        <w:t>Professional fees</w:t>
      </w:r>
      <w:r>
        <w:rPr>
          <w:rFonts w:ascii="Arial" w:cs="Arial" w:eastAsia="Arial" w:hAnsi="Arial"/>
          <w:sz w:val="18"/>
          <w:szCs w:val="18"/>
          <w:color w:val="auto"/>
        </w:rPr>
        <w:t>. Professional fees were $1.7 million for the year ended December 31, 2010, or 2.7% of revenue, compared to $1.8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2009, or 3.7% of revenue. Same-facility professional fees, excluding acquisition-related expenses, were $1.6 million in 2010, or 2.8% of revenue, compared to $1.8 million in 2009, or 3.7% of revenue.</w:t>
      </w:r>
    </w:p>
    <w:p>
      <w:pPr>
        <w:spacing w:after="0" w:line="14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i w:val="1"/>
          <w:iCs w:val="1"/>
          <w:color w:val="auto"/>
        </w:rPr>
        <w:t>Supplies</w:t>
      </w:r>
      <w:r>
        <w:rPr>
          <w:rFonts w:ascii="Arial" w:cs="Arial" w:eastAsia="Arial" w:hAnsi="Arial"/>
          <w:sz w:val="18"/>
          <w:szCs w:val="18"/>
          <w:color w:val="auto"/>
        </w:rPr>
        <w:t>. Supplies expense was $3.7 million for the year ended December 31, 2010, or 6.0% of total revenue, compared to $2.8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2009, or 5.8% of total revenue. Same-facility supplies expense was $3.2 million in 2010, or 5.6% of revenue, compared to $2.8 million in 2009, or 5.8% of revenue.</w:t>
      </w:r>
    </w:p>
    <w:p>
      <w:pPr>
        <w:spacing w:after="0" w:line="14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i w:val="1"/>
          <w:iCs w:val="1"/>
          <w:color w:val="auto"/>
        </w:rPr>
        <w:t>Rentals and leases</w:t>
      </w:r>
      <w:r>
        <w:rPr>
          <w:rFonts w:ascii="Arial" w:cs="Arial" w:eastAsia="Arial" w:hAnsi="Arial"/>
          <w:sz w:val="18"/>
          <w:szCs w:val="18"/>
          <w:color w:val="auto"/>
        </w:rPr>
        <w:t>. Rentals and leases were $1.3 million for the year ended December 31, 2010, or 2.1% of total revenue, compared to $0.9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2009, or 1.8% of total revenue. Same-facility rentals and leases were $1.0 million in 2010, or 1.8% of revenue, compared to $0.9 million in 2009, or 1.8% of revenue.</w:t>
      </w:r>
    </w:p>
    <w:p>
      <w:pPr>
        <w:spacing w:after="0" w:line="14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 Other operating expenses consist primarily of purchased services, utilities, insurance, travel and repairs and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Other operating expenses were $6.9 million for the year ended December 31, 2010, or 11.1% of revenue, compared to $6.7 million for the year ended December 31, 2009, or 13.6% of revenue. Same-facility other operating expenses were $6.1 million in 2010, or 10.8% of revenue, compared to $6.7 million in 2009, or 13.6% of revenue. This decrease in same-facility other operating expenses as a percent of revenue is primarily attributable to improved operating efficiencies.</w:t>
      </w:r>
    </w:p>
    <w:p>
      <w:pPr>
        <w:spacing w:after="0" w:line="14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was $1.0 million for the year ended December 31, 2010, or 1.6% of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year ended December 31, 2009, or 2.0% of revenue.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5"/>
          <w:szCs w:val="15"/>
          <w:i w:val="1"/>
          <w:iCs w:val="1"/>
          <w:color w:val="auto"/>
        </w:rPr>
        <w:t>Interest expense</w:t>
      </w:r>
      <w:r>
        <w:rPr>
          <w:rFonts w:ascii="Arial" w:cs="Arial" w:eastAsia="Arial" w:hAnsi="Arial"/>
          <w:sz w:val="15"/>
          <w:szCs w:val="15"/>
          <w:color w:val="auto"/>
        </w:rPr>
        <w:t>. Interest expense was $0.7 million for the year ended December 31, 2010 compared to $0.8 million for the year ended December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w:t>
      </w:r>
    </w:p>
    <w:p>
      <w:pPr>
        <w:spacing w:after="0" w:line="90"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Cash used in continuing operating activities for the year ended December 31, 2011 was $18.9 million compared to cash provided by continuing operating activities of $8.1 million for the year ended December 31, 2010. The decrease in cash provided by continuing operating activities is primarily attributable to transaction-related expenses of $41.5 million partially offset by cash provided by continuing operating activities of the YFCS facilities acquired on April 1, 2011 and the PHC facilities acquired on November 1, 2011. As of December 31, 2011, our working capital of $71.9 million, including cash and cash equivalents of $61.1 million, was higher than normal because of the proceeds from our offering of common stock completed on December 20, 2011 that were not used until the completion of the acquisition of the Haven facilities on March 1, 2012. Days sales outstanding as of December 31, 2011 was 38 compared to 31 as of December 31, 2010.</w:t>
      </w:r>
    </w:p>
    <w:p>
      <w:pPr>
        <w:spacing w:after="0" w:line="147" w:lineRule="exact"/>
        <w:rPr>
          <w:sz w:val="20"/>
          <w:szCs w:val="20"/>
          <w:color w:val="auto"/>
        </w:rPr>
      </w:pPr>
    </w:p>
    <w:p>
      <w:pPr>
        <w:ind w:right="180" w:firstLine="913"/>
        <w:spacing w:after="0" w:line="290" w:lineRule="auto"/>
        <w:rPr>
          <w:sz w:val="20"/>
          <w:szCs w:val="20"/>
          <w:color w:val="auto"/>
        </w:rPr>
      </w:pPr>
      <w:r>
        <w:rPr>
          <w:rFonts w:ascii="Arial" w:cs="Arial" w:eastAsia="Arial" w:hAnsi="Arial"/>
          <w:sz w:val="16"/>
          <w:szCs w:val="16"/>
          <w:color w:val="auto"/>
        </w:rPr>
        <w:t>Cash used in continuing investing activities for the year ended December 31, 2011 was $225.3 million compared to $1.5 million for the year ended December 31, 2010. Cash used in continuing investing activities for the year ended December 31, 2011 primarily consisted of cash paid for the YFCS and PHC acquisitions of $206.4 million, cash paid for capital expenditures of $9.6 million and cash paid for real estate acquisitions of $8.7 million. Cash used for routine and expansion capital expenditures was approximately $3.5 million and $6.1 million, respectively, for the year ended December 31, 2011. We define expansion capital expenditures as those that increase the capacity of our facilities or otherwise enhance revenue. Routine or maintenance capital expenditures were approximately 1.6% of our revenue for the year ended December 31, 2011. Cash used in continuing investing activities for the year ended December 31, 2010 consisted primarily of $1.5 million in cash paid for capital expenditures.</w:t>
      </w:r>
    </w:p>
    <w:p>
      <w:pPr>
        <w:spacing w:after="0" w:line="11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Cash provided by financing activities for the year ended December 31, 2011 was $298.7 million whereas cash used in financing activities was $2.6 million for the year ended December 31, 2010. Cash provided by financing activities for the year ended December 31, 2011 primarily consisted of borrowings on long-term debt of $282.5 million, contributions from Holdings of $51.0 million and the proceeds from the issuance of common stock of $68.1 million, partially offset by the cash distribution paid to equity holders of $74.4 million, principal payments on long-term debt of $5.1 million, repayments of long-term debt of $10.0 million, payment of debt issuance costs of $12.1 million, payment of equity issuance costs of $0.9 million and distributions to equity holders of $0.4 million. Cash used in financing activities for the year ended December 31, 2010 primarily consisted of capital distributions of $2.3 million.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Secured Credit Facility</w:t>
      </w:r>
    </w:p>
    <w:p>
      <w:pPr>
        <w:spacing w:after="0" w:line="9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To finance our acquisition of YFCS and refinance our $10.0 million secured promissory note that was outstanding at December 31, 2010, we entered into the Senior Secured Credit Facility, administered by Bank of America, N.A., on April 1, 2011. The Senior Secured Credit Facility included $135.0 million of term loans and a revolving credit facility of $30.0 million. As of December 31, 2011, we had $29.6 million of availability under our revolving line of credit, which reflected the total revolving credit facility of $30.0 million less an undrawn letter of credit of $0.4 million.</w:t>
      </w:r>
    </w:p>
    <w:p>
      <w:pPr>
        <w:spacing w:after="0" w:line="11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On March 1, 2012, we amended our Senior Secured Credit Facility to provide an incremental $25.0 million of term loans and increase the revolving credit facility by $45.0 million, from $30.0 million to $75.0 million. We used the incremental term loans of $25.0 million and a $5.0 million borrowing under the revolving credit facility to partially fund the acquisition of the Haven facilities on March 1, 2012. Subsequent to the amendment of the Senior Secured Credit Facility and acquisition of the Haven facilities on March 1, 2012, we have $69.6 million of availability under our revolving line of credit, subject to customary debt incurrence tests. The amended term loans require quarterly principal payments of $2.0 million for March 31, 2012 to March 31, 2013, $4.0 million for June 30, 2013 to March 31, 2014, $5.0 million for June 30, 2014 to March 31, 2015, and $6.0 million for June 30, 2015 to December 31, 2015, with the remaining principal balance due on the maturity date of April 1, 2016.</w:t>
      </w:r>
    </w:p>
    <w:p>
      <w:pPr>
        <w:spacing w:after="0" w:line="118"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Borrowings under the Senior Secured Credit Facility are guaranteed by each of Acadia’s domestic subsidiaries and are secured by a lien on substantially all of the assets of Acadia and its subsidiaries. Borrowings under the Senior Secured Credit Facility bear interest at a rate tied to Acadia’s consolidated leverage ratio (defined as consolidated funded debt to consolidated EBITDA, in each case as defined in the credit agreement governing the Senior Secured Credit Facility). The Applicable Rate for borrowings under the Senior Secured Credit Facility was 4.50% and 3.50% for Eurodollar Rate Loans and Base Rate Loans, respectively, as of December 31, 2011. Eurodollar Rate Loans bear interest at the Applicable Rate plus the Eurodollar Rate (based upon the British Bankers Association LIBOR Rate prior to commencement of the interest rate period). Base Rate Loans bear interest at the Applicable Rate plus the highest of</w:t>
      </w:r>
    </w:p>
    <w:p>
      <w:pPr>
        <w:spacing w:after="0" w:line="1" w:lineRule="exact"/>
        <w:rPr>
          <w:sz w:val="20"/>
          <w:szCs w:val="20"/>
          <w:color w:val="auto"/>
        </w:rPr>
      </w:pPr>
    </w:p>
    <w:p>
      <w:pPr>
        <w:ind w:firstLine="8"/>
        <w:spacing w:after="0" w:line="255"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federal funds rate plus 1/2 of 1.0%, (ii) the prime rate and (iii) the Eurodollar rate plus 1.0%. As of December 31, 2011, borrowings under the Senior Secured Credit Facility bore interest at 4.80%. In addition, Acadia is required to pay a commitment fee on undrawn amounts under the revolving line of credit. As of December 31, 2011, undrawn amounts bore interest at a rate of 0.55%.</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The interest rates and the commitment fee on unused commitments related to the Senior Secured Credit Facility are based upon the following pricing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tiers: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680" w:type="dxa"/>
            <w:vAlign w:val="bottom"/>
          </w:tcPr>
          <w:p>
            <w:pPr>
              <w:jc w:val="center"/>
              <w:ind w:left="1478"/>
              <w:spacing w:after="0"/>
              <w:rPr>
                <w:sz w:val="20"/>
                <w:szCs w:val="20"/>
                <w:color w:val="auto"/>
              </w:rPr>
            </w:pPr>
            <w:r>
              <w:rPr>
                <w:rFonts w:ascii="Arial" w:cs="Arial" w:eastAsia="Arial" w:hAnsi="Arial"/>
                <w:sz w:val="14"/>
                <w:szCs w:val="14"/>
                <w:b w:val="1"/>
                <w:bCs w:val="1"/>
                <w:color w:val="auto"/>
                <w:w w:val="85"/>
              </w:rPr>
              <w:t>Consolidated</w:t>
            </w:r>
          </w:p>
        </w:tc>
        <w:tc>
          <w:tcPr>
            <w:tcW w:w="1680" w:type="dxa"/>
            <w:vAlign w:val="bottom"/>
          </w:tcPr>
          <w:p>
            <w:pPr>
              <w:jc w:val="right"/>
              <w:ind w:right="378"/>
              <w:spacing w:after="0"/>
              <w:rPr>
                <w:sz w:val="20"/>
                <w:szCs w:val="20"/>
                <w:color w:val="auto"/>
              </w:rPr>
            </w:pPr>
            <w:r>
              <w:rPr>
                <w:rFonts w:ascii="Arial" w:cs="Arial" w:eastAsia="Arial" w:hAnsi="Arial"/>
                <w:sz w:val="14"/>
                <w:szCs w:val="14"/>
                <w:b w:val="1"/>
                <w:bCs w:val="1"/>
                <w:color w:val="auto"/>
              </w:rPr>
              <w:t>Eurodollar Rate</w:t>
            </w:r>
          </w:p>
        </w:tc>
        <w:tc>
          <w:tcPr>
            <w:tcW w:w="1320" w:type="dxa"/>
            <w:vAlign w:val="bottom"/>
          </w:tcPr>
          <w:p>
            <w:pPr>
              <w:jc w:val="right"/>
              <w:ind w:right="378"/>
              <w:spacing w:after="0"/>
              <w:rPr>
                <w:sz w:val="20"/>
                <w:szCs w:val="20"/>
                <w:color w:val="auto"/>
              </w:rPr>
            </w:pPr>
            <w:r>
              <w:rPr>
                <w:rFonts w:ascii="Arial" w:cs="Arial" w:eastAsia="Arial" w:hAnsi="Arial"/>
                <w:sz w:val="14"/>
                <w:szCs w:val="14"/>
                <w:b w:val="1"/>
                <w:bCs w:val="1"/>
                <w:color w:val="auto"/>
              </w:rPr>
              <w:t>Base Rate</w:t>
            </w:r>
          </w:p>
        </w:tc>
        <w:tc>
          <w:tcPr>
            <w:tcW w:w="1280" w:type="dxa"/>
            <w:vAlign w:val="bottom"/>
          </w:tcPr>
          <w:p>
            <w:pPr>
              <w:jc w:val="right"/>
              <w:ind w:right="118"/>
              <w:spacing w:after="0"/>
              <w:rPr>
                <w:sz w:val="20"/>
                <w:szCs w:val="20"/>
                <w:color w:val="auto"/>
              </w:rPr>
            </w:pPr>
            <w:r>
              <w:rPr>
                <w:rFonts w:ascii="Arial" w:cs="Arial" w:eastAsia="Arial" w:hAnsi="Arial"/>
                <w:sz w:val="14"/>
                <w:szCs w:val="14"/>
                <w:b w:val="1"/>
                <w:bCs w:val="1"/>
                <w:color w:val="auto"/>
              </w:rPr>
              <w:t>Commitment</w:t>
            </w:r>
          </w:p>
        </w:tc>
      </w:tr>
      <w:tr>
        <w:trPr>
          <w:trHeight w:val="175"/>
        </w:trPr>
        <w:tc>
          <w:tcPr>
            <w:tcW w:w="2540" w:type="dxa"/>
            <w:vAlign w:val="bottom"/>
          </w:tcPr>
          <w:p>
            <w:pPr>
              <w:spacing w:after="0"/>
              <w:rPr>
                <w:sz w:val="20"/>
                <w:szCs w:val="20"/>
                <w:color w:val="auto"/>
              </w:rPr>
            </w:pPr>
            <w:r>
              <w:rPr>
                <w:rFonts w:ascii="Arial" w:cs="Arial" w:eastAsia="Arial" w:hAnsi="Arial"/>
                <w:sz w:val="14"/>
                <w:szCs w:val="14"/>
                <w:b w:val="1"/>
                <w:bCs w:val="1"/>
                <w:color w:val="auto"/>
              </w:rPr>
              <w:t>Pricing Tier</w:t>
            </w:r>
          </w:p>
        </w:tc>
        <w:tc>
          <w:tcPr>
            <w:tcW w:w="3680" w:type="dxa"/>
            <w:vAlign w:val="bottom"/>
          </w:tcPr>
          <w:p>
            <w:pPr>
              <w:jc w:val="center"/>
              <w:ind w:left="1478"/>
              <w:spacing w:after="0"/>
              <w:rPr>
                <w:sz w:val="20"/>
                <w:szCs w:val="20"/>
                <w:color w:val="auto"/>
              </w:rPr>
            </w:pPr>
            <w:r>
              <w:rPr>
                <w:rFonts w:ascii="Arial" w:cs="Arial" w:eastAsia="Arial" w:hAnsi="Arial"/>
                <w:sz w:val="14"/>
                <w:szCs w:val="14"/>
                <w:b w:val="1"/>
                <w:bCs w:val="1"/>
                <w:color w:val="auto"/>
                <w:w w:val="87"/>
              </w:rPr>
              <w:t>Leverage Ratio</w:t>
            </w:r>
          </w:p>
        </w:tc>
        <w:tc>
          <w:tcPr>
            <w:tcW w:w="1680" w:type="dxa"/>
            <w:vAlign w:val="bottom"/>
          </w:tcPr>
          <w:p>
            <w:pPr>
              <w:jc w:val="right"/>
              <w:ind w:right="658"/>
              <w:spacing w:after="0"/>
              <w:rPr>
                <w:sz w:val="20"/>
                <w:szCs w:val="20"/>
                <w:color w:val="auto"/>
              </w:rPr>
            </w:pPr>
            <w:r>
              <w:rPr>
                <w:rFonts w:ascii="Arial" w:cs="Arial" w:eastAsia="Arial" w:hAnsi="Arial"/>
                <w:sz w:val="14"/>
                <w:szCs w:val="14"/>
                <w:b w:val="1"/>
                <w:bCs w:val="1"/>
                <w:color w:val="auto"/>
              </w:rPr>
              <w:t>Loans</w:t>
            </w:r>
          </w:p>
        </w:tc>
        <w:tc>
          <w:tcPr>
            <w:tcW w:w="1320" w:type="dxa"/>
            <w:vAlign w:val="bottom"/>
          </w:tcPr>
          <w:p>
            <w:pPr>
              <w:jc w:val="right"/>
              <w:ind w:right="478"/>
              <w:spacing w:after="0"/>
              <w:rPr>
                <w:sz w:val="20"/>
                <w:szCs w:val="20"/>
                <w:color w:val="auto"/>
              </w:rPr>
            </w:pPr>
            <w:r>
              <w:rPr>
                <w:rFonts w:ascii="Arial" w:cs="Arial" w:eastAsia="Arial" w:hAnsi="Arial"/>
                <w:sz w:val="14"/>
                <w:szCs w:val="14"/>
                <w:b w:val="1"/>
                <w:bCs w:val="1"/>
                <w:color w:val="auto"/>
              </w:rPr>
              <w:t>Loans</w:t>
            </w:r>
          </w:p>
        </w:tc>
        <w:tc>
          <w:tcPr>
            <w:tcW w:w="1280" w:type="dxa"/>
            <w:vAlign w:val="bottom"/>
          </w:tcPr>
          <w:p>
            <w:pPr>
              <w:jc w:val="right"/>
              <w:ind w:right="398"/>
              <w:spacing w:after="0"/>
              <w:rPr>
                <w:sz w:val="20"/>
                <w:szCs w:val="20"/>
                <w:color w:val="auto"/>
              </w:rPr>
            </w:pPr>
            <w:r>
              <w:rPr>
                <w:rFonts w:ascii="Arial" w:cs="Arial" w:eastAsia="Arial" w:hAnsi="Arial"/>
                <w:sz w:val="14"/>
                <w:szCs w:val="14"/>
                <w:b w:val="1"/>
                <w:bCs w:val="1"/>
                <w:color w:val="auto"/>
              </w:rPr>
              <w:t>Fee</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68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&lt;2.75:1.0</w:t>
            </w:r>
          </w:p>
        </w:tc>
        <w:tc>
          <w:tcPr>
            <w:tcW w:w="16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3.50%</w:t>
            </w:r>
          </w:p>
        </w:tc>
        <w:tc>
          <w:tcPr>
            <w:tcW w:w="13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2</w:t>
            </w:r>
          </w:p>
        </w:tc>
        <w:tc>
          <w:tcPr>
            <w:tcW w:w="3680" w:type="dxa"/>
            <w:vAlign w:val="bottom"/>
          </w:tcPr>
          <w:p>
            <w:pPr>
              <w:jc w:val="center"/>
              <w:ind w:left="1478"/>
              <w:spacing w:after="0"/>
              <w:rPr>
                <w:sz w:val="20"/>
                <w:szCs w:val="20"/>
                <w:color w:val="auto"/>
              </w:rPr>
            </w:pPr>
            <w:r>
              <w:rPr>
                <w:rFonts w:ascii="Arial" w:cs="Arial" w:eastAsia="Arial" w:hAnsi="Arial"/>
                <w:sz w:val="18"/>
                <w:szCs w:val="18"/>
                <w:color w:val="auto"/>
                <w:w w:val="88"/>
              </w:rPr>
              <w:t>2.75:1.0 but &lt;3.25:1.0</w:t>
            </w:r>
          </w:p>
        </w:tc>
        <w:tc>
          <w:tcPr>
            <w:tcW w:w="1680" w:type="dxa"/>
            <w:vAlign w:val="bottom"/>
          </w:tcPr>
          <w:p>
            <w:pPr>
              <w:jc w:val="right"/>
              <w:ind w:right="218"/>
              <w:spacing w:after="0"/>
              <w:rPr>
                <w:sz w:val="20"/>
                <w:szCs w:val="20"/>
                <w:color w:val="auto"/>
              </w:rPr>
            </w:pPr>
            <w:r>
              <w:rPr>
                <w:rFonts w:ascii="Arial" w:cs="Arial" w:eastAsia="Arial" w:hAnsi="Arial"/>
                <w:sz w:val="18"/>
                <w:szCs w:val="18"/>
                <w:color w:val="auto"/>
              </w:rPr>
              <w:t>3.75%</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2.75%</w:t>
            </w:r>
          </w:p>
        </w:tc>
        <w:tc>
          <w:tcPr>
            <w:tcW w:w="128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680" w:type="dxa"/>
            <w:vAlign w:val="bottom"/>
            <w:shd w:val="clear" w:color="auto" w:fill="CCEEFF"/>
          </w:tcPr>
          <w:p>
            <w:pPr>
              <w:jc w:val="center"/>
              <w:ind w:left="1478"/>
              <w:spacing w:after="0"/>
              <w:rPr>
                <w:sz w:val="20"/>
                <w:szCs w:val="20"/>
                <w:color w:val="auto"/>
              </w:rPr>
            </w:pPr>
            <w:r>
              <w:rPr>
                <w:rFonts w:ascii="Arial" w:cs="Arial" w:eastAsia="Arial" w:hAnsi="Arial"/>
                <w:sz w:val="18"/>
                <w:szCs w:val="18"/>
                <w:color w:val="auto"/>
                <w:w w:val="88"/>
              </w:rPr>
              <w:t>3.25:1.0 but &lt;3.75:1.0</w:t>
            </w:r>
          </w:p>
        </w:tc>
        <w:tc>
          <w:tcPr>
            <w:tcW w:w="16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4.00%</w:t>
            </w:r>
          </w:p>
        </w:tc>
        <w:tc>
          <w:tcPr>
            <w:tcW w:w="13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4</w:t>
            </w:r>
          </w:p>
        </w:tc>
        <w:tc>
          <w:tcPr>
            <w:tcW w:w="3680" w:type="dxa"/>
            <w:vAlign w:val="bottom"/>
          </w:tcPr>
          <w:p>
            <w:pPr>
              <w:jc w:val="center"/>
              <w:ind w:left="1478"/>
              <w:spacing w:after="0"/>
              <w:rPr>
                <w:sz w:val="20"/>
                <w:szCs w:val="20"/>
                <w:color w:val="auto"/>
              </w:rPr>
            </w:pPr>
            <w:r>
              <w:rPr>
                <w:rFonts w:ascii="Arial" w:cs="Arial" w:eastAsia="Arial" w:hAnsi="Arial"/>
                <w:sz w:val="18"/>
                <w:szCs w:val="18"/>
                <w:color w:val="auto"/>
                <w:w w:val="88"/>
              </w:rPr>
              <w:t>3.75:1.0 but &lt;5.00:1.0</w:t>
            </w:r>
          </w:p>
        </w:tc>
        <w:tc>
          <w:tcPr>
            <w:tcW w:w="1680" w:type="dxa"/>
            <w:vAlign w:val="bottom"/>
          </w:tcPr>
          <w:p>
            <w:pPr>
              <w:jc w:val="right"/>
              <w:ind w:right="218"/>
              <w:spacing w:after="0"/>
              <w:rPr>
                <w:sz w:val="20"/>
                <w:szCs w:val="20"/>
                <w:color w:val="auto"/>
              </w:rPr>
            </w:pPr>
            <w:r>
              <w:rPr>
                <w:rFonts w:ascii="Arial" w:cs="Arial" w:eastAsia="Arial" w:hAnsi="Arial"/>
                <w:sz w:val="18"/>
                <w:szCs w:val="18"/>
                <w:color w:val="auto"/>
              </w:rPr>
              <w:t>4.25%</w:t>
            </w:r>
          </w:p>
        </w:tc>
        <w:tc>
          <w:tcPr>
            <w:tcW w:w="1320" w:type="dxa"/>
            <w:vAlign w:val="bottom"/>
          </w:tcPr>
          <w:p>
            <w:pPr>
              <w:jc w:val="right"/>
              <w:ind w:right="218"/>
              <w:spacing w:after="0"/>
              <w:rPr>
                <w:sz w:val="20"/>
                <w:szCs w:val="20"/>
                <w:color w:val="auto"/>
              </w:rPr>
            </w:pPr>
            <w:r>
              <w:rPr>
                <w:rFonts w:ascii="Arial" w:cs="Arial" w:eastAsia="Arial" w:hAnsi="Arial"/>
                <w:sz w:val="18"/>
                <w:szCs w:val="18"/>
                <w:color w:val="auto"/>
              </w:rPr>
              <w:t>3.25%</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6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5.00:1.0</w:t>
            </w:r>
          </w:p>
        </w:tc>
        <w:tc>
          <w:tcPr>
            <w:tcW w:w="168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4.50%</w:t>
            </w:r>
          </w:p>
        </w:tc>
        <w:tc>
          <w:tcPr>
            <w:tcW w:w="132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3.50%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bl>
    <w:p>
      <w:pPr>
        <w:spacing w:after="0" w:line="154"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The Senior Secured Credit Facility requires Acadia and its subsidiaries to comply with customary affirmative, negative and financial covenants. Set forth below is a brief description of such covenants, all of which are subject to customary exceptions, materiality thresholds and qualifications:</w:t>
      </w:r>
    </w:p>
    <w:p>
      <w:pPr>
        <w:spacing w:after="0" w:line="4" w:lineRule="exact"/>
        <w:rPr>
          <w:sz w:val="20"/>
          <w:szCs w:val="20"/>
          <w:color w:val="auto"/>
        </w:rPr>
      </w:pPr>
    </w:p>
    <w:p>
      <w:pPr>
        <w:ind w:left="900" w:right="120" w:hanging="446"/>
        <w:spacing w:after="0" w:line="28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affirmative covenants include the following: (i) delivery of financial statements and other customary financial information; (ii) notices of events of default and other material events; (iii) maintenance of existence, ability to conduct business, properties, insurance and books and records;</w:t>
      </w:r>
    </w:p>
    <w:p>
      <w:pPr>
        <w:ind w:left="900" w:right="780"/>
        <w:spacing w:after="0" w:line="261" w:lineRule="auto"/>
        <w:rPr>
          <w:rFonts w:ascii="Arial" w:cs="Arial" w:eastAsia="Arial" w:hAnsi="Arial"/>
          <w:sz w:val="16"/>
          <w:szCs w:val="16"/>
          <w:color w:val="auto"/>
        </w:rPr>
      </w:pPr>
      <w:r>
        <w:rPr>
          <w:rFonts w:ascii="Arial" w:cs="Arial" w:eastAsia="Arial" w:hAnsi="Arial"/>
          <w:sz w:val="18"/>
          <w:szCs w:val="18"/>
          <w:color w:val="auto"/>
        </w:rPr>
        <w:t>(iv) payment of taxes; (v) lender inspection rights; (vi) compliance with laws; (vii) use of proceeds; (viii) interest rate hedging; (ix) further assurances; and (x) additional collateral and guarantor requirements.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 w:name="page14"/>
    <w:bookmarkEnd w:id="13"/>
    <w:p>
      <w:pPr>
        <w:ind w:left="900" w:hanging="446"/>
        <w:spacing w:after="0" w:line="28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negative covenants include limitations on the following: (i) liens; (ii) debt (including guaranties); (iii) investments; (iv) fundamental changes (including mergers, consolidations and liquidations); (v) dispositions; (vi) sale leasebacks; (vii) affiliate transactions and the payment of management fees; (viii) burdensome agreements; (ix) restricted payments; (x) use of proceeds; (xi) ownership of subsidiaries; (xii) changes to line of business;</w:t>
      </w:r>
    </w:p>
    <w:p>
      <w:pPr>
        <w:spacing w:after="0" w:line="1" w:lineRule="exact"/>
        <w:rPr>
          <w:rFonts w:ascii="Arial" w:cs="Arial" w:eastAsia="Arial" w:hAnsi="Arial"/>
          <w:sz w:val="16"/>
          <w:szCs w:val="16"/>
          <w:color w:val="auto"/>
        </w:rPr>
      </w:pPr>
    </w:p>
    <w:p>
      <w:pPr>
        <w:ind w:left="900" w:right="640" w:hanging="1"/>
        <w:spacing w:after="0" w:line="281" w:lineRule="auto"/>
        <w:tabs>
          <w:tab w:leader="none" w:pos="1295" w:val="left"/>
        </w:tabs>
        <w:numPr>
          <w:ilvl w:val="1"/>
          <w:numId w:val="10"/>
        </w:numPr>
        <w:rPr>
          <w:rFonts w:ascii="Arial" w:cs="Arial" w:eastAsia="Arial" w:hAnsi="Arial"/>
          <w:sz w:val="16"/>
          <w:szCs w:val="16"/>
          <w:color w:val="auto"/>
        </w:rPr>
      </w:pPr>
      <w:r>
        <w:rPr>
          <w:rFonts w:ascii="Arial" w:cs="Arial" w:eastAsia="Arial" w:hAnsi="Arial"/>
          <w:sz w:val="16"/>
          <w:szCs w:val="16"/>
          <w:color w:val="auto"/>
        </w:rPr>
        <w:t>changes to organizational documents, legal name, form of entity and fiscal year; (xiv) capital expenditures (not to exceed 4.0% of total revenues of Acadia and its subsidiaries and including a 100% carry-forward of unused amounts to the immediately succeeding fiscal year);</w:t>
      </w:r>
    </w:p>
    <w:p>
      <w:pPr>
        <w:spacing w:after="0" w:line="1" w:lineRule="exact"/>
        <w:rPr>
          <w:rFonts w:ascii="Arial" w:cs="Arial" w:eastAsia="Arial" w:hAnsi="Arial"/>
          <w:sz w:val="16"/>
          <w:szCs w:val="16"/>
          <w:color w:val="auto"/>
        </w:rPr>
      </w:pPr>
    </w:p>
    <w:p>
      <w:pPr>
        <w:ind w:left="900" w:right="180" w:hanging="1"/>
        <w:spacing w:after="0" w:line="292" w:lineRule="auto"/>
        <w:tabs>
          <w:tab w:leader="none" w:pos="1236"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prepayment of redemption of certain senior secured debt; and (xvi) amendments to certain material agreements. Acadia is generally not permitted to issue dividends or distributions other than with respect to the following: (w) certain tax distributions; (x) the repurchase of equity held by employees, officers or directors upon the occurrence of death, disability or termination subject to cap of $500,000 in any fiscal year and compliance with certain other conditions; (y) in the form of capital stock; and (z) scheduled payments of deferred purchase price, working capital adjustments and similar payments pursuant to the merger agreement or any permitted acquisition.</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covenants include maintenance of the following:</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fixed charge coverage ratio may not be less than 1.20:1.00 as of the end of any fiscal quarter;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the consolidated leverage ratio may not be greater than the amount set forth below as of the date opposite such ratio:</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Fiscal Quarter Ending</w:t>
            </w:r>
          </w:p>
        </w:tc>
        <w:tc>
          <w:tcPr>
            <w:tcW w:w="3900" w:type="dxa"/>
            <w:vAlign w:val="bottom"/>
            <w:vMerge w:val="restart"/>
          </w:tcPr>
          <w:p>
            <w:pPr>
              <w:spacing w:after="0"/>
              <w:rPr>
                <w:sz w:val="14"/>
                <w:szCs w:val="14"/>
                <w:color w:val="auto"/>
              </w:rPr>
            </w:pPr>
          </w:p>
        </w:tc>
        <w:tc>
          <w:tcPr>
            <w:tcW w:w="2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Maximum Consolidated</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50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Leverage Ratio</w:t>
            </w:r>
          </w:p>
        </w:tc>
        <w:tc>
          <w:tcPr>
            <w:tcW w:w="0" w:type="dxa"/>
            <w:vAlign w:val="bottom"/>
          </w:tcPr>
          <w:p>
            <w:pPr>
              <w:spacing w:after="0"/>
              <w:rPr>
                <w:sz w:val="1"/>
                <w:szCs w:val="1"/>
                <w:color w:val="auto"/>
              </w:rPr>
            </w:pPr>
          </w:p>
        </w:tc>
      </w:tr>
      <w:tr>
        <w:trPr>
          <w:trHeight w:val="203"/>
        </w:trPr>
        <w:tc>
          <w:tcPr>
            <w:tcW w:w="5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0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31, 2012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30, 2013</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5.50:1.0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March 31, 2014</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2014</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September 30, 2014</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 and each fiscal quarter ending thereafter</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senior secured leverage ratio may not be greater than the amount set forth below as of the date opposite such ratio:</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Fiscal Quarter Ending</w:t>
            </w:r>
          </w:p>
        </w:tc>
        <w:tc>
          <w:tcPr>
            <w:tcW w:w="3680" w:type="dxa"/>
            <w:vAlign w:val="bottom"/>
            <w:vMerge w:val="restart"/>
          </w:tcPr>
          <w:p>
            <w:pPr>
              <w:spacing w:after="0"/>
              <w:rPr>
                <w:sz w:val="14"/>
                <w:szCs w:val="14"/>
                <w:color w:val="auto"/>
              </w:rPr>
            </w:pPr>
          </w:p>
        </w:tc>
        <w:tc>
          <w:tcPr>
            <w:tcW w:w="2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Maximum Consolidated Senior</w:t>
            </w:r>
          </w:p>
        </w:tc>
        <w:tc>
          <w:tcPr>
            <w:tcW w:w="0" w:type="dxa"/>
            <w:vAlign w:val="bottom"/>
          </w:tcPr>
          <w:p>
            <w:pPr>
              <w:spacing w:after="0"/>
              <w:rPr>
                <w:sz w:val="1"/>
                <w:szCs w:val="1"/>
                <w:color w:val="auto"/>
              </w:rPr>
            </w:pPr>
          </w:p>
        </w:tc>
      </w:tr>
      <w:tr>
        <w:trPr>
          <w:trHeight w:val="168"/>
        </w:trPr>
        <w:tc>
          <w:tcPr>
            <w:tcW w:w="136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90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Secured Leverage Ratio</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8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March 31,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2012</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September 30, 2012</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3.00:1.0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 and each fiscal quarter ending thereafter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2011, Acadia was in compliance with such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12.875% Senior Notes due 2018</w:t>
      </w:r>
    </w:p>
    <w:p>
      <w:pPr>
        <w:spacing w:after="0" w:line="9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On November 1, 2011, we issued $150.0 million of Senior Notes at 98.323% of the aggregate principal amount of $150.0 million, a discount of $2.5 million. The notes bear interest at a rate of 12.875% per annum. We will pay interest on the notes semi-annually, in arrears, on November 1 and May 1 of each year, beginning on May 1, 2012 through the maturity date of November 1, 2018.</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4" w:name="page15"/>
    <w:bookmarkEnd w:id="14"/>
    <w:p>
      <w:pPr>
        <w:ind w:right="12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governing the Senior Notes contains covenants that, among other things, limit the Company’s ability to: (i) incur or guarantee additional debt or issue certain preferred stock; (ii) pay dividends on the Company’s equity interests or redeem, repurchase or retire the Company’s equity interests or subordinated debt; (iii) transfer or sell assets; (iv) make certain investments; (v) incur certain liens; (vi) restrict the Company’s subsidiaries’ ability to pay dividends or make other payments to the Company; (vii) engage in certain transactions with the Company’s affiliates; and (viii) merge or consolidate with other companies or transfer all or substantially all of the Company’s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presents a summary of contractual obligations as of December 31, 2011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5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Within</w:t>
            </w:r>
          </w:p>
        </w:tc>
        <w:tc>
          <w:tcPr>
            <w:tcW w:w="30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During</w:t>
            </w:r>
          </w:p>
        </w:tc>
        <w:tc>
          <w:tcPr>
            <w:tcW w:w="300" w:type="dxa"/>
            <w:vAlign w:val="bottom"/>
          </w:tcPr>
          <w:p>
            <w:pPr>
              <w:spacing w:after="0"/>
              <w:rPr>
                <w:sz w:val="11"/>
                <w:szCs w:val="11"/>
                <w:color w:val="auto"/>
              </w:rPr>
            </w:pPr>
          </w:p>
        </w:tc>
        <w:tc>
          <w:tcPr>
            <w:tcW w:w="68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During</w:t>
            </w:r>
          </w:p>
        </w:tc>
        <w:tc>
          <w:tcPr>
            <w:tcW w:w="300" w:type="dxa"/>
            <w:vAlign w:val="bottom"/>
          </w:tcPr>
          <w:p>
            <w:pPr>
              <w:spacing w:after="0"/>
              <w:rPr>
                <w:sz w:val="11"/>
                <w:szCs w:val="11"/>
                <w:color w:val="auto"/>
              </w:rPr>
            </w:pPr>
          </w:p>
        </w:tc>
        <w:tc>
          <w:tcPr>
            <w:tcW w:w="10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7"/>
              </w:rPr>
              <w:t>After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580" w:type="dxa"/>
            <w:vAlign w:val="bottom"/>
          </w:tcPr>
          <w:p>
            <w:pPr>
              <w:jc w:val="right"/>
              <w:ind w:right="39"/>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Years 2-3</w:t>
            </w:r>
          </w:p>
        </w:tc>
        <w:tc>
          <w:tcPr>
            <w:tcW w:w="300" w:type="dxa"/>
            <w:vAlign w:val="bottom"/>
          </w:tcPr>
          <w:p>
            <w:pPr>
              <w:spacing w:after="0"/>
              <w:rPr>
                <w:sz w:val="14"/>
                <w:szCs w:val="14"/>
                <w:color w:val="auto"/>
              </w:rPr>
            </w:pPr>
          </w:p>
        </w:tc>
        <w:tc>
          <w:tcPr>
            <w:tcW w:w="680" w:type="dxa"/>
            <w:vAlign w:val="bottom"/>
          </w:tcPr>
          <w:p>
            <w:pPr>
              <w:jc w:val="right"/>
              <w:ind w:right="2"/>
              <w:spacing w:after="0"/>
              <w:rPr>
                <w:sz w:val="20"/>
                <w:szCs w:val="20"/>
                <w:color w:val="auto"/>
              </w:rPr>
            </w:pPr>
            <w:r>
              <w:rPr>
                <w:rFonts w:ascii="Arial" w:cs="Arial" w:eastAsia="Arial" w:hAnsi="Arial"/>
                <w:sz w:val="14"/>
                <w:szCs w:val="14"/>
                <w:b w:val="1"/>
                <w:bCs w:val="1"/>
                <w:color w:val="auto"/>
                <w:w w:val="93"/>
              </w:rPr>
              <w:t>Years 4-5</w:t>
            </w:r>
          </w:p>
        </w:tc>
        <w:tc>
          <w:tcPr>
            <w:tcW w:w="3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5 Years</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6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(a)</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$32,343</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$77,602</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$139,329</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$185,406</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$434,680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spacing w:after="0"/>
              <w:rPr>
                <w:sz w:val="20"/>
                <w:szCs w:val="20"/>
                <w:color w:val="auto"/>
              </w:rPr>
            </w:pPr>
            <w:r>
              <w:rPr>
                <w:rFonts w:ascii="Arial" w:cs="Arial" w:eastAsia="Arial" w:hAnsi="Arial"/>
                <w:sz w:val="18"/>
                <w:szCs w:val="18"/>
                <w:color w:val="auto"/>
              </w:rPr>
              <w:t>8,143</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10,161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6,587</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4,054</w:t>
            </w:r>
          </w:p>
        </w:tc>
        <w:tc>
          <w:tcPr>
            <w:tcW w:w="660" w:type="dxa"/>
            <w:vAlign w:val="bottom"/>
          </w:tcPr>
          <w:p>
            <w:pPr>
              <w:jc w:val="right"/>
              <w:spacing w:after="0"/>
              <w:rPr>
                <w:sz w:val="20"/>
                <w:szCs w:val="20"/>
                <w:color w:val="auto"/>
              </w:rPr>
            </w:pPr>
            <w:r>
              <w:rPr>
                <w:rFonts w:ascii="Arial" w:cs="Arial" w:eastAsia="Arial" w:hAnsi="Arial"/>
                <w:sz w:val="18"/>
                <w:szCs w:val="18"/>
                <w:color w:val="auto"/>
              </w:rPr>
              <w:t>28,945</w:t>
            </w:r>
          </w:p>
        </w:tc>
        <w:tc>
          <w:tcPr>
            <w:tcW w:w="1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and other obligations (b)</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Total obligations and commitments</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40,802</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87,763</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145,916</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189,460</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463,941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8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include required principal payments and related interest payments. We used the 4.80% interest rate at December 31, 2011 to estimate future interest payments related to our variable-rate debt.</w:t>
      </w: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relate to purchase obligations, including commitments to purchase property and equipment or complete existing capital projects in future periods.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December 31, 2011, we had standby letters of credit outstanding of $0.4 million related to security for the payment of claims as required by our workers’ compensation insurance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interest expense is sensitive to changes in market interest rates. With respect to our interest-bearing liabilities, our long-term debt outstanding at December 31, 2011 is composed of $150.0 million of fixed rate debt and $129.9 million of variable rate debt with interest based on LIBOR plus an applicable margin. A hypothetical 10% increase in interest rates would decrease our net income and cash flows by approximately $0.4 million on an annual basis based upon our borrowing level at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consolidated financial statements have been prepared in accordance with accounting principles generally accepted in the United States. In preparing our financial statements, we are required to make estimates and assumptions that affect the reported amounts of assets, liabilities, revenues, and expenses included in the financial statements. Estimates are based on historical experience and other available information, the results of which form the basis of such estimates. While we believe our estimation processes are reasonable, actual results could differ from our estimates. The following accounting policies are considered critical to our operating performance and involve highly subjective and complex assumptions and assessments.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and Accounts Receivable</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Revenue is derived from services rendered to patients for inpatient psychiatric and substance abuse care, outpatient psychiatric care and adolescent residential treatment and includes revenue payable by the Medicare program administered by CMS, state Medicaid programs, commercial insurance (in network and out of network), and other payors including individual patients. Revenue is recorded in the period in which services are provided at established billing rates less contractual adjustments based on amounts reimbursable by Medicare or Medicaid under provisions of cost or prospective reimbursement formulas or amounts due from other third-party payors at contractually determined rates.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 w:name="page16"/>
    <w:bookmarkEnd w:id="1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presents revenue by payor type and as a percentage of revenue before provision for doubtful accounts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2011 (in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 2011</w:t>
            </w:r>
          </w:p>
        </w:tc>
        <w:tc>
          <w:tcPr>
            <w:tcW w:w="200" w:type="dxa"/>
            <w:vAlign w:val="bottom"/>
          </w:tcPr>
          <w:p>
            <w:pPr>
              <w:spacing w:after="0"/>
              <w:rPr>
                <w:sz w:val="14"/>
                <w:szCs w:val="14"/>
                <w:color w:val="auto"/>
              </w:rPr>
            </w:pPr>
          </w:p>
        </w:tc>
        <w:tc>
          <w:tcPr>
            <w:tcW w:w="1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8"/>
              </w:rPr>
              <w:t>December 31, 2010</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color w:val="auto"/>
              </w:rPr>
              <w:t>Amount</w:t>
            </w:r>
          </w:p>
        </w:tc>
        <w:tc>
          <w:tcPr>
            <w:tcW w:w="4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color w:val="auto"/>
                <w:w w:val="99"/>
              </w:rPr>
              <w:t>Amount</w:t>
            </w:r>
          </w:p>
        </w:tc>
        <w:tc>
          <w:tcPr>
            <w:tcW w:w="4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Private Pay</w:t>
            </w:r>
          </w:p>
        </w:tc>
        <w:tc>
          <w:tcPr>
            <w:tcW w:w="18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4,337</w:t>
            </w:r>
          </w:p>
        </w:tc>
        <w:tc>
          <w:tcPr>
            <w:tcW w:w="4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$ 1,969</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Commercial</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31,603</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22,024</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29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16,368</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Medicaid</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164,325</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74.8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27,288</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3,071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Revenue before provision for doubtful accounts</w:t>
            </w:r>
          </w:p>
        </w:tc>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219,704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64,342</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8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2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216,498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62,103</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a summary of our aging of accounts receivable as of December 31, 2011 and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Current</w:t>
            </w: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30-90</w:t>
            </w: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90-150</w:t>
            </w:r>
          </w:p>
        </w:tc>
        <w:tc>
          <w:tcPr>
            <w:tcW w:w="4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&gt;150</w:t>
            </w:r>
          </w:p>
        </w:tc>
        <w:tc>
          <w:tcPr>
            <w:tcW w:w="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Pay</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Commercial</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7.9%</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Medicaid</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36.9%</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13.7%</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60.7%</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24.2%</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3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28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Current</w:t>
            </w:r>
          </w:p>
        </w:tc>
        <w:tc>
          <w:tcPr>
            <w:tcW w:w="4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30-90</w:t>
            </w:r>
          </w:p>
        </w:tc>
        <w:tc>
          <w:tcPr>
            <w:tcW w:w="5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90-150</w:t>
            </w:r>
          </w:p>
        </w:tc>
        <w:tc>
          <w:tcPr>
            <w:tcW w:w="4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&gt;150</w:t>
            </w:r>
          </w:p>
        </w:tc>
        <w:tc>
          <w:tcPr>
            <w:tcW w:w="4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Private Pay</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Commercial</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16.8%</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11.7%</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Medicare</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Medicaid</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29.4%</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11.2%</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0.9%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27.8%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Medicaid accounts receivable as of December 31, 2011 include less than $0.5 million of accounts pending Medicaid approval. These accounts are aged less than 60 days and are classified as Medicaid because we have experienced between 80% and 90% approval by Medicaid for this class of receivables.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Contractual Discounts</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Company derives a significant portion of its revenues from Medicare, Medicaid and other payors that receive discounts from its established billing rates. The Medicare and Medicaid regulations and various managed care contracts under which these discounts must be calculated are complex and are subject to interpretation and adjustment, and may include multiple reimbursement mechanisms for different types of services provided in our inpatient facilities and cost settlement provisions. We estimate the allowance for contractual discounts on a payor-specific basis given our interpretation of the applicable regulations or contract terms. The services authorized and provided and related reimbursement are often subject to interpretation that could result in payments that differ from our estimates. Additionally, updated regulations and contract renegotiations occur frequently necessitating continual review and assessment of the estimation process by our management.</w:t>
      </w:r>
    </w:p>
    <w:p>
      <w:pPr>
        <w:spacing w:after="0" w:line="14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occurs in subsequent years because of audits by such programs, rights of appeal and the application of numerous technical provisions. In the opinion of management, adequate provision has been made for any adjustments and final settlements. However, there can be no assurance that any such adjustments and final settlements will not have a material effect on the Company’s financial condition or results of operations. The Company’s cost report receivables were $0.5 million at December 31, 2011 compared to cost report payables of $0.1 million at December 31, 2010, and are included in other current assets and other current liabilities, respectively, in the consolidated balance sheets. The Company believes that these receivables and payables are properly stated and are not likely to be settled for a significantly different amount. The net adjustments to estimated cost report settlements resulted in increases to revenue of approximately $0.2 million and $0.1 million for the years ended December 31, 2011 and 2010,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6" w:name="page17"/>
    <w:bookmarkEnd w:id="16"/>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believes that it is in compliance with all applicable laws and regulations and is not aware of any pending or threatened investigations involving allegations or wrongdoing. While no such regulatory inquiries have been made, compliance with such laws and regulations can be subject to future government review and interpretation, as well as significant regulatory action including fines, penalties and exclusion from the Medicare and Medicaid programs.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ability to collect outstanding patient receivables from third party payors is critical to our operating performance and cash flows. The primary collection risk with regard to patient receivables relates to uninsured patient accounts or patient accounts for which primary insurance has paid, but the portion owed by the patient remains outstanding. We estimate uncollectible accounts and establish an allowance for doubtful accounts in order to adjust accounts receivable to estimated net realizable value. In evaluating the collectability of accounts receivable, the Company considers a number of factors, including the age of the accounts, historical collection experience, current economic conditions, and other relevant factors. Accounts receivable that are determined to be uncollectible based on the Company’s policies are written off to the allowance for doubtful accounts. Significant changes in payor mix or business office operations could have a significant impact on our results of operations and cash flows.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are subject to medical malpractice and other lawsuits due to the nature of the services we provide. We have professional and general liability insurance for claims in excess of a $50,000 deductible with an insured excess limit of $25 million. The reserve for professional and general liability risks is estimated based on historical claims, demographic factors, industry trends, severity factors, and other actuarial assumptions calculated by an independent third-party actuary. The estimated accrual for professional and general liabilities could be significantly affected should current and future occurrences differ from historical claim trends and expectations. While claims are monitored closely when estimating professional and general liability accruals, the complexity of the claims and wide range of potential outcomes often hampers timely adjustments to the assumptions used in these estimates. The professional and general liability reserve was $2.8 million as of December 31, 2011, of which $1.2 million is included in other accrued liabilities and $1.7 million is included in other long-term liabilities. We estimate receivables for the portion of professional and general liability reserves that are recoverable under our insurance policies based on an independent actuarial evaluation. Such receivable was $1.7 million as of December 31, 2011, of which $0.6 million is included in other current assets and $1.1 million is included in other assets.</w:t>
      </w:r>
    </w:p>
    <w:p>
      <w:pPr>
        <w:spacing w:after="0" w:line="12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statutory workers’ compensation program is fully insured with a $500,000 deductible per accident. The reserve for workers’ compensation liability was $3.8 million and $0.9 million as of December 31, 2011 and 2010, respectively. The reserve for workers compensation claims is based upon independent actuarial estimates of future amounts that will be paid to claimants. We believe that adequate provisions have been made for workers’ compensation and professional and general liability risk exposures.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Property and equipment are recorded at cost. Depreciation is calculated on the straight-line basis over the estimated useful lives of the assets, which typically range from 25 to 30 years for buildings and improvements, three to 10 years for equipment and the shorter of the lease term or estimated useful lives for leasehold improvements. When assets are sold or retired, the corresponding cost and accumulated depreciation are removed from the related accounts and any gain or loss is recorded in the period of sale or retirement. Repair and maintenance costs are expensed as incurred. Depreciation expense was approximately $2.7 million, $0.9 million and $0.9 million for the years ended December 31, 2011, 2010 and 2009, respectively.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carrying values of long-lived assets are reviewed for possible impairment whenever events, circumstances or operating results indicate that the carrying amount of an asset may not be recoverable. If this review indicates that the asset will not be recoverable, as determined based upon the undiscounted cash flows of the operating asset over the remaining useful lives, the carrying value of the asset will be reduced to its estimated fair value. Fair value estimates are based on independent appraisals, market values of comparable assets or internal evaluations of future net cash flows.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Company’s goodwill and other indefinite-lived intangible assets, which consist of licenses and accreditations and certificates of need intangible assets that are not amortized, are evaluated for impairment annually during the fourth quarter or more frequently if events indicate that the carrying value of a reporting unit may not be recoverable. The Company is comprised of one operating segment, behavioral healthcare services, for segment reporting purposes. The behavioral healthcare services operating segment represents one reporting unit for purposes of the Company’s goodwill impairment test. Potential impairment is noted for a reporting unit if its carrying value exceeds the fair value of the reporting unit. For a reporting unit with potential impairment of goodwill, we determine the implied fair value of goodwill. If the carrying value of goodwill exceeds its implied fair value, an impairment loss is recorded. Our annual impairment tests of goodwill in 2011, 2010 and 2009 resulted in no goodwill impairment charges.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 for income taxes under the asset and liability method. Under this method, deferred tax assets and liabilities are determined based upon differences between the financial statement carrying amounts and tax bases of assets and liabilities and are measured using the enacted tax laws that will be in effect when the differences are expected to reverse. A valuation allowance for deferred tax assets is established when we believe that it is more likely than not that the deferred tax asset will not be realized. Significant judgments regarding the recognition and measurement of each tax position are required. Our policy is to classify interest and penalties related to income taxes as a component of our tax provision.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99.3</w:t>
            </w:r>
          </w:p>
        </w:tc>
        <w:tc>
          <w:tcPr>
            <w:tcW w:w="0" w:type="dxa"/>
            <w:vAlign w:val="bottom"/>
          </w:tcPr>
          <w:p>
            <w:pPr>
              <w:spacing w:after="0"/>
              <w:rPr>
                <w:sz w:val="1"/>
                <w:szCs w:val="1"/>
                <w:color w:val="auto"/>
              </w:rPr>
            </w:pPr>
          </w:p>
        </w:tc>
      </w:tr>
      <w:tr>
        <w:trPr>
          <w:trHeight w:val="378"/>
        </w:trPr>
        <w:tc>
          <w:tcPr>
            <w:tcW w:w="926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080" w:type="dxa"/>
            <w:vAlign w:val="bottom"/>
          </w:tcPr>
          <w:p>
            <w:pPr>
              <w:spacing w:after="0"/>
              <w:rPr>
                <w:sz w:val="24"/>
                <w:szCs w:val="24"/>
                <w:color w:val="auto"/>
              </w:rPr>
            </w:pPr>
          </w:p>
        </w:tc>
        <w:tc>
          <w:tcPr>
            <w:tcW w:w="6180" w:type="dxa"/>
            <w:vAlign w:val="bottom"/>
            <w:gridSpan w:val="6"/>
          </w:tcPr>
          <w:p>
            <w:pPr>
              <w:jc w:val="center"/>
              <w:ind w:right="9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60" w:type="dxa"/>
            <w:vAlign w:val="bottom"/>
            <w:gridSpan w:val="7"/>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Report of Independent Registered Public Accounting Firm</w:t>
              </w:r>
            </w:hyperlink>
          </w:p>
        </w:tc>
        <w:tc>
          <w:tcPr>
            <w:tcW w:w="172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w w:val="82"/>
              </w:rPr>
              <w:t>PAGE</w:t>
            </w:r>
          </w:p>
        </w:tc>
        <w:tc>
          <w:tcPr>
            <w:tcW w:w="0" w:type="dxa"/>
            <w:vAlign w:val="bottom"/>
          </w:tcPr>
          <w:p>
            <w:pPr>
              <w:spacing w:after="0"/>
              <w:rPr>
                <w:sz w:val="1"/>
                <w:szCs w:val="1"/>
                <w:color w:val="auto"/>
              </w:rPr>
            </w:pPr>
          </w:p>
        </w:tc>
      </w:tr>
      <w:tr>
        <w:trPr>
          <w:trHeight w:val="169"/>
        </w:trPr>
        <w:tc>
          <w:tcPr>
            <w:tcW w:w="9260" w:type="dxa"/>
            <w:vAlign w:val="bottom"/>
            <w:gridSpan w:val="7"/>
            <w:vMerge w:val="continue"/>
          </w:tcPr>
          <w:p>
            <w:pPr>
              <w:spacing w:after="0"/>
              <w:rPr>
                <w:sz w:val="14"/>
                <w:szCs w:val="14"/>
                <w:color w:val="auto"/>
              </w:rPr>
            </w:pPr>
          </w:p>
        </w:tc>
        <w:tc>
          <w:tcPr>
            <w:tcW w:w="1720" w:type="dxa"/>
            <w:vAlign w:val="bottom"/>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5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21">
              <w:r>
                <w:rPr>
                  <w:rFonts w:ascii="Arial" w:cs="Arial" w:eastAsia="Arial" w:hAnsi="Arial"/>
                  <w:sz w:val="18"/>
                  <w:szCs w:val="18"/>
                  <w:color w:val="0000EE"/>
                  <w:w w:val="86"/>
                </w:rPr>
                <w:t>Consolidated Balance Sheets as of December 31, 2011 and 2010</w:t>
              </w:r>
            </w:hyperlink>
          </w:p>
        </w:tc>
        <w:tc>
          <w:tcPr>
            <w:tcW w:w="4720" w:type="dxa"/>
            <w:vAlign w:val="bottom"/>
            <w:gridSpan w:val="4"/>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304"/>
        </w:trPr>
        <w:tc>
          <w:tcPr>
            <w:tcW w:w="926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Consolidated Statements of Operations for the years ended December 31, 2011, 2010 and 2009</w:t>
              </w:r>
            </w:hyperlink>
          </w:p>
        </w:tc>
        <w:tc>
          <w:tcPr>
            <w:tcW w:w="172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680" w:type="dxa"/>
            <w:vAlign w:val="bottom"/>
            <w:tcBorders>
              <w:top w:val="single" w:sz="8" w:color="0000EE"/>
            </w:tcBorders>
            <w:gridSpan w:val="5"/>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Consolidated Statements of Equity for the years ended December 31, 2011, 2010 and 2009</w:t>
              </w:r>
            </w:hyperlink>
          </w:p>
        </w:tc>
        <w:tc>
          <w:tcPr>
            <w:tcW w:w="258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Consolidated Statements of Cash Flows for the years ended December 31, 2011, 2010 and 2009</w:t>
              </w:r>
            </w:hyperlink>
          </w:p>
        </w:tc>
        <w:tc>
          <w:tcPr>
            <w:tcW w:w="2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926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Notes to Consolidated Financial Statements</w:t>
              </w:r>
            </w:hyperlink>
          </w:p>
        </w:tc>
        <w:tc>
          <w:tcPr>
            <w:tcW w:w="172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20" w:type="dxa"/>
            <w:vAlign w:val="bottom"/>
            <w:gridSpan w:val="4"/>
          </w:tcPr>
          <w:p>
            <w:pPr>
              <w:jc w:val="center"/>
              <w:ind w:right="2360"/>
              <w:spacing w:after="0"/>
              <w:rPr>
                <w:sz w:val="20"/>
                <w:szCs w:val="20"/>
                <w:color w:val="auto"/>
              </w:rPr>
            </w:pPr>
            <w:r>
              <w:rPr>
                <w:rFonts w:ascii="Arial" w:cs="Arial" w:eastAsia="Arial" w:hAnsi="Arial"/>
                <w:sz w:val="18"/>
                <w:szCs w:val="18"/>
                <w:color w:val="auto"/>
                <w:w w:val="88"/>
              </w:rPr>
              <w:t>F-1</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5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Acadia Healthcare Company, Inc.</w:t>
      </w:r>
    </w:p>
    <w:p>
      <w:pPr>
        <w:spacing w:after="0" w:line="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consolidated balance sheets of Acadia Healthcare Company, Inc. (the Company) as of December 31, 2011 and 2010, and the related consolidated statements of operations, equity, and cash flows for each of the three years in the period ended December 31, 2011. These financial statements are the responsibility of the Company’s management. Our responsibility is to express an opinion on these financial statements based on our audits.</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Acadia Healthcare Company, Inc. at December 31, 2011 and 2010, and the consolidated results of its operations and its cash flows for each of the three years in the period ended December 31, 2011, in conformity with U.S. generally accepted accounting principles.</w:t>
      </w:r>
    </w:p>
    <w:p>
      <w:pPr>
        <w:spacing w:after="0" w:line="14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As disclosed in Note 2 to the consolidated financial statements, the Company changed its presentation of revenue and provision for doubtful accounts as a result of the adoption of the amendments to the FASB Accounting Standards Codification resulting from Accounting Standards Update No. 2011-7, “Presentation and Disclosure of Patient Service Revenue, Provision for Bad Debts, and the Allowance for Doubtful Accounts for Certain Health Care Entities.”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13, 2012, except for Note 6, as to which the date is October 17, 2012</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80"/>
          </w:cols>
          <w:pgMar w:left="24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Acadia Healthcare Company,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left="574"/>
              <w:spacing w:after="0"/>
              <w:rPr>
                <w:sz w:val="20"/>
                <w:szCs w:val="20"/>
                <w:color w:val="auto"/>
              </w:rPr>
            </w:pPr>
            <w:r>
              <w:rPr>
                <w:rFonts w:ascii="Arial" w:cs="Arial" w:eastAsia="Arial" w:hAnsi="Arial"/>
                <w:sz w:val="14"/>
                <w:szCs w:val="14"/>
                <w:b w:val="1"/>
                <w:bCs w:val="1"/>
                <w:color w:val="auto"/>
                <w:w w:val="85"/>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gridSpan w:val="5"/>
          </w:tcPr>
          <w:p>
            <w:pPr>
              <w:jc w:val="center"/>
              <w:ind w:right="73"/>
              <w:spacing w:after="0" w:line="129" w:lineRule="exact"/>
              <w:rPr>
                <w:sz w:val="20"/>
                <w:szCs w:val="20"/>
                <w:color w:val="auto"/>
              </w:rPr>
            </w:pPr>
            <w:r>
              <w:rPr>
                <w:rFonts w:ascii="Arial" w:cs="Arial" w:eastAsia="Arial" w:hAnsi="Arial"/>
                <w:sz w:val="14"/>
                <w:szCs w:val="14"/>
                <w:b w:val="1"/>
                <w:bCs w:val="1"/>
                <w:color w:val="auto"/>
                <w:w w:val="85"/>
              </w:rPr>
              <w:t>(In thousands, except share and 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left="834"/>
              <w:spacing w:after="0"/>
              <w:rPr>
                <w:sz w:val="20"/>
                <w:szCs w:val="20"/>
                <w:color w:val="auto"/>
              </w:rPr>
            </w:pPr>
            <w:r>
              <w:rPr>
                <w:rFonts w:ascii="Arial" w:cs="Arial" w:eastAsia="Arial" w:hAnsi="Arial"/>
                <w:sz w:val="14"/>
                <w:szCs w:val="14"/>
                <w:b w:val="1"/>
                <w:bCs w:val="1"/>
                <w:color w:val="auto"/>
                <w:w w:val="85"/>
              </w:rPr>
              <w:t>amounts)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53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61,118</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receivable, net of allowances for doubtful accounts of $2,424 and $1,144, respectively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35,127</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10,121</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112,605</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53,514</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12,945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(5,824)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tcPr>
          <w:p>
            <w:pPr>
              <w:ind w:left="10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82,972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186,815</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8,232</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 long-term</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16,366</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412,996</w:t>
            </w:r>
          </w:p>
        </w:tc>
        <w:tc>
          <w:tcPr>
            <w:tcW w:w="5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vMerge w:val="restart"/>
          </w:tcPr>
          <w:p>
            <w:pPr>
              <w:ind w:left="45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6,750</w:t>
            </w:r>
          </w:p>
        </w:tc>
        <w:tc>
          <w:tcPr>
            <w:tcW w:w="52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8,642</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Accrued salaries and benefits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16,195</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40,668</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18,059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270,709</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316,631</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20,288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Member’s equity</w:t>
            </w: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Preferred stock, $0.01 par value; 10,000,000 shares authorized, no shares issued</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w w:val="94"/>
              </w:rPr>
              <w:t>Common stock, $0.01 par value; 90,000,000 shares authorized; 32,115,929 issued and outstanding as of</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December 31, 2011</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140,624</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6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(44,580)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96,365</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412,996</w:t>
            </w:r>
          </w:p>
        </w:tc>
        <w:tc>
          <w:tcPr>
            <w:tcW w:w="520" w:type="dxa"/>
            <w:vAlign w:val="bottom"/>
          </w:tcPr>
          <w:p>
            <w:pPr>
              <w:spacing w:after="0"/>
              <w:rPr>
                <w:sz w:val="19"/>
                <w:szCs w:val="19"/>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Acadia Healthcare Company,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314"/>
              <w:spacing w:after="0"/>
              <w:rPr>
                <w:sz w:val="20"/>
                <w:szCs w:val="20"/>
                <w:color w:val="auto"/>
              </w:rPr>
            </w:pPr>
            <w:r>
              <w:rPr>
                <w:rFonts w:ascii="Arial" w:cs="Arial" w:eastAsia="Arial" w:hAnsi="Arial"/>
                <w:sz w:val="14"/>
                <w:szCs w:val="14"/>
                <w:b w:val="1"/>
                <w:bCs w:val="1"/>
                <w:color w:val="auto"/>
                <w:w w:val="87"/>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8"/>
          </w:tcPr>
          <w:p>
            <w:pPr>
              <w:jc w:val="center"/>
              <w:ind w:right="33"/>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 before provision for doubtful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219,704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64,342</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(2,239)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216,498</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62,103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Salaries, wages and benefits (including equity-based compensation expense of $17,320 for the year ended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152,609</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38,661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32,572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Supplies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Rents and leases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20,171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9,191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Sponsor management fees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Transaction-related expenses</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41,547</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254,964</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54,945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(38,466)</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(Loss) income from continuing operations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(33,194)</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(34,892)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6,210</w:t>
            </w:r>
          </w:p>
        </w:tc>
        <w:tc>
          <w:tcPr>
            <w:tcW w:w="2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(Loss)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(Loss) 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4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18,757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17,633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17,633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Acadia Healthcare Company,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Member’s</w:t>
            </w:r>
          </w:p>
        </w:tc>
        <w:tc>
          <w:tcPr>
            <w:tcW w:w="134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Additional</w:t>
            </w: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equity</w:t>
            </w:r>
          </w:p>
        </w:tc>
        <w:tc>
          <w:tcPr>
            <w:tcW w:w="8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paid-in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15,817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21,194</w:t>
            </w:r>
          </w:p>
        </w:tc>
        <w:tc>
          <w:tcPr>
            <w:tcW w:w="32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21,194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32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25,107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$ 25,107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(375)</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management liability awards to equity awards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Contribution from Holdings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51,029</w:t>
            </w:r>
          </w:p>
        </w:tc>
        <w:tc>
          <w:tcPr>
            <w:tcW w:w="32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from limited liability company to corporation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(76,126)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6"/>
              </w:rPr>
              <w:t>176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Cash distribution paid to equity holders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(74,441)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(74,441)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connection with acquisition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w w:val="94"/>
              </w:rPr>
              <w:t>Fair value of vested portion of replacement awards issued in connection</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ind w:left="640"/>
              <w:spacing w:after="0"/>
              <w:rPr>
                <w:sz w:val="20"/>
                <w:szCs w:val="20"/>
                <w:color w:val="auto"/>
              </w:rPr>
            </w:pPr>
            <w:r>
              <w:rPr>
                <w:rFonts w:ascii="Arial" w:cs="Arial" w:eastAsia="Arial" w:hAnsi="Arial"/>
                <w:sz w:val="18"/>
                <w:szCs w:val="18"/>
                <w:color w:val="auto"/>
              </w:rPr>
              <w:t>with acquisition</w:t>
            </w: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9"/>
              </w:rPr>
              <w:t>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Equity issuance costs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issued for stock option exercises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Equity-based compensation expense</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(34,892)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(34,892)</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32,116</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321</w:t>
            </w:r>
          </w:p>
        </w:tc>
        <w:tc>
          <w:tcPr>
            <w:tcW w:w="2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140,624</w:t>
            </w:r>
          </w:p>
        </w:tc>
        <w:tc>
          <w:tcPr>
            <w:tcW w:w="18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(44,580)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$ 96,365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Acadia Healthcare Company,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(loss)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(34,892)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$ 6,210</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Adjustments to reconcile net (loss) income to net cash provided by continuing operating activities: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4,278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976</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1,271</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17,320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Deferred income tax expense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(6,442)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 net of taxes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(4,881)</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(2,174)</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other accrued liabilities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860"/>
              <w:spacing w:after="0"/>
              <w:rPr>
                <w:sz w:val="20"/>
                <w:szCs w:val="20"/>
                <w:color w:val="auto"/>
              </w:rPr>
            </w:pPr>
            <w:r>
              <w:rPr>
                <w:rFonts w:ascii="Arial" w:cs="Arial" w:eastAsia="Arial" w:hAnsi="Arial"/>
                <w:sz w:val="18"/>
                <w:szCs w:val="18"/>
                <w:color w:val="auto"/>
              </w:rPr>
              <w:t>Accrued salaries and benefits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734</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continuing operating activities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(18,903)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8,090</w:t>
            </w:r>
          </w:p>
        </w:tc>
        <w:tc>
          <w:tcPr>
            <w:tcW w:w="4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6,049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discontinued operating activities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(20,666)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8,195</w:t>
            </w:r>
          </w:p>
        </w:tc>
        <w:tc>
          <w:tcPr>
            <w:tcW w:w="42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paid for acquisitions, net of cash acquired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(206,379)</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capital expenditures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(9,558)</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(1,495)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paid for real estate acquisitions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(8,706)</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continuing investing activities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(225,332)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(1,495)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discontinued investing activities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(225,570)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(1,498)</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Borrowings on long-term debt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282,485</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(9,984)</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68,059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Payment of equity issuance costs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 paid to equity holders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(74,441)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Contribution from Holdings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51,029</w:t>
            </w:r>
          </w:p>
        </w:tc>
        <w:tc>
          <w:tcPr>
            <w:tcW w:w="3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equity holders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(2,297)</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6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298,740</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(2,572)</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52,504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8,614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4,489</w:t>
            </w:r>
          </w:p>
        </w:tc>
        <w:tc>
          <w:tcPr>
            <w:tcW w:w="4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$ 8,614</w:t>
            </w:r>
          </w:p>
        </w:tc>
        <w:tc>
          <w:tcPr>
            <w:tcW w:w="4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$ 4,489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vMerge w:val="restart"/>
          </w:tcPr>
          <w:p>
            <w:pPr>
              <w:ind w:left="5580"/>
              <w:spacing w:after="0"/>
              <w:rPr>
                <w:sz w:val="20"/>
                <w:szCs w:val="20"/>
                <w:color w:val="auto"/>
              </w:rPr>
            </w:pPr>
            <w:r>
              <w:rPr>
                <w:rFonts w:ascii="Arial" w:cs="Arial" w:eastAsia="Arial" w:hAnsi="Arial"/>
                <w:sz w:val="18"/>
                <w:szCs w:val="18"/>
                <w:color w:val="auto"/>
              </w:rPr>
              <w:t>F-6</w:t>
            </w: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9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Acadia Healthcare Company,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5,053</w:t>
            </w:r>
          </w:p>
        </w:tc>
        <w:tc>
          <w:tcPr>
            <w:tcW w:w="2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40"/>
              <w:spacing w:after="0"/>
              <w:rPr>
                <w:sz w:val="20"/>
                <w:szCs w:val="20"/>
                <w:color w:val="auto"/>
              </w:rPr>
            </w:pPr>
            <w:r>
              <w:rPr>
                <w:rFonts w:ascii="Arial" w:cs="Arial" w:eastAsia="Arial" w:hAnsi="Arial"/>
                <w:sz w:val="18"/>
                <w:szCs w:val="18"/>
                <w:color w:val="auto"/>
                <w:w w:val="79"/>
              </w:rPr>
              <w:t>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b w:val="1"/>
                <w:bCs w:val="1"/>
                <w:color w:val="auto"/>
              </w:rPr>
              <w:t>Significant Non-Cash Transactions: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44,025</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Issuance of replacement share-based awards in connection with acquisition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acquisitions: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Assets acquired, excluding cash</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278,895</w:t>
            </w:r>
          </w:p>
        </w:tc>
        <w:tc>
          <w:tcPr>
            <w:tcW w:w="200" w:type="dxa"/>
            <w:vAlign w:val="bottom"/>
          </w:tcPr>
          <w:p>
            <w:pPr>
              <w:spacing w:after="0"/>
              <w:rPr>
                <w:sz w:val="18"/>
                <w:szCs w:val="18"/>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(27,464)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Issuance of common stock in connection with acquisition</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(44,025)</w:t>
            </w:r>
          </w:p>
        </w:tc>
        <w:tc>
          <w:tcPr>
            <w:tcW w:w="140" w:type="dxa"/>
            <w:vAlign w:val="bottom"/>
          </w:tcPr>
          <w:p>
            <w:pPr>
              <w:spacing w:after="0"/>
              <w:rPr>
                <w:sz w:val="18"/>
                <w:szCs w:val="18"/>
                <w:color w:val="auto"/>
              </w:rPr>
            </w:pPr>
          </w:p>
        </w:tc>
        <w:tc>
          <w:tcPr>
            <w:tcW w:w="6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replacement share-based awards in connection with acquisition</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Cash paid for acquisitions, net of cash acquired</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206,379</w:t>
            </w:r>
          </w:p>
        </w:tc>
        <w:tc>
          <w:tcPr>
            <w:tcW w:w="200" w:type="dxa"/>
            <w:vAlign w:val="bottom"/>
          </w:tcPr>
          <w:p>
            <w:pPr>
              <w:spacing w:after="0"/>
              <w:rPr>
                <w:sz w:val="19"/>
                <w:szCs w:val="19"/>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Acadia Healthcare Company,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2011</w:t>
      </w:r>
    </w:p>
    <w:p>
      <w:pPr>
        <w:spacing w:after="0" w:line="159" w:lineRule="exact"/>
        <w:rPr>
          <w:sz w:val="20"/>
          <w:szCs w:val="20"/>
          <w:color w:val="auto"/>
        </w:rPr>
      </w:pPr>
    </w:p>
    <w:p>
      <w:pPr>
        <w:ind w:left="460" w:right="7520" w:hanging="452"/>
        <w:spacing w:after="0" w:line="347" w:lineRule="auto"/>
        <w:tabs>
          <w:tab w:leader="none" w:pos="17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Acadia Healthcare Company, Inc. (hereinafter referred to as “Acadia” or the “Company”) was formed in October 2005 as a limited liability company under the provisions of the Delaware Limited Liability Act (the “Act”). On May 13, 2011, the Company was converted to a C-corporation registered as Acadia Healthcare Company, Inc. Until November 1, 2011, the Company was a wholly-owned subsidiary of Acadia Healthcare Holdings, LLC (hereafter referred to as “Holdings” or the “Member”). The Company’s principal business is to develop and operate inpatient psychiatric facilities, residential treatment centers, group homes, substance abuse facilities and facilities providing outpatient behavioral health services to better serve the behavioral health and recovery needs of communities throughout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business of the Company is conducted through limited liability companies and C-corporations, each of which is a direct or indirect wholly owned subsidiary of the Company. The consolidated financial statements include the accounts of the Company and its wholly owned subsidiaries. All significant intercompany accounts and transactions have been eliminated in consolidation.</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financial statements in conformity with GAAP requires management to make estimates and assumptions that affect the amounts reported in the consolidated financial statements and accompanying notes. Actual results could differ from those estimates. The majority of our expenses are “cost of revenue” items. Costs that could be classified as general and administrative expenses include our corporate office costs, which were approximately $13.1 million, $4.8 million and $4.8 million for the years ended December 31, 2011, 2010 and 2009, respectively.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prior years to conform to the current year presentation.</w:t>
      </w:r>
    </w:p>
    <w:p>
      <w:pPr>
        <w:spacing w:after="0" w:line="246" w:lineRule="exact"/>
        <w:rPr>
          <w:sz w:val="20"/>
          <w:szCs w:val="20"/>
          <w:color w:val="auto"/>
        </w:rPr>
      </w:pPr>
    </w:p>
    <w:p>
      <w:pPr>
        <w:ind w:left="460" w:right="7900" w:hanging="452"/>
        <w:spacing w:after="0" w:line="391" w:lineRule="auto"/>
        <w:tabs>
          <w:tab w:leader="none" w:pos="179"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Cash and Cash Equivalents</w:t>
      </w:r>
    </w:p>
    <w:p>
      <w:pPr>
        <w:spacing w:after="0" w:line="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 At times, cash and cash equivalent balances may exceed federally insured limits. The Company believes that it mitigates any risks by depositing cash and investing in cash equivalents with major financial institutions.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and Accounts Receivable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Revenue is derived from services rendered to patients for inpatient psychiatric and substance abuse care, outpatient psychiatric care and adolescent residential treatment and includes revenue payable by the Medicare program (Medicare) administered by the Center for Medicare and Medicaid Services (CMS), state Medicaid programs, commercial insurance (in network and out of network), and other payors including individual patients. Revenue is recorded in the period in which services are provided at established billing rates less contractual adjustments based on amounts reimbursable by Medicare or Medicaid under provisions of cost or prospective reimbursement formulas or amounts due from other third-party payors at contractually determined rates.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revenue by payor type as a percentage of revenue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540" w:type="dxa"/>
            <w:vAlign w:val="bottom"/>
            <w:tcBorders>
              <w:bottom w:val="single" w:sz="8" w:color="CCEEFF"/>
            </w:tcBorders>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2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Medicare</w:t>
            </w:r>
          </w:p>
        </w:tc>
        <w:tc>
          <w:tcPr>
            <w:tcW w:w="36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Medicaid</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Self-pay</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r>
      <w:tr>
        <w:trPr>
          <w:trHeight w:val="216"/>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2"/>
        </w:trPr>
        <w:tc>
          <w:tcPr>
            <w:tcW w:w="2540" w:type="dxa"/>
            <w:vAlign w:val="bottom"/>
          </w:tcPr>
          <w:p>
            <w:pPr>
              <w:spacing w:after="0"/>
              <w:rPr>
                <w:sz w:val="20"/>
                <w:szCs w:val="20"/>
                <w:color w:val="auto"/>
              </w:rPr>
            </w:pPr>
            <w:r>
              <w:rPr>
                <w:rFonts w:ascii="Arial" w:cs="Arial" w:eastAsia="Arial" w:hAnsi="Arial"/>
                <w:sz w:val="18"/>
                <w:szCs w:val="18"/>
                <w:color w:val="auto"/>
              </w:rPr>
              <w:t>Revenue</w:t>
            </w:r>
          </w:p>
        </w:tc>
        <w:tc>
          <w:tcPr>
            <w:tcW w:w="3680" w:type="dxa"/>
            <w:vAlign w:val="bottom"/>
          </w:tcPr>
          <w:p>
            <w:pPr>
              <w:spacing w:after="0"/>
              <w:rPr>
                <w:sz w:val="19"/>
                <w:szCs w:val="19"/>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w w:val="95"/>
              </w:rPr>
              <w:t>100%</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100%</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100%</w:t>
            </w:r>
          </w:p>
        </w:tc>
      </w:tr>
      <w:tr>
        <w:trPr>
          <w:trHeight w:val="20"/>
        </w:trPr>
        <w:tc>
          <w:tcPr>
            <w:tcW w:w="25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2540" w:type="dxa"/>
            <w:vAlign w:val="bottom"/>
          </w:tcPr>
          <w:p>
            <w:pPr>
              <w:spacing w:after="0"/>
              <w:rPr>
                <w:sz w:val="24"/>
                <w:szCs w:val="24"/>
                <w:color w:val="auto"/>
              </w:rPr>
            </w:pPr>
          </w:p>
        </w:tc>
        <w:tc>
          <w:tcPr>
            <w:tcW w:w="4640" w:type="dxa"/>
            <w:vAlign w:val="bottom"/>
            <w:gridSpan w:val="3"/>
          </w:tcPr>
          <w:p>
            <w:pPr>
              <w:jc w:val="right"/>
              <w:ind w:right="2652"/>
              <w:spacing w:after="0"/>
              <w:rPr>
                <w:sz w:val="20"/>
                <w:szCs w:val="20"/>
                <w:color w:val="auto"/>
              </w:rPr>
            </w:pPr>
            <w:r>
              <w:rPr>
                <w:rFonts w:ascii="Arial" w:cs="Arial" w:eastAsia="Arial" w:hAnsi="Arial"/>
                <w:sz w:val="18"/>
                <w:szCs w:val="18"/>
                <w:color w:val="auto"/>
              </w:rPr>
              <w:t>F-8</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a combined basis, revenue related to the Medicare and Medicaid programs were 83%, 63% and 62% for the years ended December 31, 2011, 2010 and 2009, respectively. The Company’s concentration of credit risk from other payors is reduced by the large number of payors and their geographic dispersion. The Company generated approximately 17% and 16% of its revenue for the year ended December 31, 2011 from facilities located in Arkansas and Mississippi, respectively.</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Contractual Discounts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derives a significant portion of its revenues from Medicare, Medicaid and other payors that receive discounts from established billing rates. The Medicare and Medicaid regulations and various managed care contracts under which these discounts must be calculated are complex, subject to interpretation and adjustment, and may include multiple reimbursement mechanisms for different types of services provided in the Company’s inpatient facilities and cost settlement provisions. The Company estimates the allowance for contractual discounts on a payor-specific basis given its interpretation of the applicable regulations or contract terms. The services authorized and provided and related reimbursement are often subject to interpretation that could result in payments that differ from the Company’s estimates. Additionally, updated regulations and contract renegotiations occur frequently necessitating continual review and assessment of the estimation process by management.</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Settlements under cost reimbursement agreements with third-party payors are estimated and recorded in the period in which the related services are rendered and are adjusted in future periods as final settlements are determined. Final determination of amounts earned under the Medicare and Medicaid programs often occurs in subsequent years because of audits by such programs, rights of appeal and the application of numerous technical provisions. In the opinion of management, adequate provision has been made for any adjustments and final settlements. However, there can be no assurance that any such adjustments and final settlements will not have a material effect on the Company’s financial condition or results of operations. The Company’s cost report receivables were $0.5 million at December 31, 2011 compared to cost report payables of $0.1 million at December 31, 2010, and are included in other current assets and other current liabilities, respectively, in the consolidated balance sheets. The Company believes that these receivables and payables are properly stated and are not likely to be settled for a significantly different amount. The net adjustments to estimated cost report settlements resulted in increases to revenue of approximately $0.2 million and $0.1 million for the years ended December 31, 2011 and 2010, respectively.</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believes that it is in compliance with all applicable laws and regulations and is not aware of any pending or threatened investigations involving allegations or wrongdoing. While no such regulatory inquiries have been made, compliance with such laws and regulations can be subject to future government review and interpretation, as well as significant regulatory action including fines, penalties and exclusion from the Medicare and Medicaid programs.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Company’s ability to collect outstanding patient receivables from third party payors is critical to its operating performance and cash flows. The primary collection risk with regard to patient receivables relates to uninsured patient accounts or patient accounts for which primary insurance has paid, but the portion owed by the patient remains outstanding. The Company estimates uncollectible accounts and establish an allowance for doubtful accounts in order to adjust accounts receivable to estimated net realizable value. In evaluating the collectability of accounts receivable, the Company considers a number of factors, including the age of the accounts, historical collection experience, current economic conditions, and other relevant factors. Accounts receivable that are determined to be uncollectible based on the Company’s policies are written off to the allowance for doubtful accounts. Significant changes in payor mix or business office operations could have a significant impact on the Company’s results of operations and cash flows.</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2011, the Financial Accounting Standards Board (“FASB”) issued Accounting Standards Update (“ASU”) No. 2011-07, “</w:t>
      </w:r>
      <w:r>
        <w:rPr>
          <w:rFonts w:ascii="Arial" w:cs="Arial" w:eastAsia="Arial" w:hAnsi="Arial"/>
          <w:sz w:val="16"/>
          <w:szCs w:val="16"/>
          <w:i w:val="1"/>
          <w:iCs w:val="1"/>
          <w:color w:val="auto"/>
        </w:rPr>
        <w:t>Health Care Entities</w:t>
      </w:r>
      <w:r>
        <w:rPr>
          <w:rFonts w:ascii="Arial" w:cs="Arial" w:eastAsia="Arial" w:hAnsi="Arial"/>
          <w:sz w:val="16"/>
          <w:szCs w:val="16"/>
          <w:color w:val="auto"/>
        </w:rPr>
        <w:t xml:space="preserve">” (Topic 954): </w:t>
      </w:r>
      <w:r>
        <w:rPr>
          <w:rFonts w:ascii="Arial" w:cs="Arial" w:eastAsia="Arial" w:hAnsi="Arial"/>
          <w:sz w:val="16"/>
          <w:szCs w:val="16"/>
          <w:i w:val="1"/>
          <w:iCs w:val="1"/>
          <w:color w:val="auto"/>
        </w:rPr>
        <w:t>Presentation and Disclosure of Patient Service Revenue, Provision for Bad Debts, and the Allowance for Doubtful Accounts for Certain Health Care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Entities </w:t>
      </w:r>
      <w:r>
        <w:rPr>
          <w:rFonts w:ascii="Arial" w:cs="Arial" w:eastAsia="Arial" w:hAnsi="Arial"/>
          <w:sz w:val="16"/>
          <w:szCs w:val="16"/>
          <w:color w:val="auto"/>
        </w:rPr>
        <w:t>(“ASU 2011-07”). ASU 2011-07 is effective for fiscal years and interim periods beginning after December 31, 2011, with early adoption permitted. ASU</w:t>
      </w:r>
      <w:r>
        <w:rPr>
          <w:rFonts w:ascii="Arial" w:cs="Arial" w:eastAsia="Arial" w:hAnsi="Arial"/>
          <w:sz w:val="16"/>
          <w:szCs w:val="16"/>
          <w:i w:val="1"/>
          <w:iCs w:val="1"/>
          <w:color w:val="auto"/>
        </w:rPr>
        <w:t xml:space="preserve"> </w:t>
      </w:r>
      <w:r>
        <w:rPr>
          <w:rFonts w:ascii="Arial" w:cs="Arial" w:eastAsia="Arial" w:hAnsi="Arial"/>
          <w:sz w:val="16"/>
          <w:szCs w:val="16"/>
          <w:color w:val="auto"/>
        </w:rPr>
        <w:t>2011-07 requires healthcare entities to change the presentation of the statement of operations by reclassifying the provision for doubtful accounts from operating expenses to a deduction from revenue. Changes to the presentation of the provision for bad debts should be applied retrospectively to all prior periods presented. The Company has early adopted this guidance and all periods presented in these consolidated financial statements and notes thereto have been reclassified in accordance with ASU 2011-07.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activity in the Company’s allowance for doubtful accounts is as follows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Balances at</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Additions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Accounts</w:t>
            </w:r>
          </w:p>
        </w:tc>
        <w:tc>
          <w:tcPr>
            <w:tcW w:w="1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5"/>
              </w:rPr>
              <w:t>Balances at</w:t>
            </w:r>
          </w:p>
        </w:tc>
      </w:tr>
      <w:tr>
        <w:trPr>
          <w:trHeight w:val="149"/>
        </w:trPr>
        <w:tc>
          <w:tcPr>
            <w:tcW w:w="560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Charged to Costs</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Written Off, Net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Period</w:t>
            </w: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and Expenses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of Recoveries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ind w:left="440"/>
              <w:spacing w:after="0"/>
              <w:rPr>
                <w:sz w:val="20"/>
                <w:szCs w:val="20"/>
                <w:color w:val="auto"/>
              </w:rPr>
            </w:pPr>
            <w:r>
              <w:rPr>
                <w:rFonts w:ascii="Arial" w:cs="Arial" w:eastAsia="Arial" w:hAnsi="Arial"/>
                <w:sz w:val="18"/>
                <w:szCs w:val="18"/>
                <w:color w:val="auto"/>
              </w:rPr>
              <w:t>Year ended December 31, 2009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1,109</w:t>
            </w:r>
          </w:p>
        </w:tc>
        <w:tc>
          <w:tcPr>
            <w:tcW w:w="1160" w:type="dxa"/>
            <w:vAlign w:val="bottom"/>
          </w:tcPr>
          <w:p>
            <w:pPr>
              <w:jc w:val="right"/>
              <w:spacing w:after="0"/>
              <w:rPr>
                <w:sz w:val="20"/>
                <w:szCs w:val="20"/>
                <w:color w:val="auto"/>
              </w:rPr>
            </w:pPr>
            <w:r>
              <w:rPr>
                <w:rFonts w:ascii="Arial" w:cs="Arial" w:eastAsia="Arial" w:hAnsi="Arial"/>
                <w:sz w:val="18"/>
                <w:szCs w:val="18"/>
                <w:color w:val="auto"/>
              </w:rPr>
              <w:t>2,424</w:t>
            </w: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(2,159)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 ended December 31,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1,374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(2,469)</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8"/>
                <w:szCs w:val="18"/>
                <w:color w:val="auto"/>
              </w:rPr>
            </w:pPr>
          </w:p>
        </w:tc>
      </w:tr>
      <w:tr>
        <w:trPr>
          <w:trHeight w:val="222"/>
        </w:trPr>
        <w:tc>
          <w:tcPr>
            <w:tcW w:w="5600" w:type="dxa"/>
            <w:vAlign w:val="bottom"/>
          </w:tcPr>
          <w:p>
            <w:pPr>
              <w:ind w:left="440"/>
              <w:spacing w:after="0"/>
              <w:rPr>
                <w:sz w:val="20"/>
                <w:szCs w:val="20"/>
                <w:color w:val="auto"/>
              </w:rPr>
            </w:pPr>
            <w:r>
              <w:rPr>
                <w:rFonts w:ascii="Arial" w:cs="Arial" w:eastAsia="Arial" w:hAnsi="Arial"/>
                <w:sz w:val="18"/>
                <w:szCs w:val="18"/>
                <w:color w:val="auto"/>
              </w:rPr>
              <w:t>Year ended December 31,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1,144</w:t>
            </w:r>
          </w:p>
        </w:tc>
        <w:tc>
          <w:tcPr>
            <w:tcW w:w="1160" w:type="dxa"/>
            <w:vAlign w:val="bottom"/>
          </w:tcPr>
          <w:p>
            <w:pPr>
              <w:jc w:val="right"/>
              <w:spacing w:after="0"/>
              <w:rPr>
                <w:sz w:val="20"/>
                <w:szCs w:val="20"/>
                <w:color w:val="auto"/>
              </w:rPr>
            </w:pPr>
            <w:r>
              <w:rPr>
                <w:rFonts w:ascii="Arial" w:cs="Arial" w:eastAsia="Arial" w:hAnsi="Arial"/>
                <w:sz w:val="18"/>
                <w:szCs w:val="18"/>
                <w:color w:val="auto"/>
              </w:rPr>
              <w:t>3,226</w:t>
            </w: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(1,946)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Charity Care</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provides care without charge to patients who are financially unable to pay for the healthcare services they receive based on Company policies and federal and state poverty thresholds. The costs of providing charity care services were $0.8 million, $0.7 million and $0.7 million for the years ended December 31, 2011, 2010 and 2009, respectively.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Insurance</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is subject to medical malpractice and other lawsuits due to the nature of the services we provide. The Company’s operations have professional and general liability insurance for claims in excess of a $50,000 deductible with an insured excess limit of $25 million. The reserve for professional and general liability risks is estimated based on historical claims, demographic factors, industry trends, severity factors, and other actuarial assumptions calculated by an independent third-party actuary. The estimated accrual for professional and general liabilities could be significantly affected should current and future occurrences differ from historical claim trends and expectations. While claims are monitored closely when estimating professional and general liability accruals, the complexity of the claims and wide range of potential outcomes often hampers timely adjustments to the assumptions used in these estimates. The professional and general liability reserve was $2.8 million as of December 31, 2011, of which $1.2 million is included in other accrued liabilities and $1.7 million is included in other long-term liabilities. We estimate receivables for the portion of professional and general liability reserves that are recoverable under our insurance policies based on an independent actuarial evaluation. Such receivable was $1.7 million as of December 31, 2011, of which $0.6 million is included in other current assets and $1.1 million is included in other assets.</w:t>
      </w:r>
    </w:p>
    <w:p>
      <w:pPr>
        <w:spacing w:after="0" w:line="12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Company’s statutory workers’ compensation program is fully insured with a $500,000 deductible per accident. The reserve for workers’ compensation liability was $3.8 million and $0.9 million as of December 31, 2011 and 2010, respectively. The reserve for workers compensation claims is based upon independent actuarial estimates of future amounts that will be paid to claimants. The Company believes that adequate provisions have been made for workers’ compensation and professional and general liability risk exposures.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Property and equipment are recorded at cost. Depreciation is calculated on the straight-line basis over the estimated useful lives of the assets, which typically range from 25 to 30 years for buildings and improvements, three to 10 years for equipment and the shorter of the lease term or estimated useful lives for leasehold improvements. When assets are sold or retired, the corresponding cost and accumulated depreciation are removed from the related accounts and any gain or loss is recorded in the period of sale or retirement. Repair and maintenance costs are expensed as incurred. Depreciation expense was approximately $2.7 million, $0.9 million and $0.9 million for the years ended December 31, 2011, 2010 and 2009, respectively.</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carrying values of long-lived assets are reviewed for possible impairment whenever events, circumstances or operating results indicate that the carrying amount of an asset may not be recoverable. If this review indicates that the asset will not be recoverable, as determined based upon the undiscounted cash flows of the operating asset over the remaining useful lives, the carrying value of the asset will be reduced to its estimated fair value. Fair value estimates are based on independent appraisals, market values of comparable assets or internal evaluations of future net cash flows.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Company’s goodwill and other indefinite-lived intangible assets, which consist of licenses and accreditations and certificates of need intangible assets that are not amortized, are evaluated for impairment annually during the fourth quarter or more frequently if events indicate that the carrying value of a reporting unit may not be recoverable. The Company comprises one operating segment, behavioral healthcare services, for segment reporting purposes. The behavioral healthcare services operating segment represents one reporting unit for purposes of the Company’s goodwill impairment test. Potential impairment is noted for a reporting unit if its carrying value exceeds the fair value of the reporting unit. For a reporting unit with potential impairment of goodwill, the Company determines the implied fair value of goodwill. If the carrying value of goodwill exceeds its implied fair value, an impairment loss is recorded. Our annual impairment tests of goodwill in 2011, 2010 and 2009 resulted in no goodwill impairment charges.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assets consists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2011</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Prepaid expenses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Workers’ compensation deposits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10,121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issuance costs are deferred and amortized to interest expense over the term of the related debt. Debt issuance costs at December 31, 2011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$11.3 million, net of accumulated amortization of $1.2 million. Amortization expense related to debt issuance costs, which is reported as interest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$1.2 million for the year ended December 31, 2011. Estimated amortization of debt issuance costs for the years ending December 31, 2012,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2014, 2015 and 2016 is $2.0 million, $2.0 million, $2.0 million, $1.9 million and $1.2 million, respectively.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measures and recognizes the cost of employee services received in exchange for awards of equity instruments based on the grant-date fair value in accordance with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uses the Black-Scholes valuation model to determine grant-date fair value and use straight-line amortization of share-based compensation expense over the requisite service period of the respective awards.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Basic and diluted earnings per share are calculated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using the weighted-average shares outstanding in each period and dilutive stock options, nonvested shares and warrants, to the extent such securities have a dilutive effect on earnings per share.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account for income taxes under the asset and liability method. Under this method, deferred tax assets and liabilities are determined based upon differences between the financial statement carrying amounts and tax bases of assets and liabilities and are measured using the enacted tax laws that will be in effect when the differences are expected to reverse. A valuation allowance for deferred tax assets is established when we believe that it is more likely than not that the deferred tax asset will not be realized. Significant judgments regarding the recognition and measurement of each tax position are required. Our policy is to classify interest and penalties related to income taxes as a component of our tax provision.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August 2010, the FASB issued ASU 2010-24, </w:t>
      </w:r>
      <w:r>
        <w:rPr>
          <w:rFonts w:ascii="Arial" w:cs="Arial" w:eastAsia="Arial" w:hAnsi="Arial"/>
          <w:sz w:val="16"/>
          <w:szCs w:val="16"/>
          <w:i w:val="1"/>
          <w:iCs w:val="1"/>
          <w:color w:val="auto"/>
        </w:rPr>
        <w:t>“Health Care Entities (Topic 954): Presentation of Insurance Claims and Recoveries,”</w:t>
      </w:r>
      <w:r>
        <w:rPr>
          <w:rFonts w:ascii="Arial" w:cs="Arial" w:eastAsia="Arial" w:hAnsi="Arial"/>
          <w:sz w:val="16"/>
          <w:szCs w:val="16"/>
          <w:color w:val="auto"/>
        </w:rPr>
        <w:t xml:space="preserve"> which provides clarification to companies in the healthcare industry on the accounting for professional liability insurance. ASU 2010-24 states that insurance liabilities should not be presented net of insurance recoveries and that an insurance receivable should be recognized on the same basis as the liabilities, subject to the need for a valuation allowance for uncollectible accounts. ASU 2010-24 is effective for fiscal years beginning after December 15, 2010 and was adopted by the Company on January 1, 2011. The adoption of this standard increased other current assets by $0.6 million, other assets by $1.1 million, other current liabilities by $0.6 million and other long-term liabilities by $1.1 million in the consolidated balance sheet as of December 31, 2011.</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August 2010, the FASB issued ASU No. 2010-23, “</w:t>
      </w:r>
      <w:r>
        <w:rPr>
          <w:rFonts w:ascii="Arial" w:cs="Arial" w:eastAsia="Arial" w:hAnsi="Arial"/>
          <w:sz w:val="18"/>
          <w:szCs w:val="18"/>
          <w:i w:val="1"/>
          <w:iCs w:val="1"/>
          <w:color w:val="auto"/>
        </w:rPr>
        <w:t>Measuring Charity Care for Disclosure</w:t>
      </w:r>
      <w:r>
        <w:rPr>
          <w:rFonts w:ascii="Arial" w:cs="Arial" w:eastAsia="Arial" w:hAnsi="Arial"/>
          <w:sz w:val="18"/>
          <w:szCs w:val="18"/>
          <w:color w:val="auto"/>
        </w:rPr>
        <w:t>.” ASU 2010-23 standardizes the basis of disclosure as the costs of providing charity care services. The Company adopted the provisions of ASU 2010-23 effective January 1, 2011 and retrospectively for all periods presented. The adoption of ASU 2010-23 impacted the disclosures provided by the Company relating to charity care in Note 2 but had no impact on the Company’s results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In December 2010, the FASB issued ASU 2010-28, </w:t>
      </w:r>
      <w:r>
        <w:rPr>
          <w:rFonts w:ascii="Arial" w:cs="Arial" w:eastAsia="Arial" w:hAnsi="Arial"/>
          <w:sz w:val="16"/>
          <w:szCs w:val="16"/>
          <w:i w:val="1"/>
          <w:iCs w:val="1"/>
          <w:color w:val="auto"/>
        </w:rPr>
        <w:t>“Intangible — Goodwill and Other (Topic 350): When to Perform Step 2 of the Goodwill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Reporting Units with Zero or Negative Carrying Amounts.” </w:t>
      </w:r>
      <w:r>
        <w:rPr>
          <w:rFonts w:ascii="Arial" w:cs="Arial" w:eastAsia="Arial" w:hAnsi="Arial"/>
          <w:sz w:val="16"/>
          <w:szCs w:val="16"/>
          <w:color w:val="auto"/>
        </w:rPr>
        <w:t>This update requires an entity to perform all steps in the test for a reporting unit whose</w:t>
      </w:r>
      <w:r>
        <w:rPr>
          <w:rFonts w:ascii="Arial" w:cs="Arial" w:eastAsia="Arial" w:hAnsi="Arial"/>
          <w:sz w:val="16"/>
          <w:szCs w:val="16"/>
          <w:i w:val="1"/>
          <w:iCs w:val="1"/>
          <w:color w:val="auto"/>
        </w:rPr>
        <w:t xml:space="preserve"> </w:t>
      </w:r>
      <w:r>
        <w:rPr>
          <w:rFonts w:ascii="Arial" w:cs="Arial" w:eastAsia="Arial" w:hAnsi="Arial"/>
          <w:sz w:val="16"/>
          <w:szCs w:val="16"/>
          <w:color w:val="auto"/>
        </w:rPr>
        <w:t>carrying value is zero or negative if it is more likely than not (more than 50%) that a goodwill impairment exists based on qualitative factors, resulting in the elimination of an entity’s ability to assert that such a reporting unit’s goodwill is not impaired and additional testing is not necessary despite the existence of qualitative factors that indicate otherwise. These changes became effective for the Company beginning January 1, 2011. The adoption of ASU 2010-28 did not have a material impact on the Company’s consolidated financial statements.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December 2010, the FASB issued ASU 2010-29, </w:t>
      </w:r>
      <w:r>
        <w:rPr>
          <w:rFonts w:ascii="Arial" w:cs="Arial" w:eastAsia="Arial" w:hAnsi="Arial"/>
          <w:sz w:val="16"/>
          <w:szCs w:val="16"/>
          <w:i w:val="1"/>
          <w:iCs w:val="1"/>
          <w:color w:val="auto"/>
        </w:rPr>
        <w:t>“Business Combinations (Topic 805): Disclosure of Supplementary Pro Forma Information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This update changes the disclosure of pro forma information for business combinations. These changes clarify that if a public entity</w:t>
      </w:r>
      <w:r>
        <w:rPr>
          <w:rFonts w:ascii="Arial" w:cs="Arial" w:eastAsia="Arial" w:hAnsi="Arial"/>
          <w:sz w:val="16"/>
          <w:szCs w:val="16"/>
          <w:i w:val="1"/>
          <w:iCs w:val="1"/>
          <w:color w:val="auto"/>
        </w:rPr>
        <w:t xml:space="preserve"> </w:t>
      </w:r>
      <w:r>
        <w:rPr>
          <w:rFonts w:ascii="Arial" w:cs="Arial" w:eastAsia="Arial" w:hAnsi="Arial"/>
          <w:sz w:val="16"/>
          <w:szCs w:val="16"/>
          <w:color w:val="auto"/>
        </w:rPr>
        <w:t>presents comparative financial statements, the entity should disclose revenue and earnings of the combined entity as though the business combination that occurred during the current year had occurred as of the beginning of the comparable prior annual reporting period only. Also, the existing supplemental pro forma disclosure requirements were expanded to include a description of the nature and amount of material, nonrecurring pro forma adjustments directly attributable to the business combination included in the reported pro forma revenue and earnings. These changes became effective for the Company beginning January 1, 2011 and have been reflected in the notes to the consolidated financial statements.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September 2011, the FASB issued ASU 2011-08, </w:t>
      </w:r>
      <w:r>
        <w:rPr>
          <w:rFonts w:ascii="Arial" w:cs="Arial" w:eastAsia="Arial" w:hAnsi="Arial"/>
          <w:sz w:val="16"/>
          <w:szCs w:val="16"/>
          <w:i w:val="1"/>
          <w:iCs w:val="1"/>
          <w:color w:val="auto"/>
        </w:rPr>
        <w:t>“Intangibles - Goodwill and Other (Topic 350): Testing Goodwill for Impairment.”</w:t>
      </w:r>
      <w:r>
        <w:rPr>
          <w:rFonts w:ascii="Arial" w:cs="Arial" w:eastAsia="Arial" w:hAnsi="Arial"/>
          <w:sz w:val="16"/>
          <w:szCs w:val="16"/>
          <w:color w:val="auto"/>
        </w:rPr>
        <w:t xml:space="preserve"> ASU 2011-08 is intended to simplify how entities test goodwill for impairment. The update permits the Company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ASU 2011-08 is effective for annual and interim goodwill impairment tests performed for fiscal years beginning after December 15, 2011. Early adoption is permitted, including for annual and interim goodwill impairment tests performed as of a date before September 15, 2011, if an entity’s financial statements for the most recent annual or interim period have not yet been issued. The adoption of ASU 2011-08 is not expected to have a material impact on the Company’s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Basic and diluted earnings per share are calculated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using the weighted-average shares outstanding, plus the dilutive effect of outstanding stock options and restricted shares, computed using the treasury stock method. All shares and per share amounts have been adjusted to reflect the stock splits completed on May 20, 2011 and November 1, 2011.</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(loss) per share for the years ended December 31, 2011, 2010 and 2009 (in thousands except per share amounts):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4"/>
              </w:rPr>
              <w:t>Year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for basic and diluted earnings (loss per share):</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(33,194)</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6,681</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income (loss) attributable to stockholders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(34,892)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6,210</w:t>
            </w:r>
          </w:p>
        </w:tc>
        <w:tc>
          <w:tcPr>
            <w:tcW w:w="4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18,757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17,633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tcPr>
          <w:p>
            <w:pPr>
              <w:ind w:left="440"/>
              <w:spacing w:after="0"/>
              <w:rPr>
                <w:sz w:val="20"/>
                <w:szCs w:val="20"/>
                <w:color w:val="auto"/>
              </w:rPr>
            </w:pPr>
            <w:r>
              <w:rPr>
                <w:rFonts w:ascii="Arial" w:cs="Arial" w:eastAsia="Arial" w:hAnsi="Arial"/>
                <w:sz w:val="18"/>
                <w:szCs w:val="18"/>
                <w:color w:val="auto"/>
              </w:rPr>
              <w:t>Shares used for diluted earnings per share</w:t>
            </w:r>
          </w:p>
        </w:tc>
        <w:tc>
          <w:tcPr>
            <w:tcW w:w="1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18,757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17,633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Basic earnings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loss from discontinued operations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income (loss) attributable to stockholders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(loss) per share: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Diluted earnings (loss) from continuing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loss from discontinued operations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40"/>
              <w:spacing w:after="0"/>
              <w:rPr>
                <w:sz w:val="20"/>
                <w:szCs w:val="20"/>
                <w:color w:val="auto"/>
              </w:rPr>
            </w:pPr>
            <w:r>
              <w:rPr>
                <w:rFonts w:ascii="Arial" w:cs="Arial" w:eastAsia="Arial" w:hAnsi="Arial"/>
                <w:sz w:val="18"/>
                <w:szCs w:val="18"/>
                <w:color w:val="auto"/>
              </w:rPr>
              <w:t>Net income (loss) attributable to stockholders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0.35</w:t>
            </w:r>
          </w:p>
        </w:tc>
        <w:tc>
          <w:tcPr>
            <w:tcW w:w="4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restricted stock, stock options and warrants issued in 2011 are excluded from the calculation of diluted earnings per share because the net loss for the year ended December 31, 2011 causes such securities to be anti-dilutive.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YFCS Acquisition</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On April 1, 2011, the Company acquired all of the equity interests of Youth and Family Centered Services, Inc. (“YFCS”). YFCS operates 13 behavioral healthcare facilities across the United States. The total cash consideration was approximately $178.0 million. Approximately $27.3 million of the goodwill associated with the YFCS acquisition is deductible for federal income tax purposes. The fair values of assets acquired and liabilities assumed at the acquisition date are as follows (in thousands):</w:t>
      </w:r>
    </w:p>
    <w:p>
      <w:pPr>
        <w:sectPr>
          <w:pgSz w:w="11900" w:h="16838" w:orient="portrait"/>
          <w:cols w:equalWidth="0" w:num="1">
            <w:col w:w="11400"/>
          </w:cols>
          <w:pgMar w:left="240" w:top="459" w:right="259" w:bottom="1440" w:gutter="0" w:footer="0" w:header="0"/>
        </w:sectPr>
      </w:pPr>
    </w:p>
    <w:p>
      <w:pPr>
        <w:spacing w:after="0" w:line="23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tax asset – current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Deferred tax asset – long-term</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 assets acquired</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Accrued salaries and benefits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long-term liabilities</w:t>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Net assets acquired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PHC Acquisition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581" w:hanging="581"/>
        <w:spacing w:after="0"/>
        <w:tabs>
          <w:tab w:leader="none" w:pos="5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33</w:t>
      </w:r>
    </w:p>
    <w:p>
      <w:pPr>
        <w:spacing w:after="0" w:line="38" w:lineRule="exact"/>
        <w:rPr>
          <w:rFonts w:ascii="Arial" w:cs="Arial" w:eastAsia="Arial" w:hAnsi="Arial"/>
          <w:sz w:val="16"/>
          <w:szCs w:val="16"/>
          <w:color w:val="auto"/>
        </w:rPr>
      </w:pPr>
    </w:p>
    <w:p>
      <w:pPr>
        <w:ind w:left="281"/>
        <w:spacing w:after="0"/>
        <w:rPr>
          <w:rFonts w:ascii="Arial" w:cs="Arial" w:eastAsia="Arial" w:hAnsi="Arial"/>
          <w:sz w:val="16"/>
          <w:szCs w:val="16"/>
          <w:color w:val="auto"/>
        </w:rPr>
      </w:pPr>
      <w:r>
        <w:rPr>
          <w:rFonts w:ascii="Arial" w:cs="Arial" w:eastAsia="Arial" w:hAnsi="Arial"/>
          <w:sz w:val="15"/>
          <w:szCs w:val="15"/>
          <w:color w:val="auto"/>
        </w:rPr>
        <w:t>17,542</w:t>
      </w:r>
    </w:p>
    <w:p>
      <w:pPr>
        <w:spacing w:after="0" w:line="43" w:lineRule="exact"/>
        <w:rPr>
          <w:rFonts w:ascii="Arial" w:cs="Arial" w:eastAsia="Arial" w:hAnsi="Arial"/>
          <w:sz w:val="16"/>
          <w:szCs w:val="16"/>
          <w:color w:val="auto"/>
        </w:rPr>
      </w:pPr>
    </w:p>
    <w:p>
      <w:pPr>
        <w:ind w:left="361"/>
        <w:spacing w:after="0"/>
        <w:rPr>
          <w:rFonts w:ascii="Arial" w:cs="Arial" w:eastAsia="Arial" w:hAnsi="Arial"/>
          <w:sz w:val="16"/>
          <w:szCs w:val="16"/>
          <w:color w:val="auto"/>
        </w:rPr>
      </w:pPr>
      <w:r>
        <w:rPr>
          <w:rFonts w:ascii="Arial" w:cs="Arial" w:eastAsia="Arial" w:hAnsi="Arial"/>
          <w:sz w:val="15"/>
          <w:szCs w:val="15"/>
          <w:color w:val="auto"/>
        </w:rPr>
        <w:t>2,327</w:t>
      </w:r>
    </w:p>
    <w:p>
      <w:pPr>
        <w:spacing w:after="0" w:line="43" w:lineRule="exact"/>
        <w:rPr>
          <w:rFonts w:ascii="Arial" w:cs="Arial" w:eastAsia="Arial" w:hAnsi="Arial"/>
          <w:sz w:val="16"/>
          <w:szCs w:val="16"/>
          <w:color w:val="auto"/>
        </w:rPr>
      </w:pPr>
    </w:p>
    <w:p>
      <w:pPr>
        <w:ind w:left="361"/>
        <w:spacing w:after="0"/>
        <w:rPr>
          <w:rFonts w:ascii="Arial" w:cs="Arial" w:eastAsia="Arial" w:hAnsi="Arial"/>
          <w:sz w:val="16"/>
          <w:szCs w:val="16"/>
          <w:color w:val="auto"/>
        </w:rPr>
      </w:pPr>
      <w:r>
        <w:rPr>
          <w:rFonts w:ascii="Arial" w:cs="Arial" w:eastAsia="Arial" w:hAnsi="Arial"/>
          <w:sz w:val="15"/>
          <w:szCs w:val="15"/>
          <w:color w:val="auto"/>
        </w:rPr>
        <w:t>1,266</w:t>
      </w:r>
    </w:p>
    <w:p>
      <w:pPr>
        <w:spacing w:after="0" w:line="44"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31,641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133,300</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5,356</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811</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800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194,495</w:t>
      </w:r>
    </w:p>
    <w:p>
      <w:pPr>
        <w:spacing w:after="0" w:line="15"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3,028</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8,958</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2,952</w:t>
      </w:r>
    </w:p>
    <w:p>
      <w:pPr>
        <w:spacing w:after="0" w:line="9"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4800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0" w:lineRule="exact"/>
        <w:rPr>
          <w:sz w:val="20"/>
          <w:szCs w:val="20"/>
          <w:color w:val="auto"/>
        </w:rPr>
      </w:pPr>
    </w:p>
    <w:p>
      <w:pPr>
        <w:jc w:val="right"/>
        <w:ind w:right="1900"/>
        <w:spacing w:after="0"/>
        <w:rPr>
          <w:sz w:val="20"/>
          <w:szCs w:val="20"/>
          <w:color w:val="auto"/>
        </w:rPr>
      </w:pPr>
      <w:r>
        <w:rPr>
          <w:rFonts w:ascii="Arial" w:cs="Arial" w:eastAsia="Arial" w:hAnsi="Arial"/>
          <w:sz w:val="18"/>
          <w:szCs w:val="18"/>
          <w:color w:val="auto"/>
        </w:rPr>
        <w:t>16,448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480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6"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$ 178,047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4800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626" w:lineRule="exact"/>
        <w:rPr>
          <w:sz w:val="20"/>
          <w:szCs w:val="20"/>
          <w:color w:val="auto"/>
        </w:rPr>
      </w:pPr>
    </w:p>
    <w:p>
      <w:pPr>
        <w:sectPr>
          <w:pgSz w:w="11900" w:h="16838" w:orient="portrait"/>
          <w:cols w:equalWidth="0" w:num="2">
            <w:col w:w="8019" w:space="720"/>
            <w:col w:w="2661"/>
          </w:cols>
          <w:pgMar w:left="240" w:top="459" w:right="259" w:bottom="1440" w:gutter="0" w:footer="0" w:header="0"/>
          <w:type w:val="continuous"/>
        </w:sectPr>
      </w:pPr>
    </w:p>
    <w:p>
      <w:pPr>
        <w:ind w:firstLine="456"/>
        <w:spacing w:after="0" w:line="287" w:lineRule="auto"/>
        <w:rPr>
          <w:sz w:val="20"/>
          <w:szCs w:val="20"/>
          <w:color w:val="auto"/>
        </w:rPr>
      </w:pPr>
      <w:r>
        <w:rPr>
          <w:rFonts w:ascii="Arial" w:cs="Arial" w:eastAsia="Arial" w:hAnsi="Arial"/>
          <w:sz w:val="16"/>
          <w:szCs w:val="16"/>
          <w:color w:val="auto"/>
        </w:rPr>
        <w:t xml:space="preserve">On November 1, 2011, the Company completed its acquisition of PHC, Inc. d/b/a Pioneer Behavioral Health (“PHC”), a publicly-held behavioral health services company based in Massachusetts. The Company paid cash consideration of $31.4 million, of which $26.4 million was used to repay PHC’s debt and $5.0 million was paid to the holders of PHC’s Class B Common Stock pursuant to the merger agreement. Additionally, the Company issued 4,891,667 shares of its common stock to the holders of PHC’s Class A Common Stock and Class B Common Stock based on a one-to-four conversion rate and 19,566,668 PHC shares outstanding immediately prior to the acquisition. The fair value of the equity consideration issued to PHC stockholders of approximately $44.0 million is based on Acadia’s stock price on the date of the acquisition. According to the terms of the merger agreement, PHC’s outstanding stock options and warrants were exchanged for and replaced by stock options and warrants of Acadia. The fair value of the vested portion of these replacement awards of approximately $1.0 million is included in the PHC acquisition consideration in accordance with ASC 718, Compensation –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Approximately $10.7 million of the goodwill associated with the PHC acquisition is deductible for federal income tax purposes. The total consideration for the PHC acquisition is summarized as follows (in thousands):</w:t>
      </w:r>
    </w:p>
    <w:p>
      <w:pPr>
        <w:spacing w:after="0" w:line="226"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Fair value of equity consideration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w w:val="93"/>
              </w:rPr>
              <w:t>Fair value of vested portion of replacement awards issued in connection with acquisition</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60" w:type="dxa"/>
            <w:vAlign w:val="bottom"/>
          </w:tcPr>
          <w:p>
            <w:pPr>
              <w:spacing w:after="0"/>
              <w:rPr>
                <w:sz w:val="20"/>
                <w:szCs w:val="20"/>
                <w:color w:val="auto"/>
              </w:rPr>
            </w:pPr>
            <w:r>
              <w:rPr>
                <w:rFonts w:ascii="Arial" w:cs="Arial" w:eastAsia="Arial" w:hAnsi="Arial"/>
                <w:sz w:val="18"/>
                <w:szCs w:val="18"/>
                <w:color w:val="auto"/>
              </w:rPr>
              <w:t>Total consideration</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3700"/>
              <w:spacing w:after="0"/>
              <w:rPr>
                <w:sz w:val="20"/>
                <w:szCs w:val="20"/>
                <w:color w:val="auto"/>
              </w:rPr>
            </w:pPr>
            <w:r>
              <w:rPr>
                <w:rFonts w:ascii="Arial" w:cs="Arial" w:eastAsia="Arial" w:hAnsi="Arial"/>
                <w:sz w:val="18"/>
                <w:szCs w:val="18"/>
                <w:color w:val="auto"/>
              </w:rPr>
              <w:t>F-13</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preliminary fair values of assets acquired and liabilities assumed at the acquisition date, which are subject to revision as more detailed analysis is completed and the valuation of intangible assets and other assets acquired and liabilities assumed is finalized, are as follows (in thousands):</w:t>
      </w:r>
    </w:p>
    <w:p>
      <w:pPr>
        <w:sectPr>
          <w:pgSz w:w="11900" w:h="16838" w:orient="portrait"/>
          <w:cols w:equalWidth="0" w:num="1">
            <w:col w:w="11420"/>
          </w:cols>
          <w:pgMar w:left="240" w:top="459" w:right="239" w:bottom="1440" w:gutter="0" w:footer="0" w:header="0"/>
        </w:sectPr>
      </w:pPr>
    </w:p>
    <w:p>
      <w:pPr>
        <w:spacing w:after="0" w:line="18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tax asset – current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long-term assets</w:t>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Accrued salaries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accrued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Deferred tax liability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Other long-term liabilities</w:t>
      </w:r>
    </w:p>
    <w:p>
      <w:pPr>
        <w:spacing w:after="0" w:line="3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Net assets acquired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2009 Acquisitions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361" w:hanging="361"/>
        <w:spacing w:after="0"/>
        <w:tabs>
          <w:tab w:leader="none" w:pos="361" w:val="left"/>
        </w:tabs>
        <w:numPr>
          <w:ilvl w:val="0"/>
          <w:numId w:val="18"/>
        </w:numPr>
        <w:rPr>
          <w:rFonts w:ascii="Arial" w:cs="Arial" w:eastAsia="Arial" w:hAnsi="Arial"/>
          <w:sz w:val="15"/>
          <w:szCs w:val="15"/>
          <w:color w:val="auto"/>
        </w:rPr>
      </w:pPr>
      <w:r>
        <w:rPr>
          <w:rFonts w:ascii="Arial" w:cs="Arial" w:eastAsia="Arial" w:hAnsi="Arial"/>
          <w:sz w:val="15"/>
          <w:szCs w:val="15"/>
          <w:color w:val="auto"/>
        </w:rPr>
        <w:t>3,076</w:t>
      </w:r>
    </w:p>
    <w:p>
      <w:pPr>
        <w:spacing w:after="0" w:line="49" w:lineRule="exact"/>
        <w:rPr>
          <w:rFonts w:ascii="Arial" w:cs="Arial" w:eastAsia="Arial" w:hAnsi="Arial"/>
          <w:sz w:val="15"/>
          <w:szCs w:val="15"/>
          <w:color w:val="auto"/>
        </w:rPr>
      </w:pPr>
    </w:p>
    <w:p>
      <w:pPr>
        <w:ind w:left="281"/>
        <w:spacing w:after="0"/>
        <w:rPr>
          <w:rFonts w:ascii="Arial" w:cs="Arial" w:eastAsia="Arial" w:hAnsi="Arial"/>
          <w:sz w:val="15"/>
          <w:szCs w:val="15"/>
          <w:color w:val="auto"/>
        </w:rPr>
      </w:pPr>
      <w:r>
        <w:rPr>
          <w:rFonts w:ascii="Arial" w:cs="Arial" w:eastAsia="Arial" w:hAnsi="Arial"/>
          <w:sz w:val="15"/>
          <w:szCs w:val="15"/>
          <w:color w:val="auto"/>
        </w:rPr>
        <w:t>10,950</w:t>
      </w:r>
    </w:p>
    <w:p>
      <w:pPr>
        <w:spacing w:after="0" w:line="43"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3,131</w:t>
      </w:r>
    </w:p>
    <w:p>
      <w:pPr>
        <w:spacing w:after="0" w:line="43"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4,431</w:t>
      </w:r>
    </w:p>
    <w:p>
      <w:pPr>
        <w:spacing w:after="0" w:line="43" w:lineRule="exact"/>
        <w:rPr>
          <w:rFonts w:ascii="Arial" w:cs="Arial" w:eastAsia="Arial" w:hAnsi="Arial"/>
          <w:sz w:val="15"/>
          <w:szCs w:val="15"/>
          <w:color w:val="auto"/>
        </w:rPr>
      </w:pPr>
    </w:p>
    <w:p>
      <w:pPr>
        <w:ind w:left="281"/>
        <w:spacing w:after="0"/>
        <w:rPr>
          <w:rFonts w:ascii="Arial" w:cs="Arial" w:eastAsia="Arial" w:hAnsi="Arial"/>
          <w:sz w:val="15"/>
          <w:szCs w:val="15"/>
          <w:color w:val="auto"/>
        </w:rPr>
      </w:pPr>
      <w:r>
        <w:rPr>
          <w:rFonts w:ascii="Arial" w:cs="Arial" w:eastAsia="Arial" w:hAnsi="Arial"/>
          <w:sz w:val="15"/>
          <w:szCs w:val="15"/>
          <w:color w:val="auto"/>
        </w:rPr>
        <w:t>16,885</w:t>
      </w:r>
    </w:p>
    <w:p>
      <w:pPr>
        <w:spacing w:after="0" w:line="43" w:lineRule="exact"/>
        <w:rPr>
          <w:rFonts w:ascii="Arial" w:cs="Arial" w:eastAsia="Arial" w:hAnsi="Arial"/>
          <w:sz w:val="15"/>
          <w:szCs w:val="15"/>
          <w:color w:val="auto"/>
        </w:rPr>
      </w:pPr>
    </w:p>
    <w:p>
      <w:pPr>
        <w:ind w:left="281"/>
        <w:spacing w:after="0"/>
        <w:rPr>
          <w:rFonts w:ascii="Arial" w:cs="Arial" w:eastAsia="Arial" w:hAnsi="Arial"/>
          <w:sz w:val="15"/>
          <w:szCs w:val="15"/>
          <w:color w:val="auto"/>
        </w:rPr>
      </w:pPr>
      <w:r>
        <w:rPr>
          <w:rFonts w:ascii="Arial" w:cs="Arial" w:eastAsia="Arial" w:hAnsi="Arial"/>
          <w:sz w:val="15"/>
          <w:szCs w:val="15"/>
          <w:color w:val="auto"/>
        </w:rPr>
        <w:t>44,358</w:t>
      </w:r>
    </w:p>
    <w:p>
      <w:pPr>
        <w:spacing w:after="0" w:line="43"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3,525</w:t>
      </w:r>
    </w:p>
    <w:p>
      <w:pPr>
        <w:spacing w:after="0" w:line="43"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1,153</w:t>
      </w:r>
    </w:p>
    <w:p>
      <w:pPr>
        <w:spacing w:after="0" w:line="64" w:lineRule="exact"/>
        <w:rPr>
          <w:rFonts w:ascii="Arial" w:cs="Arial" w:eastAsia="Arial" w:hAnsi="Arial"/>
          <w:sz w:val="15"/>
          <w:szCs w:val="15"/>
          <w:color w:val="auto"/>
        </w:rPr>
      </w:pPr>
    </w:p>
    <w:p>
      <w:pPr>
        <w:ind w:left="281"/>
        <w:spacing w:after="0"/>
        <w:rPr>
          <w:rFonts w:ascii="Arial" w:cs="Arial" w:eastAsia="Arial" w:hAnsi="Arial"/>
          <w:sz w:val="15"/>
          <w:szCs w:val="15"/>
          <w:color w:val="auto"/>
        </w:rPr>
      </w:pPr>
      <w:r>
        <w:rPr>
          <w:rFonts w:ascii="Arial" w:cs="Arial" w:eastAsia="Arial" w:hAnsi="Arial"/>
          <w:sz w:val="15"/>
          <w:szCs w:val="15"/>
          <w:color w:val="auto"/>
        </w:rPr>
        <w:t>87,509</w:t>
      </w:r>
    </w:p>
    <w:p>
      <w:pPr>
        <w:spacing w:after="0" w:line="49"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2,882</w:t>
      </w:r>
    </w:p>
    <w:p>
      <w:pPr>
        <w:spacing w:after="0" w:line="43"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5,659</w:t>
      </w:r>
    </w:p>
    <w:p>
      <w:pPr>
        <w:spacing w:after="0" w:line="43" w:lineRule="exact"/>
        <w:rPr>
          <w:rFonts w:ascii="Arial" w:cs="Arial" w:eastAsia="Arial" w:hAnsi="Arial"/>
          <w:sz w:val="15"/>
          <w:szCs w:val="15"/>
          <w:color w:val="auto"/>
        </w:rPr>
      </w:pPr>
    </w:p>
    <w:p>
      <w:pPr>
        <w:ind w:left="361"/>
        <w:spacing w:after="0"/>
        <w:rPr>
          <w:rFonts w:ascii="Arial" w:cs="Arial" w:eastAsia="Arial" w:hAnsi="Arial"/>
          <w:sz w:val="15"/>
          <w:szCs w:val="15"/>
          <w:color w:val="auto"/>
        </w:rPr>
      </w:pPr>
      <w:r>
        <w:rPr>
          <w:rFonts w:ascii="Arial" w:cs="Arial" w:eastAsia="Arial" w:hAnsi="Arial"/>
          <w:sz w:val="15"/>
          <w:szCs w:val="15"/>
          <w:color w:val="auto"/>
        </w:rPr>
        <w:t>1,057</w:t>
      </w:r>
    </w:p>
    <w:p>
      <w:pPr>
        <w:spacing w:after="0" w:line="43" w:lineRule="exact"/>
        <w:rPr>
          <w:rFonts w:ascii="Arial" w:cs="Arial" w:eastAsia="Arial" w:hAnsi="Arial"/>
          <w:sz w:val="15"/>
          <w:szCs w:val="15"/>
          <w:color w:val="auto"/>
        </w:rPr>
      </w:pPr>
    </w:p>
    <w:p>
      <w:pPr>
        <w:ind w:left="501"/>
        <w:spacing w:after="0"/>
        <w:rPr>
          <w:rFonts w:ascii="Arial" w:cs="Arial" w:eastAsia="Arial" w:hAnsi="Arial"/>
          <w:sz w:val="15"/>
          <w:szCs w:val="15"/>
          <w:color w:val="auto"/>
        </w:rPr>
      </w:pPr>
      <w:r>
        <w:rPr>
          <w:rFonts w:ascii="Arial" w:cs="Arial" w:eastAsia="Arial" w:hAnsi="Arial"/>
          <w:sz w:val="15"/>
          <w:szCs w:val="15"/>
          <w:color w:val="auto"/>
        </w:rPr>
        <w:t>851</w:t>
      </w:r>
    </w:p>
    <w:p>
      <w:pPr>
        <w:spacing w:after="0" w:line="43" w:lineRule="exact"/>
        <w:rPr>
          <w:rFonts w:ascii="Arial" w:cs="Arial" w:eastAsia="Arial" w:hAnsi="Arial"/>
          <w:sz w:val="15"/>
          <w:szCs w:val="15"/>
          <w:color w:val="auto"/>
        </w:rPr>
      </w:pPr>
    </w:p>
    <w:p>
      <w:pPr>
        <w:ind w:left="501"/>
        <w:spacing w:after="0"/>
        <w:rPr>
          <w:rFonts w:ascii="Arial" w:cs="Arial" w:eastAsia="Arial" w:hAnsi="Arial"/>
          <w:sz w:val="15"/>
          <w:szCs w:val="15"/>
          <w:color w:val="auto"/>
        </w:rPr>
      </w:pPr>
      <w:r>
        <w:rPr>
          <w:rFonts w:ascii="Arial" w:cs="Arial" w:eastAsia="Arial" w:hAnsi="Arial"/>
          <w:sz w:val="15"/>
          <w:szCs w:val="15"/>
          <w:color w:val="auto"/>
        </w:rPr>
        <w:t>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-810895</wp:posOffset>
            </wp:positionV>
            <wp:extent cx="4800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4800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44"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11,016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4800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6" w:lineRule="exact"/>
        <w:rPr>
          <w:sz w:val="20"/>
          <w:szCs w:val="20"/>
          <w:color w:val="auto"/>
        </w:rPr>
      </w:pPr>
    </w:p>
    <w:p>
      <w:pPr>
        <w:ind w:left="281" w:hanging="281"/>
        <w:spacing w:after="0"/>
        <w:tabs>
          <w:tab w:leader="none" w:pos="281" w:val="left"/>
        </w:tabs>
        <w:numPr>
          <w:ilvl w:val="0"/>
          <w:numId w:val="1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76,493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4800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637" w:lineRule="exact"/>
        <w:rPr>
          <w:sz w:val="20"/>
          <w:szCs w:val="20"/>
          <w:color w:val="auto"/>
        </w:rPr>
      </w:pPr>
    </w:p>
    <w:p>
      <w:pPr>
        <w:sectPr>
          <w:pgSz w:w="11900" w:h="16838" w:orient="portrait"/>
          <w:cols w:equalWidth="0" w:num="2">
            <w:col w:w="8019" w:space="720"/>
            <w:col w:w="2681"/>
          </w:cols>
          <w:pgMar w:left="240" w:top="459" w:right="239" w:bottom="1440" w:gutter="0" w:footer="0" w:header="0"/>
          <w:type w:val="continuous"/>
        </w:sectPr>
      </w:pPr>
    </w:p>
    <w:p>
      <w:pPr>
        <w:ind w:firstLine="456"/>
        <w:spacing w:after="0" w:line="256" w:lineRule="auto"/>
        <w:rPr>
          <w:sz w:val="20"/>
          <w:szCs w:val="20"/>
          <w:color w:val="auto"/>
        </w:rPr>
      </w:pPr>
      <w:r>
        <w:rPr>
          <w:rFonts w:ascii="Arial" w:cs="Arial" w:eastAsia="Arial" w:hAnsi="Arial"/>
          <w:sz w:val="18"/>
          <w:szCs w:val="18"/>
          <w:color w:val="auto"/>
        </w:rPr>
        <w:t>On March 5, 2009, the Company acquired certain assets of Acadiana Addiction Center, LLC, a substance abuse treatment center in Lafayette, Louisiana (“Acadiana”). The gross purchase price was approximately $2.6 million and cash received was approximately $0.4 million for a net purchase price of approximately $2.2 million. In addition, the Company has paid two earn-out payments and expects to pay a third and final earn-out payment in the amount of $0.3 million during the second quarter of 2012.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2, 2009, the Company acquired certain assets from Parkwest Medical Center related to its residential mental health treatment program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Louisville, Tennessee (“The Village”). The purchase price was less than $0.1 million. The fair values of assets acquired were as follows (in thousands):</w:t>
      </w:r>
    </w:p>
    <w:p>
      <w:pPr>
        <w:spacing w:after="0" w:line="2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4"/>
                <w:szCs w:val="14"/>
                <w:b w:val="1"/>
                <w:bCs w:val="1"/>
                <w:color w:val="auto"/>
                <w:w w:val="86"/>
              </w:rPr>
              <w:t>Acadiana</w:t>
            </w:r>
          </w:p>
        </w:tc>
        <w:tc>
          <w:tcPr>
            <w:tcW w:w="6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The Village</w:t>
            </w: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2,747</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2,962</w:t>
            </w:r>
          </w:p>
        </w:tc>
        <w:tc>
          <w:tcPr>
            <w:tcW w:w="9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w w:val="79"/>
              </w:rPr>
              <w:t>100</w:t>
            </w: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Haven Facilities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March 1, 2012, the Company completed its acquisition of three inpatient psychiatric hospitals (the “Haven Facilities”) from Haven Behavioral Healthcare Holdings, LLC for cash consideration of $91.0 million. The Haven Facilities, with an aggregate of 166 acute inpatient psychiatric beds, are located in Arizona, Texas, and Oklahoma, respectively. The Haven Facilities are not included in the pro forma information presented below because the financial statements for the Haven Facilities as of and for the years ended December 31, 2011 and 2010 have not been finalized.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qualitative factors comprising the goodwill acquired in the YFCS and PHC acquisitions include efficiencies derived through synergies expected by the elimination of certain redundant corporate functions and expenses, the ability to leverage call center referrals to a broader provider base, coordination of services provided across the combined network of facilities, achievement of operating efficiencies by benchmarking performance and applying best practices throughout the combined companies.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Transaction-related expenses comprised the following costs for the years ended December 31, 2011 and 2010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Fee paid to equity sponsor for termination of professional services agreement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Advisory fees paid to equity sponsor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Investment banking advisory and bridge commitment fees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Legal, accounting and other fees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918</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contract termination costs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7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41,547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918</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Transaction-related expenses are expensed as incurred. On November 1, 2011, the Company paid a $20.6 million fee to terminate its professional services agreement with Waud Capital Partners, L.L.C. (“Waud Capital Partners”). See Note 15 for further discussion of the professional services agreement.</w:t>
      </w:r>
    </w:p>
    <w:p>
      <w:pPr>
        <w:spacing w:after="0" w:line="85"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Transaction-related expenses include $1.4 million related to severance costs for YFCS employees not retained by the Company. Additionally, the Company assumed obligations to make certain change-of-control payments to certain executives pursuant to pre-existing employment agreements of $2.2 million for YFCS and $2.9 million for PHC. The total severance liability decreased to $1.5 million as of December 31, 2011 as a result of $5.0 million of payments made during the period from the respective acquisition dates to December 31, 2011.</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consolidated statement of operations for the year ended December 31, 2011 includes revenue of $134.6 million and income from continuing operations before income taxes of $9.3 million for YFCS relating to the period from April 1, 2011 to December 31, 2011 and revenue of $12.2 million and income from continuing operations before income taxes of $1.5 million for PHC relating to the period from November 1, 2011 to December 31, 2011. The following table provides certain pro forma financial information for the Company as if the YFCS and PHC acquisitions occurred as of January 1, 2010 (in thousands):</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7"/>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325,497</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314,157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920" w:type="dxa"/>
            <w:vAlign w:val="bottom"/>
            <w:gridSpan w:val="4"/>
          </w:tcPr>
          <w:p>
            <w:pPr>
              <w:spacing w:after="0"/>
              <w:rPr>
                <w:sz w:val="20"/>
                <w:szCs w:val="20"/>
                <w:color w:val="auto"/>
              </w:rPr>
            </w:pPr>
            <w:r>
              <w:rPr>
                <w:rFonts w:ascii="Arial" w:cs="Arial" w:eastAsia="Arial" w:hAnsi="Arial"/>
                <w:sz w:val="18"/>
                <w:szCs w:val="18"/>
                <w:color w:val="auto"/>
              </w:rPr>
              <w:t>$ (34,394)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changes in goodwill during the year ended December 31, 2011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00" w:type="dxa"/>
            <w:vAlign w:val="bottom"/>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YFCS acquisition</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133,300</w:t>
            </w:r>
          </w:p>
        </w:tc>
        <w:tc>
          <w:tcPr>
            <w:tcW w:w="1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PHC acquisition</w:t>
            </w:r>
          </w:p>
        </w:tc>
        <w:tc>
          <w:tcPr>
            <w:tcW w:w="4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44,358</w:t>
            </w:r>
          </w:p>
        </w:tc>
        <w:tc>
          <w:tcPr>
            <w:tcW w:w="100" w:type="dxa"/>
            <w:vAlign w:val="bottom"/>
            <w:shd w:val="clear" w:color="auto" w:fill="CCEEFF"/>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40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186,815</w:t>
            </w:r>
          </w:p>
        </w:tc>
        <w:tc>
          <w:tcPr>
            <w:tcW w:w="10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920" w:type="dxa"/>
            <w:vAlign w:val="bottom"/>
          </w:tcPr>
          <w:p>
            <w:pPr>
              <w:spacing w:after="0"/>
              <w:rPr>
                <w:sz w:val="24"/>
                <w:szCs w:val="24"/>
                <w:color w:val="auto"/>
              </w:rPr>
            </w:pPr>
          </w:p>
        </w:tc>
        <w:tc>
          <w:tcPr>
            <w:tcW w:w="4160" w:type="dxa"/>
            <w:vAlign w:val="bottom"/>
            <w:gridSpan w:val="2"/>
          </w:tcPr>
          <w:p>
            <w:pPr>
              <w:jc w:val="right"/>
              <w:ind w:right="2963"/>
              <w:spacing w:after="0"/>
              <w:rPr>
                <w:sz w:val="20"/>
                <w:szCs w:val="20"/>
                <w:color w:val="auto"/>
              </w:rPr>
            </w:pPr>
            <w:r>
              <w:rPr>
                <w:rFonts w:ascii="Arial" w:cs="Arial" w:eastAsia="Arial" w:hAnsi="Arial"/>
                <w:sz w:val="18"/>
                <w:szCs w:val="18"/>
                <w:color w:val="auto"/>
              </w:rPr>
              <w:t>F-15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Other identifiable intangible assets and related accumulated amortization consist of the following as of December 31, 2011 and December 31, 2010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Gross Carrying Amount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6"/>
              </w:rPr>
              <w:t>Accumulated Amortization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60" w:type="dxa"/>
            <w:vAlign w:val="bottom"/>
          </w:tcPr>
          <w:p>
            <w:pPr>
              <w:spacing w:after="0"/>
              <w:rPr>
                <w:sz w:val="11"/>
                <w:szCs w:val="11"/>
                <w:color w:val="auto"/>
              </w:rPr>
            </w:pPr>
          </w:p>
        </w:tc>
        <w:tc>
          <w:tcPr>
            <w:tcW w:w="14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subject to amortization:</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Trademarks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Patient-related intangible assets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Contract intangible assets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2,100</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Non-compete agreements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3,973</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(1,832)</w:t>
            </w: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not subject to amortization:</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Licenses and accreditations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4,059</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Certificates of need</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6,091</w:t>
            </w: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9"/>
                <w:szCs w:val="19"/>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YFCS acquisition, the Company acquired $5.4 million of intangible assets consisting of patient-related intangible assets of</w:t>
      </w:r>
    </w:p>
    <w:p>
      <w:pPr>
        <w:spacing w:after="0" w:line="3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$1.2 million, non-compete agreements of $0.3 million, licenses and accreditations of $2.7 million and certificates of need of $1.1 million. In connection with the PHC acquisition, the Company acquired intangible assets with a preliminary value of $3.5 million consisting of contract intangible assets of $2.1 million, licenses and accreditations of $1.2 million and certificates of need of $0.2 million. The Company also incurred and capitalized $0.4 million and $0.2 million in the years ended December 31, 2011 and 2010 related to costs to obtain certificates of need.</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patient-related intangible assets, which represent the value associated with the patients of the YFCS facilities as of the acquisition date, have been amortized over the estimated three-month average term in which the existing patients will be discharged. The YFCS non-compete agreements are being amortized on a straight-line basis over the one-year term of the agreements. The PHC contract intangible of $2.1 million is amortized on a straight-line basis over the estimated five-year term of the related contract. Amortization expense was approximately $1.6 million and $0.1 million for the years ended December 31, 2011 and 2010, respectively. Estimated amortization expense for the years ending December 31, 2012, 2013, 2014, 2015 and 2016 is $0.5 million, $0.4 million, $0.4 million, $0.4 million and $0.4 million, respectively.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licenses and accreditations and certificates of need intangible assets have indefinite lives and are therefore not subject to amortization.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GAAP requires that all components of an entity that have been disposed of (by sale, by abandonment or in a distribution to owners) or are held for sale and whose cash flows can be clearly distinguished from the rest of the entity be presented as discontinued operations. In June 2012, the Company disposed of its PsychSolutions facility located in Miami, Florida and recognized a loss on disposal of $0.2 million, which is included in loss from discontinued operations on the consolidated statements of operations. In 2010, the Company ceased operations of its facility located in Hilo, Hawaii. As part of the acquisition of YFCS on April 1, 2011, the Company acquired a facility located in Tampa Bay, Florida that was classified as discontinued operations during 2010. In December 2011, the Company closed three outpatient facilities and a 24-bed substance abuse facility acquired from PHC on November 1, 2011. The results of operations of these facilities have been reported as discontinued operations in the accompanying consolidated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results from discontinued operations is as follows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$ 5,362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1,855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Net (loss) income from discontinued operations</w:t>
            </w:r>
          </w:p>
        </w:tc>
        <w:tc>
          <w:tcPr>
            <w:tcW w:w="3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vMerge w:val="continue"/>
          </w:tcPr>
          <w:p>
            <w:pPr>
              <w:spacing w:after="0"/>
              <w:rPr>
                <w:sz w:val="18"/>
                <w:szCs w:val="18"/>
                <w:color w:val="auto"/>
              </w:rPr>
            </w:pPr>
          </w:p>
        </w:tc>
        <w:tc>
          <w:tcPr>
            <w:tcW w:w="4020" w:type="dxa"/>
            <w:vAlign w:val="bottom"/>
            <w:gridSpan w:val="3"/>
          </w:tcPr>
          <w:p>
            <w:pPr>
              <w:ind w:left="30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(471)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0" w:type="dxa"/>
            <w:vAlign w:val="bottom"/>
          </w:tcPr>
          <w:p>
            <w:pPr>
              <w:spacing w:after="0"/>
              <w:rPr>
                <w:sz w:val="24"/>
                <w:szCs w:val="24"/>
                <w:color w:val="auto"/>
              </w:rPr>
            </w:pPr>
          </w:p>
        </w:tc>
        <w:tc>
          <w:tcPr>
            <w:tcW w:w="4020" w:type="dxa"/>
            <w:vAlign w:val="bottom"/>
            <w:gridSpan w:val="3"/>
          </w:tcPr>
          <w:p>
            <w:pPr>
              <w:ind w:left="620"/>
              <w:spacing w:after="0"/>
              <w:rPr>
                <w:sz w:val="20"/>
                <w:szCs w:val="20"/>
                <w:color w:val="auto"/>
              </w:rPr>
            </w:pPr>
            <w:r>
              <w:rPr>
                <w:rFonts w:ascii="Arial" w:cs="Arial" w:eastAsia="Arial" w:hAnsi="Arial"/>
                <w:sz w:val="18"/>
                <w:szCs w:val="18"/>
                <w:color w:val="auto"/>
              </w:rPr>
              <w:t>F-16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Senior Secured Credit Facility:</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Senior Secured Term Loans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5"/>
              </w:rPr>
              <w:t>$129,938</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Secured Revolving Line of Credit</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440"/>
              <w:spacing w:after="0"/>
              <w:rPr>
                <w:sz w:val="20"/>
                <w:szCs w:val="20"/>
                <w:color w:val="auto"/>
              </w:rPr>
            </w:pPr>
            <w:r>
              <w:rPr>
                <w:rFonts w:ascii="Arial" w:cs="Arial" w:eastAsia="Arial" w:hAnsi="Arial"/>
                <w:sz w:val="18"/>
                <w:szCs w:val="18"/>
                <w:color w:val="auto"/>
              </w:rPr>
              <w:t>12.875% Senior Notes due 2018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147,521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Secured Promissory Notes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9,984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277,459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(9,984)</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6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270,709</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To finance our acquisition of YFCS and refinance our $10.0 million secured promissory note that was outstanding at December 31, 2010, we entered into the Senior Secured Credit Facility, administered by Bank of America, N.A., on April 1, 2011. The Senior Secured Credit Facility entered into on April 1, 2011 included $135.0 million of term loans and a revolving credit facility of $30.0 million. As of December 31, 2011, we had $29.6 million of availability under our revolving line of credit, which reflected the total revolving credit facility of $30.0 million less an undrawn letter of credit of $0.4 million.</w:t>
      </w:r>
    </w:p>
    <w:p>
      <w:pPr>
        <w:spacing w:after="0" w:line="11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On March 1, 2012, we amended our Senior Secured Credit Facility to provide an incremental $25.0 million of term loans and increase the revolving credit facility by $45.0 million, from $30.0 million to $75.0 million. We used the incremental term loans of $25.0 million and a $5.0 million borrowing under the revolving credit facility to partially fund the acquisition of Haven Facilities on March 1, 2012. Subsequent to the amendment to the Senior Credit Facility and acquisition of the Haven Facilities, we have $69.6 million of availability under our revolving line of credit, subject to customary debt incurrence tests. The amended term loans require quarterly principal payments of $2.0 million for March 31, 2012 to March 31, 2013, $4.0 million for June 30, 2013 to March 31, 2014, $5.0 million for June 30, 2014 to March 31, 2015, and $6.0 million for June 30, 2015 to December 31, 2015, with the remaining principal balance due on the maturity date of April 1, 2016.</w:t>
      </w:r>
    </w:p>
    <w:p>
      <w:pPr>
        <w:spacing w:after="0" w:line="14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Borrowings under the Senior Secured Credit Facility are guaranteed by each of Acadia’s domestic subsidiaries and are secured by a lien on substantially all of the assets of Acadia and its domestic subsidiaries. Borrowings under the Senior Secured Credit Facility bear interest at a rate tied to Acadia’s consolidated leverage ratio (defined as consolidated funded debt to consolidated EBITDA, in each case as defined in the credit agreement governing the Senior Secured Credit Facility). The Applicable Rate for borrowings under the Senior Secured Credit Facility was 4.50% and 3.50% for Eurodollar Rate Loans and Base Rate Loans, respectively, as of December 31, 2011. Eurodollar Rate Loans bear interest at the Applicable Rate plus the Eurodollar Rate (based upon the British Bankers Association LIBOR Rate prior to commencement of the interest rate period). Base Rate Loans bear interest at the Applicable Rate plus the highest of (i) the federal funds rate plus 1/2 of 1.0%, (ii) the prime rate and (iii) the Eurodollar rate plus 1.0%. As of December 31, 2011, borrowings under the Senior Secured Credit Facility bore interest at 4.80%. In addition, Acadia is required to pay a commitment fee on undrawn amounts under the revolving line of credit. As of December 31, 2011, undrawn amounts bore interest at a rate of 0.55%.</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Senior Secured Credit Facility requires Acadia and its subsidiaries to comply with customary affirmative, negative and financial covenants, including a fixed charge coverage ratio, consolidated leverage ratio and senior secured leverage ratio. As of December 31, 2011, Acadia was in compliance with such covenants.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12.875% Senior Notes due 2018</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November 1, 2011, we issued $150.0 million of 12.875% Senior Notes due 2018 (the “Senior Notes”). The Senior Notes were issued at 98.323% of the aggregate principal amount of $150.0 million, a discount of $2.5 million. The notes bear interest at a rate of 12.875% per annum. We will pay interest on the notes semi-annually, in arrears, on November 1 and May 1 of each year, beginning on May 1, 2012 through the maturity date of November 1, 2018.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indenture governing the Senior Notes contains covenants that, among other things, limit the Company’s ability to: (i) incur or guarantee additional debt or issue certain preferred stock; (ii) pay dividends on the Company’s equity interests or redeem, repurchase or retire the Company’s equity interests or subordinated debt; (iii) transfer or sell assets; (iv) make certain investments; (v) incur certain liens; (vi) create restrictions on the ability of the Company’s subsidiaries to pay dividends or make other payments to the Company; (vii) engage in certain transactions with the Company’s affiliates; and (viii) merge or consolidate with other companies or transfer all or substantially all of the Company’s assets.</w:t>
      </w:r>
    </w:p>
    <w:p>
      <w:pPr>
        <w:spacing w:after="0" w:line="1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Senior Notes issued by the Company are guaranteed by each of the Company’s subsidiaries, all of which are wholly owned subsidiaries. The guarantees are full and unconditional and joint and several and Acadia Healthcare Company, Inc., as the parent issuer of the Senior Notes, has no independent assets or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accrued liabilities include $3.3 million and $0.5 million of accrued interest as of December 31, 2011 and 2010, respectively.</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w w:val="96"/>
              </w:rPr>
              <w:t>The aggregate maturities of long-term debt as of December 31, 2011 are as follows (in thousands):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2013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279,938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Company was formed as a wholly-owned subsidiary of Holdings and was structured as a single-member limited liability corporation until its conversion to a C-corporation (Acadia Healthcare Company, Inc.) on May 13, 2011.</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April 1, 2011, Holdings amended its limited liability company agreement and its Class A Preferred Units, Class A Common Units, Class B Common Units, and Class B Preferred Units were exchanged for equivalent fair values of Class A Units and Class B Units as of such date. Additionally, on April 1, 2011, Holdings issued Class A Units and Class B Units to investors consisting of Waud Capital Partners or its affiliates and certain members of Acadia management for cash proceeds of $52.5 million. On May 20, 2011, Acadia Healthcare Company, Inc. underwent a stock split by means of a stock dividend of 100,000 shares of common stock for each share of common stock outstanding such that 10,000,000 shares of common stock were issued and outstanding.</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1, 2011, the Company completed a 1.7633-for-one stock split which resulted in 17,633,117 shares of common stock issued and outstanding on such date, Holdings was dissolved and the 17,633,117 shares of common stock of Acadia Healthcare Company, Inc. were distributed to the members of Holdings, consisting of Waud Capital Partners or its affiliates and certain members of Acadia management, in accordance with their respective ownership interests. Additionally, on November 1, 2011, in connection with our acquisition of PHC, 4,891,667 shares of common stock of Acadia Healthcare Company, Inc. were issued to the PHC stockholders. The shares issued to the PHC stockholders were registered with the Securities and Exchange Commission and began trading on the NASDAQ Global Market exchange on November 1, 2011.</w:t>
      </w:r>
    </w:p>
    <w:p>
      <w:pPr>
        <w:spacing w:after="0" w:line="12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December 20, 2011, we completed the offering of 8,333,333 shares of our common stock at a price of $7.50 per share and an additional 1,249,999 shares of our common stock at the price of $7.0875 per share pursuant to the over-allotment option that was granted by us to the underwriters as part of the offering. The net proceeds to us from the sale of the shares, after deducting the underwriting discount of approximately $3.8 million and additional offering-related expenses of approximately $0.9 million, were approximately $67.2 million. The net offering proceeds were used to partially fund the acquisition of the Haven Facilities completed on March 1,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980" w:firstLine="8"/>
        <w:spacing w:after="0" w:line="417" w:lineRule="auto"/>
        <w:tabs>
          <w:tab w:leader="none" w:pos="176"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Equity-Based Compensation </w:t>
      </w:r>
      <w:r>
        <w:rPr>
          <w:rFonts w:ascii="Arial" w:cs="Arial" w:eastAsia="Arial" w:hAnsi="Arial"/>
          <w:sz w:val="15"/>
          <w:szCs w:val="15"/>
          <w:b w:val="1"/>
          <w:bCs w:val="1"/>
          <w:i w:val="1"/>
          <w:iCs w:val="1"/>
          <w:color w:val="auto"/>
        </w:rPr>
        <w:t>Holdings’ Equity Incentive Units</w:t>
      </w:r>
    </w:p>
    <w:p>
      <w:pPr>
        <w:spacing w:after="0" w:line="1" w:lineRule="exact"/>
        <w:rPr>
          <w:sz w:val="20"/>
          <w:szCs w:val="20"/>
          <w:color w:val="auto"/>
        </w:rPr>
      </w:pPr>
    </w:p>
    <w:p>
      <w:pPr>
        <w:ind w:right="220" w:firstLine="456"/>
        <w:spacing w:after="0" w:line="301" w:lineRule="auto"/>
        <w:rPr>
          <w:sz w:val="20"/>
          <w:szCs w:val="20"/>
          <w:color w:val="auto"/>
        </w:rPr>
      </w:pPr>
      <w:r>
        <w:rPr>
          <w:rFonts w:ascii="Arial" w:cs="Arial" w:eastAsia="Arial" w:hAnsi="Arial"/>
          <w:sz w:val="15"/>
          <w:szCs w:val="15"/>
          <w:color w:val="auto"/>
        </w:rPr>
        <w:t>On January 4, 2010, certain members of senior management purchased 3,650 Class A Preferred Units and 3,650 Class A Common Units. The Company loaned the members of management the funds necessary to purchase these units pursuant to a three year recourse secured note bearing interest at 8% annually. Since these units contained certain repurchase provisions, they were accounted for as liability awards. The Company also issued 1,000 Class B Preferred Units and 19,000 Class B Common Units to senior management which only vest upon the occurrence of a certain qualified change in control. Accordingly, at December 31, 2010 none of the Class B Preferred Units and none of the Class B Common Units held by management were vested. The fair value of management’s Class A Preferred Units and Class A Common Units at December 31, 2010 was approximately $0.6 million. The fair value of management’s Class B Preferred Units and Class B Common Units at December 31, 2010 was approximately $5.9 million. There were no cancellations and no forfeitures on:</w:t>
      </w:r>
    </w:p>
    <w:p>
      <w:pPr>
        <w:spacing w:after="0" w:line="5" w:lineRule="exact"/>
        <w:rPr>
          <w:sz w:val="20"/>
          <w:szCs w:val="20"/>
          <w:color w:val="auto"/>
        </w:rPr>
      </w:pPr>
    </w:p>
    <w:p>
      <w:pPr>
        <w:ind w:right="220" w:firstLine="8"/>
        <w:spacing w:after="0" w:line="300" w:lineRule="auto"/>
        <w:tabs>
          <w:tab w:leader="none" w:pos="249"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Class A Preferred Units; (2) the Class A Common Units; (3) the Class B Preferred Units; and (4) the Class B Common Units. On April 1, 2011, in connection with the acquisition of YFCS, the vesting of the Class B Preferred Units and Class B Common Units was accelerated. The Class A Preferred Units, Class A Common Units, Class B Preferred Units, and Class B Common Units were exchanged for 5,650 new Class A units, 5,650 new Class B units, and</w:t>
      </w:r>
    </w:p>
    <w:p>
      <w:pPr>
        <w:spacing w:after="0" w:line="1" w:lineRule="exact"/>
        <w:rPr>
          <w:rFonts w:ascii="Arial" w:cs="Arial" w:eastAsia="Arial" w:hAnsi="Arial"/>
          <w:sz w:val="15"/>
          <w:szCs w:val="15"/>
          <w:color w:val="auto"/>
        </w:rPr>
      </w:pPr>
    </w:p>
    <w:p>
      <w:pPr>
        <w:ind w:right="40"/>
        <w:spacing w:after="0" w:line="254" w:lineRule="auto"/>
        <w:rPr>
          <w:rFonts w:ascii="Arial" w:cs="Arial" w:eastAsia="Arial" w:hAnsi="Arial"/>
          <w:sz w:val="15"/>
          <w:szCs w:val="15"/>
          <w:color w:val="auto"/>
        </w:rPr>
      </w:pPr>
      <w:r>
        <w:rPr>
          <w:rFonts w:ascii="Arial" w:cs="Arial" w:eastAsia="Arial" w:hAnsi="Arial"/>
          <w:sz w:val="18"/>
          <w:szCs w:val="18"/>
          <w:color w:val="auto"/>
        </w:rPr>
        <w:t>$0.9 million in cash. As a result of the modification of the awards to accelerate the vesting, the Company recognized approximately $6.1 million of equity-based compensation expense on April 1, 2011. The fair value of the units and the recognized compensation expense were determined based on approximately $36.0 million of contemporaneous cash investments from Waud Capital Partners or its affiliates and approximately $16.5 million of contemporaneous cash investments from new members of Acadia’s management on April 1, 2011.</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April 1, 2011, Holdings issued Class C Units and Class D Units (the “Management Incentive Units”) to certain members of management. Under the terms of the limited liability company agreement, the Management Incentive Units do not have value until certain performance targets are met. The Class C Units vest evenly over a five-year period on each of the first five anniversaries from the date of issuance and the Class D Units were immediately vested at the date of issuance. The Management Incentive Units contain certain repurchase provisions requiring such to be accounted for as liability awards. The estimated fair value of the Management Incentive Units of $13.7 million was recorded as equity-based compensation expense during the second quarter ended June 30, 2011 and was based on various factors, including the value implied by the PHC acquisition and analyses of relevant EBITDA multiples as supported by guideline companies. We recorded an adjustment of $2.8 million during the fourth quarter ended December 31, 2011 to reduce the cumulative equity-based compensation expense related to the Management Incentive Units to $10.9 million based on the fair value of the common stock and cash distributed to the unitholders upon the dissolution of Holdings on November 1, 2011.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maximum of 2,700,000 shares of our common stock are authorized for grant as stock options, restricted stock or other share-based compensation under the Acadia Healthcare Company, Inc. 2011 Incentive Compensation Plan (the “Equity Incentive Plan”). Under the Equity Incentive Plan, stock options may be granted for terms of up to ten years. Grants to employees generally vest in annual increments of 25% each year, commencing one year after the date of grant. The exercise prices of stock options are equal to the most recent closing sales prices of our common stock on the date of grant.</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November 1, 2011, pursuant to the terms of our merger agreement with PHC, we issued 302,446 stock options and 90,750 stock warrants as replacements of PHC stock options and warrants outstanding on the acquisition date. Of the PHC replacement awards, 281,604 stock options and all 90,750 stock warrants were vested as of the acquisition date and 20,842 of the stock options will vest over the remaining requisite service period.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during 2011 is as follows (number of options and aggregate intrinsic value in thousands):</w:t>
      </w:r>
    </w:p>
    <w:p>
      <w:pPr>
        <w:spacing w:after="0" w:line="2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13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Weighted</w:t>
            </w: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4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3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4"/>
              </w:rPr>
              <w:t>Average</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Options</w:t>
            </w:r>
          </w:p>
        </w:tc>
        <w:tc>
          <w:tcPr>
            <w:tcW w:w="14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3"/>
              </w:rPr>
              <w:t>Exercise Price</w:t>
            </w: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Term (in years)</w:t>
            </w:r>
          </w:p>
        </w:tc>
        <w:tc>
          <w:tcPr>
            <w:tcW w:w="12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December 31, 2010</w:t>
            </w:r>
          </w:p>
        </w:tc>
        <w:tc>
          <w:tcPr>
            <w:tcW w:w="1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Options granted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54,500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9.40</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in connection with acquisition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302,446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7.36</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Options exercised</w:t>
            </w:r>
          </w:p>
        </w:tc>
        <w:tc>
          <w:tcPr>
            <w:tcW w:w="2480" w:type="dxa"/>
            <w:vAlign w:val="bottom"/>
            <w:gridSpan w:val="3"/>
          </w:tcPr>
          <w:p>
            <w:pPr>
              <w:jc w:val="right"/>
              <w:ind w:right="600"/>
              <w:spacing w:after="0"/>
              <w:rPr>
                <w:sz w:val="20"/>
                <w:szCs w:val="20"/>
                <w:color w:val="auto"/>
              </w:rPr>
            </w:pPr>
            <w:r>
              <w:rPr>
                <w:rFonts w:ascii="Arial" w:cs="Arial" w:eastAsia="Arial" w:hAnsi="Arial"/>
                <w:sz w:val="18"/>
                <w:szCs w:val="18"/>
                <w:color w:val="auto"/>
              </w:rPr>
              <w:t>(7,813)</w:t>
            </w:r>
          </w:p>
        </w:tc>
        <w:tc>
          <w:tcPr>
            <w:tcW w:w="12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4.86</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N/A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7.03</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Options outstanding at December 31, 2011</w:t>
            </w:r>
          </w:p>
        </w:tc>
        <w:tc>
          <w:tcPr>
            <w:tcW w:w="1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346,821</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7.74</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2011</w:t>
            </w:r>
          </w:p>
        </w:tc>
        <w:tc>
          <w:tcPr>
            <w:tcW w:w="1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279,763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7.54</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140" w:type="dxa"/>
            <w:vAlign w:val="bottom"/>
          </w:tcPr>
          <w:p>
            <w:pPr>
              <w:spacing w:after="0"/>
              <w:rPr>
                <w:sz w:val="24"/>
                <w:szCs w:val="24"/>
                <w:color w:val="auto"/>
              </w:rPr>
            </w:pPr>
          </w:p>
        </w:tc>
        <w:tc>
          <w:tcPr>
            <w:tcW w:w="2480" w:type="dxa"/>
            <w:vAlign w:val="bottom"/>
            <w:gridSpan w:val="3"/>
          </w:tcPr>
          <w:p>
            <w:pPr>
              <w:jc w:val="right"/>
              <w:ind w:right="1200"/>
              <w:spacing w:after="0"/>
              <w:rPr>
                <w:sz w:val="20"/>
                <w:szCs w:val="20"/>
                <w:color w:val="auto"/>
              </w:rPr>
            </w:pPr>
            <w:r>
              <w:rPr>
                <w:rFonts w:ascii="Arial" w:cs="Arial" w:eastAsia="Arial" w:hAnsi="Arial"/>
                <w:sz w:val="18"/>
                <w:szCs w:val="18"/>
                <w:color w:val="auto"/>
              </w:rPr>
              <w:t>F-19</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activity during 2011 is as follows:</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Grant-Date</w:t>
            </w: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2010</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center"/>
              <w:ind w:left="218"/>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138,320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center"/>
              <w:ind w:left="258"/>
              <w:spacing w:after="0"/>
              <w:rPr>
                <w:sz w:val="20"/>
                <w:szCs w:val="20"/>
                <w:color w:val="auto"/>
              </w:rPr>
            </w:pPr>
            <w:r>
              <w:rPr>
                <w:rFonts w:ascii="Arial" w:cs="Arial" w:eastAsia="Arial" w:hAnsi="Arial"/>
                <w:sz w:val="18"/>
                <w:szCs w:val="18"/>
                <w:color w:val="auto"/>
                <w:w w:val="91"/>
              </w:rPr>
              <w:t>9.40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left="118"/>
              <w:spacing w:after="0"/>
              <w:rPr>
                <w:sz w:val="20"/>
                <w:szCs w:val="20"/>
                <w:color w:val="auto"/>
              </w:rPr>
            </w:pPr>
            <w:r>
              <w:rPr>
                <w:rFonts w:ascii="Arial" w:cs="Arial" w:eastAsia="Arial" w:hAnsi="Arial"/>
                <w:sz w:val="18"/>
                <w:szCs w:val="18"/>
                <w:color w:val="auto"/>
                <w:w w:val="88"/>
              </w:rPr>
              <w:t>—</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Vested</w:t>
            </w: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left="118"/>
              <w:spacing w:after="0"/>
              <w:rPr>
                <w:sz w:val="20"/>
                <w:szCs w:val="20"/>
                <w:color w:val="auto"/>
              </w:rPr>
            </w:pPr>
            <w:r>
              <w:rPr>
                <w:rFonts w:ascii="Arial" w:cs="Arial" w:eastAsia="Arial" w:hAnsi="Arial"/>
                <w:sz w:val="18"/>
                <w:szCs w:val="18"/>
                <w:color w:val="auto"/>
                <w:w w:val="88"/>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2011</w:t>
            </w:r>
          </w:p>
        </w:tc>
        <w:tc>
          <w:tcPr>
            <w:tcW w:w="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138,320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258"/>
              <w:spacing w:after="0"/>
              <w:rPr>
                <w:sz w:val="20"/>
                <w:szCs w:val="20"/>
                <w:color w:val="auto"/>
              </w:rPr>
            </w:pPr>
            <w:r>
              <w:rPr>
                <w:rFonts w:ascii="Arial" w:cs="Arial" w:eastAsia="Arial" w:hAnsi="Arial"/>
                <w:sz w:val="18"/>
                <w:szCs w:val="18"/>
                <w:color w:val="auto"/>
                <w:w w:val="91"/>
              </w:rPr>
              <w:t>9.40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grant-date fair value of our stock options is estimated using the Black-Scholes option pricing model. We recognize expense on all share-based awards on a straight-line basis over the requisite service period of the entire award. The following table summarizes the grant-date fair value of options and the assumptions we used to develop the fair value estimates for options granted during the year ended December 31, 2011:</w:t>
      </w:r>
    </w:p>
    <w:p>
      <w:pPr>
        <w:spacing w:after="0" w:line="18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3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210"/>
        </w:trPr>
        <w:tc>
          <w:tcPr>
            <w:tcW w:w="5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grant-date fair value of options</w:t>
            </w:r>
          </w:p>
        </w:tc>
        <w:tc>
          <w:tcPr>
            <w:tcW w:w="1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3.98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bl>
    <w:p>
      <w:pPr>
        <w:spacing w:after="0" w:line="15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estimate of expected volatility for stock options granted in 2011 is based upon the volatility of guideline companies given the lack of sufficient historical trading experience of the Company’s common stock. The risk-free interest rate is the approximate yield on United States Treasury Strips having a life equal to the expected option life on the date of grant. The expected life is an estimate of the number of years an option will be held before it is exercised.</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of December 31, 2011, the unrecognized compensation cost related to nonvested awards was $1.2 million, which is expected to be recognized over a weighted-average period of approximately 1.1 years. The total intrinsic value of options exercised during 2011 was less than $0.1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Acadia was formed as a limited liability company (LLC) that is taxed as a partnership for federal and state income tax purposes. Some of Acadia’s subsidiaries are organized as LLCs and others as corporations. Prior to April 1, 2011, the Company and its subsidiary LLCs were taxed as flow-through entities and as such, the results of operations of the Company related to the flow-through entities were included in the income tax returns of its members. On April 1, 2011, the Company and its wholly-owned LLC subsidiaries elected to be taxed as a corporation for federal and state income tax purposes, and, therefore, henceforth income taxes are the obligation of the Company.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Management is not aware of any course of action or series of events that have occurred that might adversely affect the Company’s flow-through tax status for periods prior to April 1,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made tax payments of $2.6 million for the year ended December 31, 2011.</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benefit from income taxes for continuing operations of $5.3 million for the year ended December 31, 2011, consists of (a) current and deferred tax expense on the respective periods’ operating results, (b) the recognition of deferred tax expense attributable to the change in federal and state tax status of the Company and its wholly-owned LLC subsidiaries, in accordance with ASC 740 on April 1, 2011 and (c) the effect of non-deductible items, including equity-based compensation expense and certain transaction-related expenses. Any interest and penalties incurred in connection with income taxes are recorded as a component of the provision for income taxes.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provision for income taxes from continuing operations are as follows (in thousands):</w:t>
      </w: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Year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514</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78"/>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Total current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622</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420"/>
              <w:spacing w:after="0"/>
              <w:rPr>
                <w:sz w:val="20"/>
                <w:szCs w:val="20"/>
                <w:color w:val="auto"/>
              </w:rPr>
            </w:pPr>
            <w:r>
              <w:rPr>
                <w:rFonts w:ascii="Arial" w:cs="Arial" w:eastAsia="Arial" w:hAnsi="Arial"/>
                <w:sz w:val="16"/>
                <w:szCs w:val="16"/>
                <w:color w:val="auto"/>
                <w:w w:val="78"/>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(5,033)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 deferred</w:t>
            </w: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(6,616)</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6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420"/>
              <w:spacing w:after="0"/>
              <w:rPr>
                <w:sz w:val="20"/>
                <w:szCs w:val="20"/>
                <w:color w:val="auto"/>
              </w:rPr>
            </w:pPr>
            <w:r>
              <w:rPr>
                <w:rFonts w:ascii="Arial" w:cs="Arial" w:eastAsia="Arial" w:hAnsi="Arial"/>
                <w:sz w:val="16"/>
                <w:szCs w:val="16"/>
                <w:color w:val="auto"/>
                <w:w w:val="78"/>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the income taxes associated with continuing operations and discontinued operations as reflected in the accompanying consolidated statements of operations (in thousands):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4"/>
              </w:rPr>
              <w:t>Year ended 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Continuing operations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
        </w:trPr>
        <w:tc>
          <w:tcPr>
            <w:tcW w:w="4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5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income tax rate from continuing operations differed from the federal statutory rate for the periods presented as follows:</w:t>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Year ended 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at federal statutory rate</w:t>
            </w:r>
          </w:p>
        </w:tc>
        <w:tc>
          <w:tcPr>
            <w:tcW w:w="2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35.0%</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Income tax at state statutory rate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8"/>
              </w:rPr>
              <w:t>Non-deductible equity-based compensation expense</w:t>
            </w:r>
          </w:p>
        </w:tc>
        <w:tc>
          <w:tcPr>
            <w:tcW w:w="33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(15.9)</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Non-deductible transaction-related expenses</w:t>
            </w:r>
          </w:p>
        </w:tc>
        <w:tc>
          <w:tcPr>
            <w:tcW w:w="3300" w:type="dxa"/>
            <w:vAlign w:val="bottom"/>
            <w:gridSpan w:val="3"/>
          </w:tcPr>
          <w:p>
            <w:pPr>
              <w:jc w:val="right"/>
              <w:ind w:right="372"/>
              <w:spacing w:after="0"/>
              <w:rPr>
                <w:sz w:val="20"/>
                <w:szCs w:val="20"/>
                <w:color w:val="auto"/>
              </w:rPr>
            </w:pPr>
            <w:r>
              <w:rPr>
                <w:rFonts w:ascii="Arial" w:cs="Arial" w:eastAsia="Arial" w:hAnsi="Arial"/>
                <w:sz w:val="18"/>
                <w:szCs w:val="18"/>
                <w:color w:val="auto"/>
              </w:rPr>
              <w:t>(7.2)</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3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(0.8)</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Change in tax status of an enterprise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Flow-through to members of Holdings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1200" w:type="dxa"/>
            <w:vAlign w:val="bottom"/>
            <w:gridSpan w:val="2"/>
          </w:tcPr>
          <w:p>
            <w:pPr>
              <w:jc w:val="right"/>
              <w:ind w:right="372"/>
              <w:spacing w:after="0"/>
              <w:rPr>
                <w:sz w:val="20"/>
                <w:szCs w:val="20"/>
                <w:color w:val="auto"/>
              </w:rPr>
            </w:pPr>
            <w:r>
              <w:rPr>
                <w:rFonts w:ascii="Arial" w:cs="Arial" w:eastAsia="Arial" w:hAnsi="Arial"/>
                <w:sz w:val="18"/>
                <w:szCs w:val="18"/>
                <w:color w:val="auto"/>
              </w:rPr>
              <w:t>(1.4)</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r>
      <w:tr>
        <w:trPr>
          <w:trHeight w:val="27"/>
        </w:trPr>
        <w:tc>
          <w:tcPr>
            <w:tcW w:w="41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13.7%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4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7"/>
        </w:trPr>
        <w:tc>
          <w:tcPr>
            <w:tcW w:w="4140" w:type="dxa"/>
            <w:vAlign w:val="bottom"/>
          </w:tcPr>
          <w:p>
            <w:pPr>
              <w:spacing w:after="0"/>
              <w:rPr>
                <w:sz w:val="24"/>
                <w:szCs w:val="24"/>
                <w:color w:val="auto"/>
              </w:rPr>
            </w:pPr>
          </w:p>
        </w:tc>
        <w:tc>
          <w:tcPr>
            <w:tcW w:w="3300" w:type="dxa"/>
            <w:vAlign w:val="bottom"/>
            <w:gridSpan w:val="3"/>
          </w:tcPr>
          <w:p>
            <w:pPr>
              <w:jc w:val="right"/>
              <w:ind w:right="2412"/>
              <w:spacing w:after="0"/>
              <w:rPr>
                <w:sz w:val="20"/>
                <w:szCs w:val="20"/>
                <w:color w:val="auto"/>
              </w:rPr>
            </w:pPr>
            <w:r>
              <w:rPr>
                <w:rFonts w:ascii="Arial" w:cs="Arial" w:eastAsia="Arial" w:hAnsi="Arial"/>
                <w:sz w:val="18"/>
                <w:szCs w:val="18"/>
                <w:color w:val="auto"/>
              </w:rPr>
              <w:t>F-21</w:t>
            </w: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760"/>
          </w:cols>
          <w:pgMar w:left="240" w:top="459" w:right="8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and income tax purposes. Current deferred tax assets are included in other current assets and non-current deferred tax assets are included in other assets on the Company’s consolidated balance sheets. Deferred tax assets and liabilities of the Company at December 31, 2011 and December 31, 2010 are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operating losses and tax credit carryforwards—federal and state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items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Bad debt allowance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3,433</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severance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1,731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17,059</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 basis difference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Prepaid items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(267)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gridSpan w:val="2"/>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12,245</w:t>
            </w:r>
          </w:p>
        </w:tc>
        <w:tc>
          <w:tcPr>
            <w:tcW w:w="400" w:type="dxa"/>
            <w:vAlign w:val="bottom"/>
          </w:tcPr>
          <w:p>
            <w:pPr>
              <w:spacing w:after="0"/>
              <w:rPr>
                <w:sz w:val="19"/>
                <w:szCs w:val="19"/>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Company’s federal net operating loss carry forwards as of December 31, 2011 and 2010 are approximately $21.4 million and $3.3 million, respectively. The Company’s state net operating loss carry forwards as of December 31, 2011 and 2010 are approximately $45.4 million and $2.8 million, respectively. The operating losses will expire between 2022 and 2028. Due to changes in ownership control, net operating losses acquired are limited to offset future income pursuant to Internal Revenue Code Section 382.</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provisions of the guidance for uncertain tax positions allow for the classification of interest on an underpayment of income taxes, when the tax law required interest to be paid, and penalties, when a tax position does not meet the minimum statutory threshold to avoid payment of penalties, in income taxes, interest expense or another appropriate expense classification based on the accounting policy election of the company. The Company has elected to classify interest and penalties related to the unrecognized tax benefits as a component of income tax expense. The Company did not recognize any interest and penalties relative to uncertain tax positions during the years ended December 31, 2011 or 2010.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income tax benefits is as follows (in thousands):</w:t>
      </w:r>
    </w:p>
    <w:p>
      <w:pPr>
        <w:spacing w:after="0" w:line="26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1,050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Additions based on tax positions related to the current year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w w:val="79"/>
              </w:rPr>
              <w:t>933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for tax positions of prior years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w w:val="99"/>
              </w:rPr>
              <w:t>Reductions as a result of the lapse of applicable statutes of limitations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Reductions for tax positions of prior years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Settlements</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1,050</w:t>
            </w:r>
          </w:p>
        </w:tc>
        <w:tc>
          <w:tcPr>
            <w:tcW w:w="5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1,050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None of the uncertain tax positions would affect the Company’s effective income tax rate if recognized. The Company has unused U.S. federal and state NOLs for years 2002 through 2007. As such, these years remain subject to examination by the relevant tax authorities.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carrying amounts reported for cash and cash equivalents, accounts receivable, other current assets, accounts payable and other current liabilities approximate fair value because of the short-term maturity of these instruments.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financial instruments as of December 31, 2011 and 2010, which are recorded at fair value (in thousands):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w:t>
            </w:r>
          </w:p>
        </w:tc>
      </w:t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5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2011</w:t>
            </w: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61,118</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 at</w:t>
            </w:r>
          </w:p>
        </w:tc>
      </w:t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54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3</w:t>
            </w:r>
          </w:p>
        </w:tc>
        <w:tc>
          <w:tcPr>
            <w:tcW w:w="5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8,614</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is obligated under certain operating leases to rent space for its facilities and other office space. The original terms of the leases typically range from five to ten years, with optional renewal periods.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Aggregate minimum lease payments under non-cancelable operating leases with original or remaining lease terms in excess of one year are as follows (in thousands):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60" w:type="dxa"/>
            <w:vAlign w:val="bottom"/>
            <w:gridSpan w:val="4"/>
          </w:tcPr>
          <w:p>
            <w:pPr>
              <w:ind w:left="2360"/>
              <w:spacing w:after="0"/>
              <w:rPr>
                <w:sz w:val="20"/>
                <w:szCs w:val="20"/>
                <w:color w:val="auto"/>
              </w:rPr>
            </w:pPr>
            <w:r>
              <w:rPr>
                <w:rFonts w:ascii="Arial" w:cs="Arial" w:eastAsia="Arial" w:hAnsi="Arial"/>
                <w:sz w:val="14"/>
                <w:szCs w:val="14"/>
                <w:b w:val="1"/>
                <w:bCs w:val="1"/>
                <w:color w:val="auto"/>
              </w:rPr>
              <w:t>Operating</w:t>
            </w: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2013</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2015</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Thereafter</w:t>
            </w:r>
          </w:p>
        </w:tc>
        <w:tc>
          <w:tcPr>
            <w:tcW w:w="2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rental obligations</w:t>
            </w:r>
          </w:p>
        </w:tc>
        <w:tc>
          <w:tcPr>
            <w:tcW w:w="246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28,945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years ended 2011, 2010 and 2009, rent expense was approximately $5.6 million, $1.3 million and $0.9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is, from time to time, subject to various claims and legal actions that arise in the ordinary course of our business, including claims for damages for personal injuries, medical malpractice, breach of contract, tort and employment related claims. In these actions, plaintiffs request a variety of damages, including, in some instances, punitive and other types of damages that may not be covered by insurance. In the opinion of management, the Company is not currently a party to any proceeding that would individually or in the aggregate have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maintains a qualified defined contribution 401(k) plan covering substantially all of its employees. The Company may, at its discretion, make contributions to the plan. For the years ended December 31, 2011, 2010 and 2009, the Company contributed approximately $0.2 million, $0.1 million and $0.1 million, respectively, to the 401(k)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Professional Services Agreement</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Acadia and Waud Capital Partners were parties to a professional services agreement dated April 1, 2011, pursuant to which Waud Capital Partners rendered general advisory and management services with respect to financial and operating matters, including advice on corporate strategy, budgeting of future corporate investment, acquisition and divestiture strategy and debt and equity financing. Effective November 1, 2011, Waud Capital Partners and Acadia terminated the professional services agreement and Acadia paid a fee of $20.6 million to Waud Capital Partners pursuant to the terms of the related termination agreement.</w:t>
      </w:r>
    </w:p>
    <w:p>
      <w:pPr>
        <w:spacing w:after="0" w:line="9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parties entered into the professional services agreement in connection with entering into the second amended and restated limited liability company agreement of Acadia Holdings on April 1, 2011 (the “Acadia Holdings LLC Agreement”), which amended and restated Acadia Holdings’ prior limited liability company agreement dated August 31, 2009 (the “Prior LLC Agreement”). Pursuant to the professional services agreement, Acadia was obligated to pay the following fees to Waud Capital Partners: (i) upon consummation of any credit facility (including any amendments to existing credit facilities which have the effect of increasing the committed amount under such facility, but excluding any credit facility entered into after April 1, 2011 with any affiliate of Waud Capital Partners if such affiliate is receiving a closing or similar fee in connection with such facility), financing fees in cash in an aggregate amount to equal 1.5% of the aggregate principal amount of all such loans (or 1.0% of the aggregate amount of all public bond issuances); (ii) advisory fees in connection with the negotiation and consummation of any acquisitions and/or dispositions by Acadia or any of its subsidiaries in an aggregate amount equal to 2.0% of the gross purchase price of any such acquisition or disposition (including any debt or other liabilities assumed or otherwise included in the transaction(s)), as compensation for the negotiation, arranging and structuring services Waud Capital Partners has agreed to provide Acadia with respect thereto; and (iii) upon consummation of a sale of Acadia (as defined), a sale fee in cash in an amount equal to 1.5% of the enterprise value assigned to Acadia Holdings and its subsidiaries in connection with or implied by such sale of Acadia, as compensation for the negotiation, structuring and other services Waud Capital Partners has agreed to provide Acadia with respect to such sale of Acadia.</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professional services agreement, Waud Capital Partners charged Acadia a management fee for advisory and management services of $2.0 million per year. Management fees for the period from April 1, 2011 to the termination of the professional services agreement on November 1, 2011 were approximately $1.3 million.</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professional services agreement also provided for the reimbursement of Waud Capital Partners for its reasonable travel expenses, legal fees and other out-of-pocket fees and expenses in connection with activities undertaken pursuant to such agreement. Additionally, Waud Capital Partners and its affiliates (other than Acadia and its subsidiaries) were indemnified for liabilities incurred in connection with their role under the professional services agreement, other than for liabilities resulting from their gross negligence or willful misconduct, as determined by a court of competent jurisdiction in a final non-appealable order.</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connection with entry into the professional services agreement, the amendment and restatement of the Prior LLC Agreement and the consummation of Acadia’s acquisition of YFCS, Waud Capital Partners received $6.15 million in fees from Acadia on April 1, 2011, which consisted of a $3.6 million transaction fee, a $450,000 commitment fee and a $2.1 million financing fee.</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Prior to entry into the professional services agreement, Waud Capital Partners was entitled to receive the following fees from Acadia Holdings pursuant to the Prior LLC Agreement: (i) an annual advisory fee, payable on a semi-annual basis, as compensation for the financial and management consulting services Waud Capital Partners had agreed to provide Acadia Holdings and its subsidiaries with respect to their business and financial management generally and its financial affairs; and (ii) upon consummation of any credit facility (including amendments to existing credit facilities which have the effect of increasing the amount to be drawn under such facility by Acadia Holdings or its subsidiaries, but excluding any credit facility entered into after December 30, 2005 with any affiliate of Waud Capital Partners if such affiliate is receiving a closing or similar fee in connection with such facility) entered into by Acadia Holdings or its subsidiaries after December 30, 2005, financing fees in an aggregate amount to equal 2.0% of the aggregate principal amount of all such loans (or 1.0% of the aggregate amount of all public bond issuances), as compensation for the negotiation, arranging and structuring services Waud Capital Partners had agreed to provide to Acadia Holdings or its subsidiaries. Waud Capital Partners was also entitled to receive an annual advisory fee, payable semi-annually, under the Prior LLC Agreement (and its predecessor). Such fee was initially set at $350,000 per annum, subject to annual increases of $50,000, up to $600,000, effective January 1st of each year beginning January 1, 2007. Waud Capital Partners deferred the payment of all such management fees in accordance with the terms of the Prior LLC Agreement. On April 1, 2011 in connection with entry into the Acadia Holdings LLC Agreement, Waud Capital Partners received approximately $7.1 million of Acadia Holdings equity in exchange for fees it had previously deferred in accordance with the Prior LLC Agreement.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True Partners Engagement Agreement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Acadia and True Partners Consulting LLC (“True Partners”), an affiliate of Waud Capital Partners, are parties to an engagement agreement dated January 7, 2011, pursuant to which True Partners renders tax consulting and compliance services to Acadia and its affiliated entities. As of December 31, 2011, Waud Capital Partners and its affiliates indirectly owned a majority of the True Partners membership interests. The engagement agreement will automatically terminate upon the completion of the services to be rendered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9">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True Partners thereunder. Either party may terminate the engagement agreement upon at least 30 days’ prior written notice to the other party. Upon such termination, True Partners shall be entitled to receive payment for services performed and expenses incurred through the date of termination. Pursuant to the engagement agreement, Acadia pays certain fixed fees to True Partners for various tax consulting and compliance services, which are billed monthly as incurred. Acadia paid $0.2 million, $0.1 million and $0.1 million to True Partners for such services in 2011, 2010 and 2009, respectively. In the event of a large transaction or other activity not otherwise covered under the engagement agreement for which True Partners provide services to Acadia, True Partners will provide consulting services to Acadia at its standard hourly rates, plus reimbursement of out-of-pocket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Information (Unaudited)</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following table presents summarized unaudited quarterly results of operations for the years ended December 31, 2011 and 2010. Management believes that all necessary adjustments have been included in the amounts stated below for a fair presentation of the results of operations for the periods presented when read in conjunction with the Company’s consolidated financial statements for the years ended December 31, 2011 and 2010. Results of operations for a particular quarter are not necessarily indicative of results of operations for an annual period and are not predictive of future periods (in thousands except per share amounts).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1"/>
              </w:rPr>
              <w:t>Quarters Ended</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460" w:type="dxa"/>
            <w:vAlign w:val="bottom"/>
            <w:gridSpan w:val="3"/>
          </w:tcPr>
          <w:p>
            <w:pPr>
              <w:jc w:val="right"/>
              <w:ind w:right="832"/>
              <w:spacing w:after="0" w:line="142" w:lineRule="exact"/>
              <w:rPr>
                <w:sz w:val="20"/>
                <w:szCs w:val="20"/>
                <w:color w:val="auto"/>
              </w:rPr>
            </w:pPr>
            <w:r>
              <w:rPr>
                <w:rFonts w:ascii="Arial" w:cs="Arial" w:eastAsia="Arial" w:hAnsi="Arial"/>
                <w:sz w:val="14"/>
                <w:szCs w:val="14"/>
                <w:b w:val="1"/>
                <w:bCs w:val="1"/>
                <w:color w:val="auto"/>
                <w:w w:val="96"/>
              </w:rPr>
              <w:t>June 30,</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3"/>
              </w:rPr>
              <w:t>December 31,</w:t>
            </w:r>
          </w:p>
        </w:tc>
        <w:tc>
          <w:tcPr>
            <w:tcW w:w="360" w:type="dxa"/>
            <w:vAlign w:val="bottom"/>
          </w:tcPr>
          <w:p>
            <w:pPr>
              <w:spacing w:after="0"/>
              <w:rPr>
                <w:sz w:val="12"/>
                <w:szCs w:val="12"/>
                <w:color w:val="auto"/>
              </w:rPr>
            </w:pPr>
          </w:p>
        </w:tc>
      </w:tr>
      <w:tr>
        <w:trPr>
          <w:trHeight w:val="196"/>
        </w:trPr>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16,846</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63,575</w:t>
            </w:r>
          </w:p>
        </w:tc>
        <w:tc>
          <w:tcPr>
            <w:tcW w:w="8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60,722</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75,355</w:t>
            </w:r>
          </w:p>
        </w:tc>
        <w:tc>
          <w:tcPr>
            <w:tcW w:w="3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continuing operations before income taxes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89"/>
              </w:rPr>
              <w:t>(18,946) (1)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(23,471) (2)</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32"/>
              <w:spacing w:after="0"/>
              <w:rPr>
                <w:sz w:val="20"/>
                <w:szCs w:val="20"/>
                <w:color w:val="auto"/>
              </w:rPr>
            </w:pPr>
            <w:r>
              <w:rPr>
                <w:rFonts w:ascii="Arial" w:cs="Arial" w:eastAsia="Arial" w:hAnsi="Arial"/>
                <w:sz w:val="18"/>
                <w:szCs w:val="18"/>
                <w:color w:val="auto"/>
                <w:w w:val="89"/>
              </w:rPr>
              <w:t>(21,857) (1)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3,123</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(15,909) (2)</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(0.72)</w:t>
            </w: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Year Ended December 31, 2010: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15,328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15,958</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15,255</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15,562</w:t>
            </w:r>
          </w:p>
        </w:tc>
        <w:tc>
          <w:tcPr>
            <w:tcW w:w="36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1,911</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2,400</w:t>
            </w:r>
          </w:p>
        </w:tc>
        <w:tc>
          <w:tcPr>
            <w:tcW w:w="8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1,821</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60" w:type="dxa"/>
            <w:vAlign w:val="bottom"/>
            <w:shd w:val="clear" w:color="auto" w:fill="CCEEFF"/>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0.15</w:t>
            </w:r>
          </w:p>
        </w:tc>
        <w:tc>
          <w:tcPr>
            <w:tcW w:w="8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0.09</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360" w:type="dxa"/>
            <w:vAlign w:val="bottom"/>
          </w:tcPr>
          <w:p>
            <w:pPr>
              <w:spacing w:after="0"/>
              <w:rPr>
                <w:sz w:val="19"/>
                <w:szCs w:val="19"/>
                <w:color w:val="auto"/>
              </w:rPr>
            </w:pPr>
          </w:p>
        </w:tc>
      </w:tr>
    </w:tbl>
    <w:p>
      <w:pPr>
        <w:spacing w:after="0" w:line="66" w:lineRule="exact"/>
        <w:rPr>
          <w:sz w:val="20"/>
          <w:szCs w:val="20"/>
          <w:color w:val="auto"/>
        </w:rPr>
      </w:pPr>
    </w:p>
    <w:p>
      <w:pPr>
        <w:ind w:left="460" w:right="560" w:hanging="452"/>
        <w:spacing w:after="0" w:line="25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equity-based compensation expense of $19.8 million and transaction-related expenses related to the acquisitions of YFCS and PHC of $5.8 million.</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transaction-related expenses primarily related to the PHC acquisition of $31.0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Roman"/>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lowerLetter"/>
      <w:start w:val="2"/>
    </w:lvl>
    <w:lvl w:ilvl="1">
      <w:lvlJc w:val="left"/>
      <w:lvlText w:val="(%2)"/>
      <w:numFmt w:val="lowerRoman"/>
      <w:start w:val="13"/>
    </w:lvl>
  </w:abstractNum>
  <w:abstractNum w:abstractNumId="10">
    <w:nsid w:val="4E6AFB66"/>
    <w:multiLevelType w:val="hybridMultilevel"/>
    <w:lvl w:ilvl="0">
      <w:lvlJc w:val="left"/>
      <w:lvlText w:val="%1"/>
      <w:numFmt w:val="lowerLetter"/>
      <w:start w:val="1"/>
    </w:lvl>
    <w:lvl w:ilvl="1">
      <w:lvlJc w:val="left"/>
      <w:lvlText w:val="(%2)"/>
      <w:numFmt w:val="lowerRoman"/>
      <w:start w:val="15"/>
    </w:lvl>
  </w:abstractNum>
  <w:abstractNum w:abstractNumId="11">
    <w:nsid w:val="25E45D32"/>
    <w:multiLevelType w:val="hybridMultilevel"/>
    <w:lvl w:ilvl="0">
      <w:lvlJc w:val="left"/>
      <w:lvlText w:val="%1)"/>
      <w:numFmt w:val="lowerLetter"/>
      <w:start w:val="3"/>
    </w:lvl>
    <w:lvl w:ilvl="1">
      <w:lvlJc w:val="left"/>
      <w:lvlText w:val="%2"/>
      <w:numFmt w:val="lowerRoman"/>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9"/>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2019-12-09T20:27:38Z</dcterms:created>
  <dcterms:modified xsi:type="dcterms:W3CDTF">2019-12-09T20:27:38Z</dcterms:modified>
</cp:coreProperties>
</file>