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45"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229870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55"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June 2, 2023 (June 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216535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67"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Acadia Healthcare Company,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tbl>
      <w:tblPr>
        <w:tblLayout w:type="fixed"/>
        <w:tblInd w:w="1024" w:type="dxa"/>
        <w:tblCellMar>
          <w:top w:w="0" w:type="dxa"/>
          <w:left w:w="0" w:type="dxa"/>
          <w:bottom w:w="0" w:type="dxa"/>
          <w:right w:w="0" w:type="dxa"/>
        </w:tblCellMar>
      </w:tblPr>
      <w:tr>
        <w:trPr>
          <w:trHeight w:val="212"/>
        </w:trPr>
        <w:tc>
          <w:tcPr>
            <w:tcW w:w="3580" w:type="dxa"/>
            <w:vAlign w:val="bottom"/>
          </w:tcPr>
          <w:p>
            <w:pPr>
              <w:jc w:val="center"/>
              <w:ind w:right="1799"/>
              <w:spacing w:after="0"/>
              <w:rPr>
                <w:sz w:val="20"/>
                <w:szCs w:val="20"/>
                <w:color w:val="auto"/>
              </w:rPr>
            </w:pPr>
            <w:r>
              <w:rPr>
                <w:rFonts w:ascii="Arial" w:cs="Arial" w:eastAsia="Arial" w:hAnsi="Arial"/>
                <w:sz w:val="18"/>
                <w:szCs w:val="18"/>
                <w:b w:val="1"/>
                <w:bCs w:val="1"/>
                <w:color w:val="auto"/>
                <w:w w:val="93"/>
              </w:rPr>
              <w:t>Delaware</w:t>
            </w:r>
          </w:p>
        </w:tc>
        <w:tc>
          <w:tcPr>
            <w:tcW w:w="2420" w:type="dxa"/>
            <w:vAlign w:val="bottom"/>
          </w:tcPr>
          <w:p>
            <w:pPr>
              <w:ind w:left="620"/>
              <w:spacing w:after="0"/>
              <w:rPr>
                <w:sz w:val="20"/>
                <w:szCs w:val="20"/>
                <w:color w:val="auto"/>
              </w:rPr>
            </w:pPr>
            <w:r>
              <w:rPr>
                <w:rFonts w:ascii="Arial" w:cs="Arial" w:eastAsia="Arial" w:hAnsi="Arial"/>
                <w:sz w:val="18"/>
                <w:szCs w:val="18"/>
                <w:b w:val="1"/>
                <w:bCs w:val="1"/>
                <w:color w:val="auto"/>
              </w:rPr>
              <w:t>001-35331</w:t>
            </w:r>
          </w:p>
        </w:tc>
        <w:tc>
          <w:tcPr>
            <w:tcW w:w="2800" w:type="dxa"/>
            <w:vAlign w:val="bottom"/>
          </w:tcPr>
          <w:p>
            <w:pPr>
              <w:jc w:val="center"/>
              <w:ind w:left="1581"/>
              <w:spacing w:after="0"/>
              <w:rPr>
                <w:sz w:val="20"/>
                <w:szCs w:val="20"/>
                <w:color w:val="auto"/>
              </w:rPr>
            </w:pPr>
            <w:r>
              <w:rPr>
                <w:rFonts w:ascii="Arial" w:cs="Arial" w:eastAsia="Arial" w:hAnsi="Arial"/>
                <w:sz w:val="18"/>
                <w:szCs w:val="18"/>
                <w:b w:val="1"/>
                <w:bCs w:val="1"/>
                <w:color w:val="auto"/>
                <w:w w:val="89"/>
              </w:rPr>
              <w:t>45-2492228</w:t>
            </w:r>
          </w:p>
        </w:tc>
      </w:tr>
      <w:tr>
        <w:trPr>
          <w:trHeight w:val="148"/>
        </w:trPr>
        <w:tc>
          <w:tcPr>
            <w:tcW w:w="3580" w:type="dxa"/>
            <w:vAlign w:val="bottom"/>
          </w:tcPr>
          <w:p>
            <w:pPr>
              <w:jc w:val="center"/>
              <w:ind w:right="179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420" w:type="dxa"/>
            <w:vAlign w:val="bottom"/>
          </w:tcPr>
          <w:p>
            <w:pPr>
              <w:ind w:left="620"/>
              <w:spacing w:after="0" w:line="149" w:lineRule="exact"/>
              <w:rPr>
                <w:sz w:val="20"/>
                <w:szCs w:val="20"/>
                <w:color w:val="auto"/>
              </w:rPr>
            </w:pPr>
            <w:r>
              <w:rPr>
                <w:rFonts w:ascii="Arial" w:cs="Arial" w:eastAsia="Arial" w:hAnsi="Arial"/>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3580" w:type="dxa"/>
            <w:vAlign w:val="bottom"/>
          </w:tcPr>
          <w:p>
            <w:pPr>
              <w:jc w:val="center"/>
              <w:ind w:right="1799"/>
              <w:spacing w:after="0"/>
              <w:rPr>
                <w:sz w:val="20"/>
                <w:szCs w:val="20"/>
                <w:color w:val="auto"/>
              </w:rPr>
            </w:pPr>
            <w:r>
              <w:rPr>
                <w:rFonts w:ascii="Arial" w:cs="Arial" w:eastAsia="Arial" w:hAnsi="Arial"/>
                <w:sz w:val="14"/>
                <w:szCs w:val="14"/>
                <w:b w:val="1"/>
                <w:bCs w:val="1"/>
                <w:color w:val="auto"/>
                <w:w w:val="94"/>
              </w:rPr>
              <w:t>of Incorporation)</w:t>
            </w:r>
          </w:p>
        </w:tc>
        <w:tc>
          <w:tcPr>
            <w:tcW w:w="2420" w:type="dxa"/>
            <w:vAlign w:val="bottom"/>
          </w:tcPr>
          <w:p>
            <w:pPr>
              <w:ind w:left="600"/>
              <w:spacing w:after="0"/>
              <w:rPr>
                <w:sz w:val="20"/>
                <w:szCs w:val="20"/>
                <w:color w:val="auto"/>
              </w:rPr>
            </w:pPr>
            <w:r>
              <w:rPr>
                <w:rFonts w:ascii="Arial" w:cs="Arial" w:eastAsia="Arial" w:hAnsi="Arial"/>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Arial" w:cs="Arial" w:eastAsia="Arial" w:hAnsi="Arial"/>
                <w:sz w:val="14"/>
                <w:szCs w:val="14"/>
                <w:b w:val="1"/>
                <w:bCs w:val="1"/>
                <w:color w:val="auto"/>
                <w:w w:val="96"/>
              </w:rPr>
              <w:t>Identification No.)</w:t>
            </w:r>
          </w:p>
        </w:tc>
      </w:tr>
      <w:tr>
        <w:trPr>
          <w:trHeight w:val="399"/>
        </w:trPr>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90"/>
              </w:rPr>
              <w:t>6100 Tower Circle, Suite 1000</w:t>
            </w:r>
          </w:p>
        </w:tc>
        <w:tc>
          <w:tcPr>
            <w:tcW w:w="242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5"/>
        </w:trPr>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87"/>
              </w:rPr>
              <w:t>Franklin, Tennessee</w:t>
            </w:r>
          </w:p>
        </w:tc>
        <w:tc>
          <w:tcPr>
            <w:tcW w:w="242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Arial" w:cs="Arial" w:eastAsia="Arial" w:hAnsi="Arial"/>
                <w:sz w:val="18"/>
                <w:szCs w:val="18"/>
                <w:b w:val="1"/>
                <w:bCs w:val="1"/>
                <w:color w:val="auto"/>
              </w:rPr>
              <w:t>37067</w:t>
            </w:r>
          </w:p>
        </w:tc>
      </w:tr>
      <w:tr>
        <w:trPr>
          <w:trHeight w:val="186"/>
        </w:trPr>
        <w:tc>
          <w:tcPr>
            <w:tcW w:w="3580" w:type="dxa"/>
            <w:vAlign w:val="bottom"/>
          </w:tcPr>
          <w:p>
            <w:pPr>
              <w:jc w:val="center"/>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42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Arial" w:cs="Arial" w:eastAsia="Arial" w:hAnsi="Arial"/>
                <w:sz w:val="14"/>
                <w:szCs w:val="14"/>
                <w:b w:val="1"/>
                <w:bCs w:val="1"/>
                <w:color w:val="auto"/>
                <w:w w:val="98"/>
              </w:rPr>
              <w:t>(Zip Code)</w:t>
            </w:r>
          </w:p>
        </w:tc>
      </w:tr>
    </w:tbl>
    <w:p>
      <w:pPr>
        <w:spacing w:after="0" w:line="142"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(615) 861-6000</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65"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3"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44" w:hanging="444"/>
        <w:spacing w:after="0"/>
        <w:tabs>
          <w:tab w:leader="none" w:pos="4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4" w:hanging="444"/>
        <w:spacing w:after="0"/>
        <w:tabs>
          <w:tab w:leader="none" w:pos="4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4" w:hanging="444"/>
        <w:spacing w:after="0"/>
        <w:tabs>
          <w:tab w:leader="none" w:pos="4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4" w:hanging="444"/>
        <w:spacing w:after="0"/>
        <w:tabs>
          <w:tab w:leader="none" w:pos="4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20" w:type="dxa"/>
            <w:vAlign w:val="bottom"/>
          </w:tcPr>
          <w:p>
            <w:pPr>
              <w:spacing w:after="0"/>
              <w:rPr>
                <w:sz w:val="14"/>
                <w:szCs w:val="14"/>
                <w:color w:val="auto"/>
              </w:rPr>
            </w:pPr>
          </w:p>
        </w:tc>
        <w:tc>
          <w:tcPr>
            <w:tcW w:w="3520" w:type="dxa"/>
            <w:vAlign w:val="bottom"/>
          </w:tcPr>
          <w:p>
            <w:pPr>
              <w:ind w:left="1500"/>
              <w:spacing w:after="0"/>
              <w:rPr>
                <w:sz w:val="20"/>
                <w:szCs w:val="20"/>
                <w:color w:val="auto"/>
              </w:rPr>
            </w:pPr>
            <w:r>
              <w:rPr>
                <w:rFonts w:ascii="Arial" w:cs="Arial" w:eastAsia="Arial" w:hAnsi="Arial"/>
                <w:sz w:val="14"/>
                <w:szCs w:val="14"/>
                <w:b w:val="1"/>
                <w:bCs w:val="1"/>
                <w:color w:val="auto"/>
              </w:rPr>
              <w:t>Trading</w:t>
            </w:r>
          </w:p>
        </w:tc>
        <w:tc>
          <w:tcPr>
            <w:tcW w:w="100" w:type="dxa"/>
            <w:vAlign w:val="bottom"/>
          </w:tcPr>
          <w:p>
            <w:pPr>
              <w:spacing w:after="0"/>
              <w:rPr>
                <w:sz w:val="14"/>
                <w:szCs w:val="14"/>
                <w:color w:val="auto"/>
              </w:rPr>
            </w:pP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92"/>
        </w:trPr>
        <w:tc>
          <w:tcPr>
            <w:tcW w:w="37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3520" w:type="dxa"/>
            <w:vAlign w:val="bottom"/>
            <w:tcBorders>
              <w:bottom w:val="single" w:sz="8" w:color="auto"/>
            </w:tcBorders>
          </w:tcPr>
          <w:p>
            <w:pPr>
              <w:ind w:left="1520"/>
              <w:spacing w:after="0"/>
              <w:rPr>
                <w:sz w:val="20"/>
                <w:szCs w:val="20"/>
                <w:color w:val="auto"/>
              </w:rPr>
            </w:pPr>
            <w:r>
              <w:rPr>
                <w:rFonts w:ascii="Arial" w:cs="Arial" w:eastAsia="Arial" w:hAnsi="Arial"/>
                <w:sz w:val="14"/>
                <w:szCs w:val="14"/>
                <w:b w:val="1"/>
                <w:bCs w:val="1"/>
                <w:color w:val="auto"/>
              </w:rPr>
              <w:t>Symbol</w:t>
            </w:r>
          </w:p>
        </w:tc>
        <w:tc>
          <w:tcPr>
            <w:tcW w:w="100" w:type="dxa"/>
            <w:vAlign w:val="bottom"/>
          </w:tcPr>
          <w:p>
            <w:pPr>
              <w:spacing w:after="0"/>
              <w:rPr>
                <w:sz w:val="16"/>
                <w:szCs w:val="16"/>
                <w:color w:val="auto"/>
              </w:rPr>
            </w:pPr>
          </w:p>
        </w:tc>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30"/>
        </w:trPr>
        <w:tc>
          <w:tcPr>
            <w:tcW w:w="3740" w:type="dxa"/>
            <w:vAlign w:val="bottom"/>
          </w:tcPr>
          <w:p>
            <w:pPr>
              <w:jc w:val="center"/>
              <w:spacing w:after="0"/>
              <w:rPr>
                <w:sz w:val="20"/>
                <w:szCs w:val="20"/>
                <w:color w:val="auto"/>
              </w:rPr>
            </w:pPr>
            <w:r>
              <w:rPr>
                <w:rFonts w:ascii="Arial" w:cs="Arial" w:eastAsia="Arial" w:hAnsi="Arial"/>
                <w:sz w:val="18"/>
                <w:szCs w:val="18"/>
                <w:color w:val="auto"/>
                <w:w w:val="90"/>
              </w:rPr>
              <w:t>Common Stock, $0.01 par value</w:t>
            </w:r>
          </w:p>
        </w:tc>
        <w:tc>
          <w:tcPr>
            <w:tcW w:w="120" w:type="dxa"/>
            <w:vAlign w:val="bottom"/>
          </w:tcPr>
          <w:p>
            <w:pPr>
              <w:spacing w:after="0"/>
              <w:rPr>
                <w:sz w:val="20"/>
                <w:szCs w:val="20"/>
                <w:color w:val="auto"/>
              </w:rPr>
            </w:pPr>
          </w:p>
        </w:tc>
        <w:tc>
          <w:tcPr>
            <w:tcW w:w="3520" w:type="dxa"/>
            <w:vAlign w:val="bottom"/>
          </w:tcPr>
          <w:p>
            <w:pPr>
              <w:ind w:left="1500"/>
              <w:spacing w:after="0"/>
              <w:rPr>
                <w:sz w:val="20"/>
                <w:szCs w:val="20"/>
                <w:color w:val="auto"/>
              </w:rPr>
            </w:pPr>
            <w:r>
              <w:rPr>
                <w:rFonts w:ascii="Arial" w:cs="Arial" w:eastAsia="Arial" w:hAnsi="Arial"/>
                <w:sz w:val="18"/>
                <w:szCs w:val="18"/>
                <w:color w:val="auto"/>
              </w:rPr>
              <w:t>ACHC</w:t>
            </w:r>
          </w:p>
        </w:tc>
        <w:tc>
          <w:tcPr>
            <w:tcW w:w="100" w:type="dxa"/>
            <w:vAlign w:val="bottom"/>
          </w:tcPr>
          <w:p>
            <w:pPr>
              <w:spacing w:after="0"/>
              <w:rPr>
                <w:sz w:val="20"/>
                <w:szCs w:val="20"/>
                <w:color w:val="auto"/>
              </w:rPr>
            </w:pPr>
          </w:p>
        </w:tc>
        <w:tc>
          <w:tcPr>
            <w:tcW w:w="3540" w:type="dxa"/>
            <w:vAlign w:val="bottom"/>
          </w:tcPr>
          <w:p>
            <w:pPr>
              <w:jc w:val="center"/>
              <w:spacing w:after="0"/>
              <w:rPr>
                <w:sz w:val="20"/>
                <w:szCs w:val="20"/>
                <w:color w:val="auto"/>
              </w:rPr>
            </w:pPr>
            <w:r>
              <w:rPr>
                <w:rFonts w:ascii="Arial" w:cs="Arial" w:eastAsia="Arial" w:hAnsi="Arial"/>
                <w:sz w:val="18"/>
                <w:szCs w:val="18"/>
                <w:color w:val="auto"/>
                <w:w w:val="94"/>
              </w:rPr>
              <w:t>NASDAQ Global Select Market</w:t>
            </w:r>
          </w:p>
        </w:tc>
        <w:tc>
          <w:tcPr>
            <w:tcW w:w="0" w:type="dxa"/>
            <w:vAlign w:val="bottom"/>
          </w:tcPr>
          <w:p>
            <w:pPr>
              <w:spacing w:after="0"/>
              <w:rPr>
                <w:sz w:val="1"/>
                <w:szCs w:val="1"/>
                <w:color w:val="auto"/>
              </w:rPr>
            </w:pPr>
          </w:p>
        </w:tc>
      </w:tr>
    </w:tbl>
    <w:p>
      <w:pPr>
        <w:spacing w:after="0" w:line="147" w:lineRule="exact"/>
        <w:rPr>
          <w:sz w:val="24"/>
          <w:szCs w:val="24"/>
          <w:color w:val="auto"/>
        </w:rPr>
      </w:pPr>
    </w:p>
    <w:p>
      <w:pPr>
        <w:ind w:left="4" w:right="3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5" w:lineRule="exact"/>
        <w:rPr>
          <w:sz w:val="24"/>
          <w:szCs w:val="24"/>
          <w:color w:val="auto"/>
        </w:rPr>
      </w:pPr>
    </w:p>
    <w:p>
      <w:pPr>
        <w:ind w:left="8804"/>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66" w:lineRule="exact"/>
        <w:rPr>
          <w:sz w:val="24"/>
          <w:szCs w:val="24"/>
          <w:color w:val="auto"/>
        </w:rPr>
      </w:pPr>
    </w:p>
    <w:p>
      <w:pPr>
        <w:ind w:left="4" w:right="30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170815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82" w:right="439" w:bottom="1440" w:gutter="0" w:footer="0" w:header="0"/>
        </w:sectPr>
      </w:pPr>
    </w:p>
    <w:bookmarkStart w:id="1" w:name="page2"/>
    <w:bookmarkEnd w:id="1"/>
    <w:p>
      <w:pPr>
        <w:ind w:left="1200" w:right="1000" w:hanging="1211"/>
        <w:spacing w:after="0" w:line="282" w:lineRule="auto"/>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68580"/>
                    </a:xfrm>
                    <a:prstGeom prst="rect">
                      <a:avLst/>
                    </a:prstGeom>
                    <a:noFill/>
                  </pic:spPr>
                </pic:pic>
              </a:graphicData>
            </a:graphic>
          </wp:anchor>
        </w:drawing>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Appointment of Heather Dixon as Chief Financial Officer</w:t>
      </w:r>
    </w:p>
    <w:p>
      <w:pPr>
        <w:spacing w:after="0" w:line="117" w:lineRule="exact"/>
        <w:rPr>
          <w:sz w:val="20"/>
          <w:szCs w:val="20"/>
          <w:color w:val="auto"/>
        </w:rPr>
      </w:pPr>
    </w:p>
    <w:p>
      <w:pPr>
        <w:ind w:right="300" w:firstLine="440"/>
        <w:spacing w:after="0" w:line="277" w:lineRule="auto"/>
        <w:rPr>
          <w:sz w:val="20"/>
          <w:szCs w:val="20"/>
          <w:color w:val="auto"/>
        </w:rPr>
      </w:pPr>
      <w:r>
        <w:rPr>
          <w:rFonts w:ascii="Arial" w:cs="Arial" w:eastAsia="Arial" w:hAnsi="Arial"/>
          <w:sz w:val="18"/>
          <w:szCs w:val="18"/>
          <w:color w:val="auto"/>
        </w:rPr>
        <w:t>On June 1, 2023, Acadia Healthcare Company, Inc. (the “Company”) appointed Heather Dixon as the Chief Financial Officer of the Company, effective July 10, 2023.</w:t>
      </w:r>
    </w:p>
    <w:p>
      <w:pPr>
        <w:spacing w:after="0" w:line="170" w:lineRule="exact"/>
        <w:rPr>
          <w:sz w:val="20"/>
          <w:szCs w:val="20"/>
          <w:color w:val="auto"/>
        </w:rPr>
      </w:pPr>
    </w:p>
    <w:p>
      <w:pPr>
        <w:ind w:right="80" w:firstLine="440"/>
        <w:spacing w:after="0" w:line="272" w:lineRule="auto"/>
        <w:rPr>
          <w:sz w:val="20"/>
          <w:szCs w:val="20"/>
          <w:color w:val="auto"/>
        </w:rPr>
      </w:pPr>
      <w:r>
        <w:rPr>
          <w:rFonts w:ascii="Arial" w:cs="Arial" w:eastAsia="Arial" w:hAnsi="Arial"/>
          <w:sz w:val="17"/>
          <w:szCs w:val="17"/>
          <w:color w:val="auto"/>
        </w:rPr>
        <w:t>Ms. Dixon, age 50, joins the Company from Everside Health, where she has served as Chief Financial Officer since June 2021. Prior to joining Everside Health, Ms. Dixon served as the Senior Vice President, Global Controller and Chief Accounting Officer of Walgreens Boots Alliance, Inc. (NASDAQ: WBA) from March 2019 to May 2021. From August 2016 to March 2019, Ms. Dixon served in various roles at Aetna, a subsidiary of CVS Health Corporation (NYSE: CVS) (“CVS Health”), including Assistant Controller and later as Vice President, Controller and Chief Accounting Officer. Ms. Dixon has served as an independent board member of Addus HomeCare (NASDAQ: ADUS) since March 2023 and served on the board of Signify Health from April 2021 through its acquisition by CVS Health in March 2023. Ms. Dixon received a B.A. in Accounting from Southern Methodist University and is a Certified Public Accountant in the State of Texas.</w:t>
      </w:r>
    </w:p>
    <w:p>
      <w:pPr>
        <w:spacing w:after="0" w:line="177" w:lineRule="exact"/>
        <w:rPr>
          <w:sz w:val="20"/>
          <w:szCs w:val="20"/>
          <w:color w:val="auto"/>
        </w:rPr>
      </w:pPr>
    </w:p>
    <w:p>
      <w:pPr>
        <w:ind w:right="440" w:firstLine="440"/>
        <w:spacing w:after="0" w:line="308" w:lineRule="auto"/>
        <w:rPr>
          <w:sz w:val="20"/>
          <w:szCs w:val="20"/>
          <w:color w:val="auto"/>
        </w:rPr>
      </w:pPr>
      <w:r>
        <w:rPr>
          <w:rFonts w:ascii="Arial" w:cs="Arial" w:eastAsia="Arial" w:hAnsi="Arial"/>
          <w:sz w:val="17"/>
          <w:szCs w:val="17"/>
          <w:color w:val="auto"/>
        </w:rPr>
        <w:t>There are no arrangements or understandings between Ms. Dixon and any other person pursuant to which Ms. Dixon was appointed as Chief Financial Officer. There are no family relationships among any of the Company’s directors or executive officers and Ms. Dixon.</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Employment Agreement with Heather Dixon</w:t>
      </w:r>
    </w:p>
    <w:p>
      <w:pPr>
        <w:spacing w:after="0" w:line="117" w:lineRule="exact"/>
        <w:rPr>
          <w:sz w:val="20"/>
          <w:szCs w:val="20"/>
          <w:color w:val="auto"/>
        </w:rPr>
      </w:pPr>
    </w:p>
    <w:p>
      <w:pPr>
        <w:ind w:firstLine="440"/>
        <w:spacing w:after="0" w:line="285" w:lineRule="auto"/>
        <w:rPr>
          <w:sz w:val="20"/>
          <w:szCs w:val="20"/>
          <w:color w:val="auto"/>
        </w:rPr>
      </w:pPr>
      <w:r>
        <w:rPr>
          <w:rFonts w:ascii="Arial" w:cs="Arial" w:eastAsia="Arial" w:hAnsi="Arial"/>
          <w:sz w:val="16"/>
          <w:szCs w:val="16"/>
          <w:color w:val="auto"/>
        </w:rPr>
        <w:t>In connection with her appointment, the Company and Ms. Dixon have entered into an employment agreement (the “Employment Agreement”), pursuant to which Ms. Dixon will be entitled to the following compensation: (i) an annualized base salary of $690,000 per year, subject to increase by the Company’s Board of Directors (the “Board”) or the Compensation Committee (the “Compensation Committee”) of the Board (“Base Salary”); (ii) eligibility to earn a target annual cash bonus of 85% of Base Salary in accordance with the Company’s annual bonus plan applicable to senior executives, which currently provides a range of 0% for performance below threshold performance, 42.5% for threshold performance, and up to a maximum cash bonus determined in accordance with the Company’s annual bonus plan for senior executives (which for Ms. Dixon is 170% of Base Salary), if and only if the performance criteria specified by the Board or the Compensation Committee for such year have been achieved, as determined by the Board or the Compensation Committee in its sole discretion; (iii) a one-time cash award in an amount equal to $300,000 (the “Cash Award”), payable in lump sum on or before March 31, 2024, provided that Ms. Dixon remains employed by the Company through such payment date; (iv) a one-time grant of time-based restricted stock units (“RSUs”) with an aggregate grant date fair value of $2,500,000, subject to four-year ratable time vesting from the date of grant; (v) a one-time grant of performance-based restricted stock units (“PSUs”) with an aggregate target grant date fair value of $3,500,000, subject to three-year ratable time vesting based on performance over a three-year performance period commencing on January 1, 2023 and ending on December 31, 2025; (vi) commencing with the 2024 fiscal year, annual grants of long-term incentive awards in amounts as determined by the Compensation Committee and on terms and conditions comparable to the Company’s other executive officers; and (vii) eligibility for severance benefits upon the termination of Ms. Dixon’s employment without Cause (as defined in the Employment Agreement) or due to her resignation for Good Reason (as defined in the Employment Agreement) (each, a “Qualifying Termination”). The RSUs and PSUs described above will be subject to the terms and conditions of award agreements that are substantially consistent with the award agreements issued to the other executive officers of the Company in respect of the RSUs and PSUs issued in 2023.</w:t>
      </w:r>
    </w:p>
    <w:p>
      <w:pPr>
        <w:spacing w:after="0" w:line="171" w:lineRule="exact"/>
        <w:rPr>
          <w:sz w:val="20"/>
          <w:szCs w:val="20"/>
          <w:color w:val="auto"/>
        </w:rPr>
      </w:pPr>
    </w:p>
    <w:p>
      <w:pPr>
        <w:ind w:right="20" w:firstLine="440"/>
        <w:spacing w:after="0" w:line="254" w:lineRule="auto"/>
        <w:rPr>
          <w:sz w:val="20"/>
          <w:szCs w:val="20"/>
          <w:color w:val="auto"/>
        </w:rPr>
      </w:pPr>
      <w:r>
        <w:rPr>
          <w:rFonts w:ascii="Arial" w:cs="Arial" w:eastAsia="Arial" w:hAnsi="Arial"/>
          <w:sz w:val="18"/>
          <w:szCs w:val="18"/>
          <w:color w:val="auto"/>
        </w:rPr>
        <w:t>Upon a Qualifying Termination, Ms. Dixon will be eligible to receive (i) her unpaid Base Salary through the date of termination (the “Termination Date”); (ii) an amount equal to the actual annual cash bonus amount to which she would be entitled with respect to the calendar year in which the Termination Date occurs, determined based on achievement of the performance objectives specified in Ms. Dixon’s bonus plan for such year, as determined by the Board or the Compensation Committee in its sole discretion, which amount shall be prorated based on the actual number of days elapsed in such year prior to the Termination Date; (iii) an amount equal to one times the target annual cash bonus amount to which Ms. Dixon would be entitled with respect to the calendar year in which the Termination Date occurs, determined as if all of the performance objectives specified in Ms. Dixon’s bonus plan for</w:t>
      </w:r>
    </w:p>
    <w:p>
      <w:pPr>
        <w:sectPr>
          <w:pgSz w:w="11900" w:h="16838" w:orient="portrait"/>
          <w:cols w:equalWidth="0" w:num="1">
            <w:col w:w="11000"/>
          </w:cols>
          <w:pgMar w:left="440" w:top="513" w:right="459" w:bottom="1440" w:gutter="0" w:footer="0" w:header="0"/>
        </w:sectPr>
      </w:pPr>
    </w:p>
    <w:bookmarkStart w:id="2" w:name="page3"/>
    <w:bookmarkEnd w:id="2"/>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68580"/>
                    </a:xfrm>
                    <a:prstGeom prst="rect">
                      <a:avLst/>
                    </a:prstGeom>
                    <a:noFill/>
                  </pic:spPr>
                </pic:pic>
              </a:graphicData>
            </a:graphic>
          </wp:anchor>
        </w:drawing>
        <w:t>such year have been achieved at the target level, whether or not such objectives actually have been achieved as of the Termination Date; (iv) an amount equal to 12 months of her Base Salary as in effect on the Termination Date (such 12-month period, the “Severance Period”); (v) payment of the annual cash bonus for the prior year, as well as the Cash Award, to the extent not previously paid; (vi) payment in respect of any unused paid time off and sick pay of Ms. Dixon, in such amounts as have accrued as of the Termination Date, and reimbursement of any business expenses incurred by Ms. Dixon but not reimbursed prior to the Termination Date; and (vii) reimbursement for the cost of any COBRA (as defined in the Employment Agreement) premiums incurred by her during the Severance Period. Upon a Qualifying Termination, all equity and equity-based awards granted to Ms. Dixon prior to the Termination Date (the “Equity Awards”) shall be treated as set forth below: (A) the Equity Awards subject to time-based vesting requirements will be deemed fully vested on the Termination Date; and (B) the Equity Awards subject to performance-based vesting requirements will remain outstanding and eligible to vest based on actual achievement of the applicable performance conditions, subject to the terms and conditions set forth in the applicable award agreement and/or governing documentation.</w:t>
      </w:r>
    </w:p>
    <w:p>
      <w:pPr>
        <w:spacing w:after="0" w:line="185"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The description of the Employment Agreement is qualified in its entirety by the terms of the Employment Agreement, a copy of which is attached as Exhibit 10.1 and incorporated by reference herein.</w:t>
      </w:r>
    </w:p>
    <w:p>
      <w:pPr>
        <w:spacing w:after="0" w:line="170"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In connection with her appointment, the Company will enter into its form of indemnity agreement with Ms. Dixon, a copy of which is attached as Exhibit 10.2 and incorporated by reference herein.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copy of the news release relating to this disclosure is furnished herewith as Exhibit 99.1.</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David Duckworth Departure</w:t>
      </w:r>
    </w:p>
    <w:p>
      <w:pPr>
        <w:spacing w:after="0" w:line="117"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On June 1, 2023, the Company announced that David Duckworth will resign as Chief Financial Officer, effective July 10, 2023. Subsequent to his resignation, Mr. Duckworth has agreed to work closely with Ms. Dixon through July 31, 2023 and in an advisory capacity to support the leadership transition thereafter.</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Larry Harrod Retirement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On June 1, 2023, the Company announced that Larry Harrod will resign as Executive Vice President of Finance, effective June 30, 2023.</w:t>
      </w:r>
    </w:p>
    <w:p>
      <w:pPr>
        <w:spacing w:after="0" w:line="381"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 Exhibits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20"/>
                <w:szCs w:val="20"/>
                <w:color w:val="auto"/>
              </w:rPr>
            </w:pPr>
            <w:r>
              <w:rPr>
                <w:rFonts w:ascii="Arial" w:cs="Arial" w:eastAsia="Arial" w:hAnsi="Arial"/>
                <w:sz w:val="14"/>
                <w:szCs w:val="14"/>
                <w:b w:val="1"/>
                <w:bCs w:val="1"/>
                <w:color w:val="auto"/>
                <w:w w:val="94"/>
              </w:rPr>
              <w:t>Exhibit</w:t>
            </w:r>
          </w:p>
        </w:tc>
        <w:tc>
          <w:tcPr>
            <w:tcW w:w="4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7000" w:type="dxa"/>
            <w:vAlign w:val="bottom"/>
            <w:gridSpan w:val="6"/>
            <w:vMerge w:val="restart"/>
          </w:tcPr>
          <w:p>
            <w:pPr>
              <w:ind w:left="23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460" w:type="dxa"/>
            <w:vAlign w:val="bottom"/>
          </w:tcPr>
          <w:p>
            <w:pPr>
              <w:ind w:left="120"/>
              <w:spacing w:after="0"/>
              <w:rPr>
                <w:sz w:val="20"/>
                <w:szCs w:val="20"/>
                <w:color w:val="auto"/>
              </w:rPr>
            </w:pPr>
            <w:r>
              <w:rPr>
                <w:rFonts w:ascii="Arial" w:cs="Arial" w:eastAsia="Arial" w:hAnsi="Arial"/>
                <w:sz w:val="14"/>
                <w:szCs w:val="14"/>
                <w:b w:val="1"/>
                <w:bCs w:val="1"/>
                <w:color w:val="auto"/>
              </w:rPr>
              <w:t>No.</w:t>
            </w:r>
          </w:p>
        </w:tc>
        <w:tc>
          <w:tcPr>
            <w:tcW w:w="4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7000" w:type="dxa"/>
            <w:vAlign w:val="bottom"/>
            <w:gridSpan w:val="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60" w:type="dxa"/>
            <w:vAlign w:val="bottom"/>
          </w:tcPr>
          <w:p>
            <w:pPr>
              <w:spacing w:after="0"/>
              <w:rPr>
                <w:sz w:val="20"/>
                <w:szCs w:val="20"/>
                <w:color w:val="auto"/>
              </w:rPr>
            </w:pPr>
            <w:r>
              <w:rPr>
                <w:rFonts w:ascii="Arial" w:cs="Arial" w:eastAsia="Arial" w:hAnsi="Arial"/>
                <w:sz w:val="18"/>
                <w:szCs w:val="18"/>
                <w:color w:val="auto"/>
              </w:rPr>
              <w:t>10.1</w:t>
            </w:r>
          </w:p>
        </w:tc>
        <w:tc>
          <w:tcPr>
            <w:tcW w:w="420" w:type="dxa"/>
            <w:vAlign w:val="bottom"/>
          </w:tcPr>
          <w:p>
            <w:pPr>
              <w:spacing w:after="0"/>
              <w:rPr>
                <w:sz w:val="24"/>
                <w:szCs w:val="24"/>
                <w:color w:val="auto"/>
              </w:rPr>
            </w:pPr>
          </w:p>
        </w:tc>
        <w:tc>
          <w:tcPr>
            <w:tcW w:w="886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0000EE"/>
                <w:w w:val="89"/>
              </w:rPr>
              <w:t>Employment Agreement, dated as of June 1, 2023, by and between Acadia Management Company, Inc. and Heather Dixon</w:t>
            </w:r>
          </w:p>
        </w:tc>
        <w:tc>
          <w:tcPr>
            <w:tcW w:w="5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Arial" w:cs="Arial" w:eastAsia="Arial" w:hAnsi="Arial"/>
                <w:sz w:val="18"/>
                <w:szCs w:val="18"/>
                <w:color w:val="auto"/>
              </w:rPr>
              <w:t>10.2</w:t>
            </w:r>
          </w:p>
        </w:tc>
        <w:tc>
          <w:tcPr>
            <w:tcW w:w="420" w:type="dxa"/>
            <w:vAlign w:val="bottom"/>
          </w:tcPr>
          <w:p>
            <w:pPr>
              <w:spacing w:after="0"/>
              <w:rPr>
                <w:sz w:val="24"/>
                <w:szCs w:val="24"/>
                <w:color w:val="auto"/>
              </w:rPr>
            </w:pPr>
          </w:p>
        </w:tc>
        <w:tc>
          <w:tcPr>
            <w:tcW w:w="9380" w:type="dxa"/>
            <w:vAlign w:val="bottom"/>
            <w:gridSpan w:val="7"/>
          </w:tcPr>
          <w:p>
            <w:pPr>
              <w:spacing w:after="0"/>
              <w:rPr>
                <w:rFonts w:ascii="Arial" w:cs="Arial" w:eastAsia="Arial" w:hAnsi="Arial"/>
                <w:sz w:val="18"/>
                <w:szCs w:val="18"/>
                <w:color w:val="0000EE"/>
                <w:w w:val="91"/>
              </w:rPr>
            </w:pPr>
            <w:hyperlink r:id="rId19">
              <w:r>
                <w:rPr>
                  <w:rFonts w:ascii="Arial" w:cs="Arial" w:eastAsia="Arial" w:hAnsi="Arial"/>
                  <w:sz w:val="18"/>
                  <w:szCs w:val="18"/>
                  <w:color w:val="0000EE"/>
                  <w:w w:val="91"/>
                </w:rPr>
                <w:t>Form of Indemnification Agreement between Acadia Healthcare Company, Inc. and the directors and executive officers of Acadia</w:t>
              </w:r>
            </w:hyperlink>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380" w:type="dxa"/>
            <w:vAlign w:val="bottom"/>
            <w:shd w:val="clear" w:color="auto" w:fill="0000EE"/>
          </w:tcPr>
          <w:p>
            <w:pPr>
              <w:spacing w:after="0" w:line="20" w:lineRule="exact"/>
              <w:rPr>
                <w:sz w:val="1"/>
                <w:szCs w:val="1"/>
                <w:color w:val="auto"/>
              </w:rPr>
            </w:pPr>
          </w:p>
        </w:tc>
        <w:tc>
          <w:tcPr>
            <w:tcW w:w="3600" w:type="dxa"/>
            <w:vAlign w:val="bottom"/>
            <w:gridSpan w:val="3"/>
            <w:shd w:val="clear" w:color="auto" w:fill="0000EE"/>
          </w:tcPr>
          <w:p>
            <w:pPr>
              <w:spacing w:after="0" w:line="20" w:lineRule="exact"/>
              <w:rPr>
                <w:sz w:val="1"/>
                <w:szCs w:val="1"/>
                <w:color w:val="auto"/>
              </w:rPr>
            </w:pPr>
          </w:p>
        </w:tc>
        <w:tc>
          <w:tcPr>
            <w:tcW w:w="33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38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r:id="rId19">
              <w:r>
                <w:rPr>
                  <w:rFonts w:ascii="Arial" w:cs="Arial" w:eastAsia="Arial" w:hAnsi="Arial"/>
                  <w:sz w:val="18"/>
                  <w:szCs w:val="18"/>
                  <w:color w:val="0000EE"/>
                  <w:w w:val="91"/>
                </w:rPr>
                <w:t>Healthcare Company, Inc. (incorporated by reference to Exhibit 10.3 to the Company’s Current Report on Form 8-K filed with the</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98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r:id="rId19">
              <w:r>
                <w:rPr>
                  <w:rFonts w:ascii="Arial" w:cs="Arial" w:eastAsia="Arial" w:hAnsi="Arial"/>
                  <w:sz w:val="18"/>
                  <w:szCs w:val="18"/>
                  <w:color w:val="0000EE"/>
                  <w:w w:val="90"/>
                </w:rPr>
                <w:t>Securities and Exchange Commission on November 1, 2011 (File No. 001-35331))</w:t>
              </w:r>
            </w:hyperlink>
          </w:p>
        </w:tc>
        <w:tc>
          <w:tcPr>
            <w:tcW w:w="34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Arial" w:cs="Arial" w:eastAsia="Arial" w:hAnsi="Arial"/>
                <w:sz w:val="18"/>
                <w:szCs w:val="18"/>
                <w:color w:val="auto"/>
              </w:rPr>
              <w:t>99.1</w:t>
            </w:r>
          </w:p>
        </w:tc>
        <w:tc>
          <w:tcPr>
            <w:tcW w:w="420" w:type="dxa"/>
            <w:vAlign w:val="bottom"/>
          </w:tcPr>
          <w:p>
            <w:pPr>
              <w:spacing w:after="0"/>
              <w:rPr>
                <w:sz w:val="24"/>
                <w:szCs w:val="24"/>
                <w:color w:val="auto"/>
              </w:rPr>
            </w:pPr>
          </w:p>
        </w:tc>
        <w:tc>
          <w:tcPr>
            <w:tcW w:w="9380" w:type="dxa"/>
            <w:vAlign w:val="bottom"/>
            <w:gridSpan w:val="7"/>
          </w:tcPr>
          <w:p>
            <w:pPr>
              <w:spacing w:after="0"/>
              <w:rPr>
                <w:sz w:val="20"/>
                <w:szCs w:val="20"/>
                <w:color w:val="auto"/>
              </w:rPr>
            </w:pPr>
            <w:r>
              <w:rPr>
                <w:rFonts w:ascii="Arial" w:cs="Arial" w:eastAsia="Arial" w:hAnsi="Arial"/>
                <w:sz w:val="18"/>
                <w:szCs w:val="18"/>
                <w:color w:val="0000EE"/>
              </w:rPr>
              <w:t>Press Release dated June 1, 2023</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380" w:type="dxa"/>
            <w:vAlign w:val="bottom"/>
            <w:shd w:val="clear" w:color="auto" w:fill="0000EE"/>
          </w:tcPr>
          <w:p>
            <w:pPr>
              <w:spacing w:after="0" w:line="20" w:lineRule="exact"/>
              <w:rPr>
                <w:sz w:val="1"/>
                <w:szCs w:val="1"/>
                <w:color w:val="auto"/>
              </w:rPr>
            </w:pPr>
          </w:p>
        </w:tc>
        <w:tc>
          <w:tcPr>
            <w:tcW w:w="700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60" w:type="dxa"/>
            <w:vAlign w:val="bottom"/>
          </w:tcPr>
          <w:p>
            <w:pPr>
              <w:spacing w:after="0"/>
              <w:rPr>
                <w:sz w:val="20"/>
                <w:szCs w:val="20"/>
                <w:color w:val="auto"/>
              </w:rPr>
            </w:pPr>
            <w:r>
              <w:rPr>
                <w:rFonts w:ascii="Arial" w:cs="Arial" w:eastAsia="Arial" w:hAnsi="Arial"/>
                <w:sz w:val="18"/>
                <w:szCs w:val="18"/>
                <w:color w:val="auto"/>
              </w:rPr>
              <w:t>104</w:t>
            </w:r>
          </w:p>
        </w:tc>
        <w:tc>
          <w:tcPr>
            <w:tcW w:w="420" w:type="dxa"/>
            <w:vAlign w:val="bottom"/>
          </w:tcPr>
          <w:p>
            <w:pPr>
              <w:spacing w:after="0"/>
              <w:rPr>
                <w:sz w:val="24"/>
                <w:szCs w:val="24"/>
                <w:color w:val="auto"/>
              </w:rPr>
            </w:pPr>
          </w:p>
        </w:tc>
        <w:tc>
          <w:tcPr>
            <w:tcW w:w="9380" w:type="dxa"/>
            <w:vAlign w:val="bottom"/>
            <w:gridSpan w:val="7"/>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ectPr>
          <w:pgSz w:w="11900" w:h="16838" w:orient="portrait"/>
          <w:cols w:equalWidth="0" w:num="1">
            <w:col w:w="11000"/>
          </w:cols>
          <w:pgMar w:left="440" w:top="517" w:right="459" w:bottom="1440" w:gutter="0" w:footer="0" w:header="0"/>
        </w:sectPr>
      </w:pPr>
    </w:p>
    <w:bookmarkStart w:id="3" w:name="page4"/>
    <w:bookmarkEnd w:id="3"/>
    <w:p>
      <w:pPr>
        <w:jc w:val="center"/>
        <w:ind w:right="-2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74865" cy="68580"/>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 June 2, 2023</w:t>
      </w:r>
      <w:r>
        <w:rPr>
          <w:sz w:val="20"/>
          <w:szCs w:val="20"/>
          <w:color w:val="auto"/>
        </w:rPr>
        <w:tab/>
      </w:r>
      <w:r>
        <w:rPr>
          <w:rFonts w:ascii="Arial" w:cs="Arial" w:eastAsia="Arial" w:hAnsi="Arial"/>
          <w:sz w:val="18"/>
          <w:szCs w:val="18"/>
          <w:b w:val="1"/>
          <w:bCs w:val="1"/>
          <w:color w:val="auto"/>
        </w:rPr>
        <w:t>ACADIA HEALTHCARE COMPANY, INC.</w:t>
      </w:r>
    </w:p>
    <w:p>
      <w:pPr>
        <w:spacing w:after="0" w:line="229" w:lineRule="exact"/>
        <w:rPr>
          <w:sz w:val="20"/>
          <w:szCs w:val="20"/>
          <w:color w:val="auto"/>
        </w:rPr>
      </w:pPr>
    </w:p>
    <w:p>
      <w:pPr>
        <w:ind w:left="5620"/>
        <w:spacing w:after="0"/>
        <w:tabs>
          <w:tab w:leader="none" w:pos="6040" w:val="left"/>
        </w:tabs>
        <w:rPr>
          <w:sz w:val="20"/>
          <w:szCs w:val="20"/>
          <w:color w:val="auto"/>
        </w:rPr>
      </w:pPr>
      <w:r>
        <w:rPr>
          <w:rFonts w:ascii="Arial" w:cs="Arial" w:eastAsia="Arial" w:hAnsi="Arial"/>
          <w:sz w:val="18"/>
          <w:szCs w:val="18"/>
          <w:color w:val="auto"/>
        </w:rPr>
        <w:t>By:</w:t>
        <w:tab/>
        <w:t>/s/ Christopher L. Howard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1457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Christopher L. Howard</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Executive Vice President, Secretary and General Counsel</w:t>
      </w:r>
    </w:p>
    <w:p>
      <w:pPr>
        <w:sectPr>
          <w:pgSz w:w="11900" w:h="16838" w:orient="portrait"/>
          <w:cols w:equalWidth="0" w:num="1">
            <w:col w:w="10760"/>
          </w:cols>
          <w:pgMar w:left="440" w:top="513" w:right="69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EMPLOYMENT AGREEMENT</w:t>
      </w:r>
    </w:p>
    <w:p>
      <w:pPr>
        <w:spacing w:after="0" w:line="229" w:lineRule="exact"/>
        <w:rPr>
          <w:sz w:val="20"/>
          <w:szCs w:val="20"/>
          <w:color w:val="auto"/>
        </w:rPr>
      </w:pPr>
    </w:p>
    <w:p>
      <w:pPr>
        <w:ind w:right="420" w:firstLine="440"/>
        <w:spacing w:after="0" w:line="277" w:lineRule="auto"/>
        <w:rPr>
          <w:sz w:val="20"/>
          <w:szCs w:val="20"/>
          <w:color w:val="auto"/>
        </w:rPr>
      </w:pPr>
      <w:r>
        <w:rPr>
          <w:rFonts w:ascii="Arial" w:cs="Arial" w:eastAsia="Arial" w:hAnsi="Arial"/>
          <w:sz w:val="18"/>
          <w:szCs w:val="18"/>
          <w:color w:val="auto"/>
        </w:rPr>
        <w:t>THIS EMPLOYMENT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is made and entered into as of June 1, 2023, by and between Acadia Management Company,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Heather Dixon (“</w:t>
      </w:r>
      <w:r>
        <w:rPr>
          <w:rFonts w:ascii="Arial" w:cs="Arial" w:eastAsia="Arial" w:hAnsi="Arial"/>
          <w:sz w:val="18"/>
          <w:szCs w:val="18"/>
          <w:u w:val="single" w:color="auto"/>
          <w:color w:val="auto"/>
        </w:rPr>
        <w:t>Executive</w:t>
      </w:r>
      <w:r>
        <w:rPr>
          <w:rFonts w:ascii="Arial" w:cs="Arial" w:eastAsia="Arial" w:hAnsi="Arial"/>
          <w:sz w:val="18"/>
          <w:szCs w:val="18"/>
          <w:color w:val="auto"/>
        </w:rPr>
        <w:t>”).</w:t>
      </w:r>
    </w:p>
    <w:p>
      <w:pPr>
        <w:spacing w:after="0" w:line="170" w:lineRule="exact"/>
        <w:rPr>
          <w:sz w:val="20"/>
          <w:szCs w:val="20"/>
          <w:color w:val="auto"/>
        </w:rPr>
      </w:pPr>
    </w:p>
    <w:p>
      <w:pPr>
        <w:ind w:right="400" w:firstLine="440"/>
        <w:spacing w:after="0" w:line="277" w:lineRule="auto"/>
        <w:rPr>
          <w:sz w:val="20"/>
          <w:szCs w:val="20"/>
          <w:color w:val="auto"/>
        </w:rPr>
      </w:pPr>
      <w:r>
        <w:rPr>
          <w:rFonts w:ascii="Arial" w:cs="Arial" w:eastAsia="Arial" w:hAnsi="Arial"/>
          <w:sz w:val="18"/>
          <w:szCs w:val="18"/>
          <w:color w:val="auto"/>
        </w:rPr>
        <w:t>WHEREAS, the Company desires to employ Executive, and Executive desires to be employed by and render services to the Company and its respective affiliates, on the terms and conditions set forth in this Agreement.</w:t>
      </w:r>
    </w:p>
    <w:p>
      <w:pPr>
        <w:spacing w:after="0" w:line="170" w:lineRule="exact"/>
        <w:rPr>
          <w:sz w:val="20"/>
          <w:szCs w:val="20"/>
          <w:color w:val="auto"/>
        </w:rPr>
      </w:pPr>
    </w:p>
    <w:p>
      <w:pPr>
        <w:ind w:right="540" w:firstLine="440"/>
        <w:spacing w:after="0" w:line="277" w:lineRule="auto"/>
        <w:rPr>
          <w:sz w:val="20"/>
          <w:szCs w:val="20"/>
          <w:color w:val="auto"/>
        </w:rPr>
      </w:pPr>
      <w:r>
        <w:rPr>
          <w:rFonts w:ascii="Arial" w:cs="Arial" w:eastAsia="Arial" w:hAnsi="Arial"/>
          <w:sz w:val="18"/>
          <w:szCs w:val="18"/>
          <w:color w:val="auto"/>
        </w:rPr>
        <w:t>NOW, THEREFORE, in consideration of the mutual covenants contained herein and other good and valuable consideration, the receipt and sufficiency of which are hereby acknowledged, the parties hereto agree as follows:</w:t>
      </w:r>
    </w:p>
    <w:p>
      <w:pPr>
        <w:spacing w:after="0" w:line="170" w:lineRule="exact"/>
        <w:rPr>
          <w:sz w:val="20"/>
          <w:szCs w:val="20"/>
          <w:color w:val="auto"/>
        </w:rPr>
      </w:pPr>
    </w:p>
    <w:p>
      <w:pPr>
        <w:ind w:right="100" w:firstLine="436"/>
        <w:spacing w:after="0" w:line="259" w:lineRule="auto"/>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Employment; Employment Period</w:t>
      </w:r>
      <w:r>
        <w:rPr>
          <w:rFonts w:ascii="Arial" w:cs="Arial" w:eastAsia="Arial" w:hAnsi="Arial"/>
          <w:sz w:val="18"/>
          <w:szCs w:val="18"/>
          <w:color w:val="auto"/>
        </w:rPr>
        <w:t xml:space="preserve">. The Company shall employ Executive, and Executive hereby accepts employment with the Company, upon the terms and conditions set forth in this Agreement for the period beginning on the date hereof and ending on the date on which Executive’s employment is terminated pursuant to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hereof (the “</w:t>
      </w:r>
      <w:r>
        <w:rPr>
          <w:rFonts w:ascii="Arial" w:cs="Arial" w:eastAsia="Arial" w:hAnsi="Arial"/>
          <w:sz w:val="18"/>
          <w:szCs w:val="18"/>
          <w:u w:val="single" w:color="auto"/>
          <w:color w:val="auto"/>
        </w:rPr>
        <w:t>Employment Period</w:t>
      </w:r>
      <w:r>
        <w:rPr>
          <w:rFonts w:ascii="Arial" w:cs="Arial" w:eastAsia="Arial" w:hAnsi="Arial"/>
          <w:sz w:val="18"/>
          <w:szCs w:val="18"/>
          <w:color w:val="auto"/>
        </w:rPr>
        <w:t>”). It is anticipated that Executive will maintain Executive’s primary residence in the State of Illinois during the Employment Period.</w:t>
      </w:r>
    </w:p>
    <w:p>
      <w:pPr>
        <w:spacing w:after="0" w:line="186" w:lineRule="exact"/>
        <w:rPr>
          <w:rFonts w:ascii="Arial" w:cs="Arial" w:eastAsia="Arial" w:hAnsi="Arial"/>
          <w:sz w:val="18"/>
          <w:szCs w:val="18"/>
          <w:color w:val="auto"/>
        </w:rPr>
      </w:pPr>
    </w:p>
    <w:p>
      <w:pPr>
        <w:ind w:left="620" w:hanging="184"/>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Position and Duties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00" w:firstLine="987"/>
        <w:spacing w:after="0" w:line="259" w:lineRule="auto"/>
        <w:tabs>
          <w:tab w:leader="none" w:pos="1236" w:val="left"/>
        </w:tabs>
        <w:numPr>
          <w:ilvl w:val="1"/>
          <w:numId w:val="2"/>
        </w:numPr>
        <w:rPr>
          <w:rFonts w:ascii="Arial" w:cs="Arial" w:eastAsia="Arial" w:hAnsi="Arial"/>
          <w:sz w:val="18"/>
          <w:szCs w:val="18"/>
          <w:color w:val="auto"/>
        </w:rPr>
      </w:pPr>
      <w:r>
        <w:rPr>
          <w:rFonts w:ascii="Arial" w:cs="Arial" w:eastAsia="Arial" w:hAnsi="Arial"/>
          <w:sz w:val="18"/>
          <w:szCs w:val="18"/>
          <w:u w:val="single" w:color="auto"/>
          <w:color w:val="auto"/>
        </w:rPr>
        <w:t>Position; Responsibilities</w:t>
      </w:r>
      <w:r>
        <w:rPr>
          <w:rFonts w:ascii="Arial" w:cs="Arial" w:eastAsia="Arial" w:hAnsi="Arial"/>
          <w:sz w:val="18"/>
          <w:szCs w:val="18"/>
          <w:color w:val="auto"/>
        </w:rPr>
        <w:t>. During the Employment Period, Executive shall serve as the Executive Vice President and Chief Financial Officer of the Company and shall have the normal duties, responsibilities, functions and authority of an executive vice president and chief financial officer, subject to the power and authority of the board of directors (the “</w:t>
      </w:r>
      <w:r>
        <w:rPr>
          <w:rFonts w:ascii="Arial" w:cs="Arial" w:eastAsia="Arial" w:hAnsi="Arial"/>
          <w:sz w:val="18"/>
          <w:szCs w:val="18"/>
          <w:u w:val="single" w:color="auto"/>
          <w:color w:val="auto"/>
        </w:rPr>
        <w:t>Board</w:t>
      </w:r>
      <w:r>
        <w:rPr>
          <w:rFonts w:ascii="Arial" w:cs="Arial" w:eastAsia="Arial" w:hAnsi="Arial"/>
          <w:sz w:val="18"/>
          <w:szCs w:val="18"/>
          <w:color w:val="auto"/>
        </w:rPr>
        <w:t>”) of Acadia Healthcare Company, Inc., a Delaware corporation (“</w:t>
      </w:r>
      <w:r>
        <w:rPr>
          <w:rFonts w:ascii="Arial" w:cs="Arial" w:eastAsia="Arial" w:hAnsi="Arial"/>
          <w:sz w:val="18"/>
          <w:szCs w:val="18"/>
          <w:u w:val="single" w:color="auto"/>
          <w:color w:val="auto"/>
        </w:rPr>
        <w:t>Acadia</w:t>
      </w:r>
      <w:r>
        <w:rPr>
          <w:rFonts w:ascii="Arial" w:cs="Arial" w:eastAsia="Arial" w:hAnsi="Arial"/>
          <w:sz w:val="18"/>
          <w:szCs w:val="18"/>
          <w:color w:val="auto"/>
        </w:rPr>
        <w:t>”), to expand or limit such duties, responsibilities, functions and authority.</w:t>
      </w:r>
    </w:p>
    <w:p>
      <w:pPr>
        <w:spacing w:after="0" w:line="186" w:lineRule="exact"/>
        <w:rPr>
          <w:rFonts w:ascii="Arial" w:cs="Arial" w:eastAsia="Arial" w:hAnsi="Arial"/>
          <w:sz w:val="18"/>
          <w:szCs w:val="18"/>
          <w:color w:val="auto"/>
        </w:rPr>
      </w:pPr>
    </w:p>
    <w:p>
      <w:pPr>
        <w:ind w:right="40" w:firstLine="987"/>
        <w:spacing w:after="0" w:line="286" w:lineRule="auto"/>
        <w:tabs>
          <w:tab w:leader="none" w:pos="1246" w:val="left"/>
        </w:tabs>
        <w:numPr>
          <w:ilvl w:val="1"/>
          <w:numId w:val="2"/>
        </w:numPr>
        <w:rPr>
          <w:rFonts w:ascii="Arial" w:cs="Arial" w:eastAsia="Arial" w:hAnsi="Arial"/>
          <w:sz w:val="16"/>
          <w:szCs w:val="16"/>
          <w:color w:val="auto"/>
        </w:rPr>
      </w:pPr>
      <w:r>
        <w:rPr>
          <w:rFonts w:ascii="Arial" w:cs="Arial" w:eastAsia="Arial" w:hAnsi="Arial"/>
          <w:sz w:val="16"/>
          <w:szCs w:val="16"/>
          <w:u w:val="single" w:color="auto"/>
          <w:color w:val="auto"/>
        </w:rPr>
        <w:t>Reporting; Performance of Duties</w:t>
      </w:r>
      <w:r>
        <w:rPr>
          <w:rFonts w:ascii="Arial" w:cs="Arial" w:eastAsia="Arial" w:hAnsi="Arial"/>
          <w:sz w:val="16"/>
          <w:szCs w:val="16"/>
          <w:color w:val="auto"/>
        </w:rPr>
        <w:t xml:space="preserve">. Executive shall report to the Chief Executive Officer of Acadia and devote Executive’s full business time and attention (except for permitted vacation periods and reasonable periods of illness or other incapacity) to the business and affairs of Acadia and the Subsidiaries. So long as Executive is employed by the Company, Executive shall not, without the prior written consent or approval of the Board, perform other services for compensation. Notwithstanding the foregoing, nothing herein shall preclude Executive from (i) serving, with the prior written consent of the Board, as a member of the boards of directors or advisory boards (or their equivalents in the case of a non-corporate entity) of for-profit companies or businesses which are not directly competitive with the Company or any Subsidiary (provided that the prior written consent of the Board shall not be required for Executive to serve as a member of the boards of directors or advisory boards (or their equivalents) of the companies listed on </w:t>
      </w:r>
      <w:r>
        <w:rPr>
          <w:rFonts w:ascii="Arial" w:cs="Arial" w:eastAsia="Arial" w:hAnsi="Arial"/>
          <w:sz w:val="16"/>
          <w:szCs w:val="16"/>
          <w:u w:val="single" w:color="auto"/>
          <w:color w:val="auto"/>
        </w:rPr>
        <w:t>Exhibit A</w:t>
      </w:r>
      <w:r>
        <w:rPr>
          <w:rFonts w:ascii="Arial" w:cs="Arial" w:eastAsia="Arial" w:hAnsi="Arial"/>
          <w:sz w:val="16"/>
          <w:szCs w:val="16"/>
          <w:color w:val="auto"/>
        </w:rPr>
        <w:t>), (ii) engaging in charitable activities and community affairs (including serving as a member of the boards of directors or advisory boards (or their equivalents in the case of a non-corporate entity) of not-for-profit, charitable or community organizations which are not directly competitive with the Company or any Subsidiary); provided, however, the activities set out in clauses (i) and (ii) above shall be limited by Executive so as not to materially interfere, individually or in the aggregate, with the performance of Executive’s duties and responsibilities hereunder. For the avoidance of doubt, so long as Executive is employed by the Company, Executive shall not provide any services to any company or business that is directly competitive with Acadia or the Subsidiaries (whether for-profit or not-for-profit) without the prior written consent of the Board.</w:t>
      </w:r>
    </w:p>
    <w:p>
      <w:pPr>
        <w:sectPr>
          <w:pgSz w:w="11900" w:h="16838" w:orient="portrait"/>
          <w:cols w:equalWidth="0" w:num="1">
            <w:col w:w="11020"/>
          </w:cols>
          <w:pgMar w:left="440" w:top="121" w:right="439" w:bottom="1440" w:gutter="0" w:footer="0" w:header="0"/>
        </w:sectPr>
      </w:pPr>
    </w:p>
    <w:bookmarkStart w:id="5" w:name="page6"/>
    <w:bookmarkEnd w:id="5"/>
    <w:p>
      <w:pPr>
        <w:ind w:left="620" w:hanging="184"/>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74865" cy="50800"/>
                    </a:xfrm>
                    <a:prstGeom prst="rect">
                      <a:avLst/>
                    </a:prstGeom>
                    <a:noFill/>
                  </pic:spPr>
                </pic:pic>
              </a:graphicData>
            </a:graphic>
          </wp:anchor>
        </w:drawing>
        <w:t>Compensation and Benefits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40" w:firstLine="987"/>
        <w:spacing w:after="0" w:line="257" w:lineRule="auto"/>
        <w:tabs>
          <w:tab w:leader="none" w:pos="1236" w:val="left"/>
        </w:tabs>
        <w:numPr>
          <w:ilvl w:val="1"/>
          <w:numId w:val="3"/>
        </w:numPr>
        <w:rPr>
          <w:rFonts w:ascii="Arial" w:cs="Arial" w:eastAsia="Arial" w:hAnsi="Arial"/>
          <w:sz w:val="18"/>
          <w:szCs w:val="18"/>
          <w:color w:val="auto"/>
        </w:rPr>
      </w:pPr>
      <w:r>
        <w:rPr>
          <w:rFonts w:ascii="Arial" w:cs="Arial" w:eastAsia="Arial" w:hAnsi="Arial"/>
          <w:sz w:val="18"/>
          <w:szCs w:val="18"/>
          <w:u w:val="single" w:color="auto"/>
          <w:color w:val="auto"/>
        </w:rPr>
        <w:t>Base Salary</w:t>
      </w:r>
      <w:r>
        <w:rPr>
          <w:rFonts w:ascii="Arial" w:cs="Arial" w:eastAsia="Arial" w:hAnsi="Arial"/>
          <w:sz w:val="18"/>
          <w:szCs w:val="18"/>
          <w:color w:val="auto"/>
        </w:rPr>
        <w:t>. During the Employment Period, Executive’s base salary shall be $690,000 per annum, subject to increase by the Board or Acadia’s Compensation Committee (the “</w:t>
      </w:r>
      <w:r>
        <w:rPr>
          <w:rFonts w:ascii="Arial" w:cs="Arial" w:eastAsia="Arial" w:hAnsi="Arial"/>
          <w:sz w:val="18"/>
          <w:szCs w:val="18"/>
          <w:u w:val="single" w:color="auto"/>
          <w:color w:val="auto"/>
        </w:rPr>
        <w:t>Compensation Committee</w:t>
      </w:r>
      <w:r>
        <w:rPr>
          <w:rFonts w:ascii="Arial" w:cs="Arial" w:eastAsia="Arial" w:hAnsi="Arial"/>
          <w:sz w:val="18"/>
          <w:szCs w:val="18"/>
          <w:color w:val="auto"/>
        </w:rPr>
        <w:t>”) in its sole discretion on an annual basis (as adjusted from time to time, the “</w:t>
      </w:r>
      <w:r>
        <w:rPr>
          <w:rFonts w:ascii="Arial" w:cs="Arial" w:eastAsia="Arial" w:hAnsi="Arial"/>
          <w:sz w:val="18"/>
          <w:szCs w:val="18"/>
          <w:u w:val="single" w:color="auto"/>
          <w:color w:val="auto"/>
        </w:rPr>
        <w:t>Base</w:t>
      </w:r>
      <w:r>
        <w:rPr>
          <w:rFonts w:ascii="Arial" w:cs="Arial" w:eastAsia="Arial" w:hAnsi="Arial"/>
          <w:sz w:val="18"/>
          <w:szCs w:val="18"/>
          <w:color w:val="auto"/>
        </w:rPr>
        <w:t xml:space="preserve"> </w:t>
      </w:r>
      <w:r>
        <w:rPr>
          <w:rFonts w:ascii="Arial" w:cs="Arial" w:eastAsia="Arial" w:hAnsi="Arial"/>
          <w:sz w:val="18"/>
          <w:szCs w:val="18"/>
          <w:u w:val="single" w:color="auto"/>
          <w:color w:val="auto"/>
        </w:rPr>
        <w:t>Salary</w:t>
      </w:r>
      <w:r>
        <w:rPr>
          <w:rFonts w:ascii="Arial" w:cs="Arial" w:eastAsia="Arial" w:hAnsi="Arial"/>
          <w:sz w:val="18"/>
          <w:szCs w:val="18"/>
          <w:color w:val="auto"/>
        </w:rPr>
        <w:t>”), which salary shall be payable by the Company in regular installments in accordance with the Company’s general payroll practices (as in effect from time to time). The Base Salary for any partial year during the Employment Period will be based upon the actual number of days elapsed in such year.</w:t>
      </w:r>
    </w:p>
    <w:p>
      <w:pPr>
        <w:spacing w:after="0" w:line="187" w:lineRule="exact"/>
        <w:rPr>
          <w:rFonts w:ascii="Arial" w:cs="Arial" w:eastAsia="Arial" w:hAnsi="Arial"/>
          <w:sz w:val="18"/>
          <w:szCs w:val="18"/>
          <w:color w:val="auto"/>
        </w:rPr>
      </w:pPr>
    </w:p>
    <w:p>
      <w:pPr>
        <w:ind w:left="1240" w:hanging="253"/>
        <w:spacing w:after="0"/>
        <w:tabs>
          <w:tab w:leader="none" w:pos="1240" w:val="left"/>
        </w:tabs>
        <w:numPr>
          <w:ilvl w:val="1"/>
          <w:numId w:val="3"/>
        </w:numPr>
        <w:rPr>
          <w:rFonts w:ascii="Arial" w:cs="Arial" w:eastAsia="Arial" w:hAnsi="Arial"/>
          <w:sz w:val="17"/>
          <w:szCs w:val="17"/>
          <w:color w:val="auto"/>
        </w:rPr>
      </w:pPr>
      <w:r>
        <w:rPr>
          <w:rFonts w:ascii="Arial" w:cs="Arial" w:eastAsia="Arial" w:hAnsi="Arial"/>
          <w:sz w:val="17"/>
          <w:szCs w:val="17"/>
          <w:u w:val="single" w:color="auto"/>
          <w:color w:val="auto"/>
        </w:rPr>
        <w:t>Bonus</w:t>
      </w:r>
      <w:r>
        <w:rPr>
          <w:rFonts w:ascii="Arial" w:cs="Arial" w:eastAsia="Arial" w:hAnsi="Arial"/>
          <w:sz w:val="17"/>
          <w:szCs w:val="17"/>
          <w:color w:val="auto"/>
        </w:rPr>
        <w:t>. In addition to the Base Salary, during each calendar year of the Employment Period beginning with the year ending</w:t>
      </w:r>
    </w:p>
    <w:p>
      <w:pPr>
        <w:spacing w:after="0" w:line="35" w:lineRule="exact"/>
        <w:rPr>
          <w:sz w:val="20"/>
          <w:szCs w:val="20"/>
          <w:color w:val="auto"/>
        </w:rPr>
      </w:pPr>
    </w:p>
    <w:p>
      <w:pPr>
        <w:ind w:right="60"/>
        <w:spacing w:after="0" w:line="267" w:lineRule="auto"/>
        <w:rPr>
          <w:sz w:val="20"/>
          <w:szCs w:val="20"/>
          <w:color w:val="auto"/>
        </w:rPr>
      </w:pPr>
      <w:r>
        <w:rPr>
          <w:rFonts w:ascii="Arial" w:cs="Arial" w:eastAsia="Arial" w:hAnsi="Arial"/>
          <w:sz w:val="17"/>
          <w:szCs w:val="17"/>
          <w:color w:val="auto"/>
        </w:rPr>
        <w:t>December 31, 2023, Executive will be eligible to earn a target annual cash bonus of 85% of the Base Salary (the “</w:t>
      </w:r>
      <w:r>
        <w:rPr>
          <w:rFonts w:ascii="Arial" w:cs="Arial" w:eastAsia="Arial" w:hAnsi="Arial"/>
          <w:sz w:val="17"/>
          <w:szCs w:val="17"/>
          <w:u w:val="single" w:color="auto"/>
          <w:color w:val="auto"/>
        </w:rPr>
        <w:t>Annual Bonus</w:t>
      </w:r>
      <w:r>
        <w:rPr>
          <w:rFonts w:ascii="Arial" w:cs="Arial" w:eastAsia="Arial" w:hAnsi="Arial"/>
          <w:sz w:val="17"/>
          <w:szCs w:val="17"/>
          <w:color w:val="auto"/>
        </w:rPr>
        <w:t>”) in accordance with the Company’s annual bonus plan applicable to senior executives, which currently provides a range of 0% for performance below threshold performance, 42.5% for threshold performance, and up to a maximum cash bonus determined in accordance with the Company’s annual bonus plan for senior executives (which for Executive shall be 170% of Base Salary), if and only if Executive, Acadia and the Subsidiaries achieve the performance criteria specified by the Board or the Compensation Committee for such year, as determined by the Board or the Compensation Committee in its sole discretion. Notwithstanding the foregoing, Executive’s Annual Bonus for the 2023 calendar year will be pro-rated based on the portion of the 2023 calendar year that Executive is employed by the Company hereunder. Unless otherwise agreed to by Executive, any such bonus amount for any year shall be earned (if awarded) on the last day of such year and paid by the Company in the calendar year following the calendar year to which such bonus has been earned and no later than the earlier of (x) the date that is ten (10) business days after the Company’s receipt of its audited financial statements for the calendar year with respect to which such bonus has been earned and (y) December 31 of the calendar year following such year with respect to which such bonus has been earned.</w:t>
      </w:r>
    </w:p>
    <w:p>
      <w:pPr>
        <w:spacing w:after="0" w:line="186" w:lineRule="exact"/>
        <w:rPr>
          <w:sz w:val="20"/>
          <w:szCs w:val="20"/>
          <w:color w:val="auto"/>
        </w:rPr>
      </w:pPr>
    </w:p>
    <w:p>
      <w:pPr>
        <w:ind w:firstLine="987"/>
        <w:spacing w:after="0" w:line="277" w:lineRule="auto"/>
        <w:tabs>
          <w:tab w:leader="none" w:pos="1236"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Cash Award</w:t>
      </w:r>
      <w:r>
        <w:rPr>
          <w:rFonts w:ascii="Arial" w:cs="Arial" w:eastAsia="Arial" w:hAnsi="Arial"/>
          <w:sz w:val="18"/>
          <w:szCs w:val="18"/>
          <w:color w:val="auto"/>
        </w:rPr>
        <w:t>. Executive will receive a one-time cash award in an amount equal to $300,000 (the “</w:t>
      </w:r>
      <w:r>
        <w:rPr>
          <w:rFonts w:ascii="Arial" w:cs="Arial" w:eastAsia="Arial" w:hAnsi="Arial"/>
          <w:sz w:val="18"/>
          <w:szCs w:val="18"/>
          <w:u w:val="single" w:color="auto"/>
          <w:color w:val="auto"/>
        </w:rPr>
        <w:t>Cash Award</w:t>
      </w:r>
      <w:r>
        <w:rPr>
          <w:rFonts w:ascii="Arial" w:cs="Arial" w:eastAsia="Arial" w:hAnsi="Arial"/>
          <w:sz w:val="18"/>
          <w:szCs w:val="18"/>
          <w:color w:val="auto"/>
        </w:rPr>
        <w:t>”), payable in a lump sum on or before March 31, 2024, provided that Executive remains employed by the Company through such payment date.</w:t>
      </w:r>
    </w:p>
    <w:p>
      <w:pPr>
        <w:spacing w:after="0" w:line="170" w:lineRule="exact"/>
        <w:rPr>
          <w:rFonts w:ascii="Arial" w:cs="Arial" w:eastAsia="Arial" w:hAnsi="Arial"/>
          <w:sz w:val="18"/>
          <w:szCs w:val="18"/>
          <w:color w:val="auto"/>
        </w:rPr>
      </w:pPr>
    </w:p>
    <w:p>
      <w:pPr>
        <w:ind w:left="1240" w:hanging="253"/>
        <w:spacing w:after="0"/>
        <w:tabs>
          <w:tab w:leader="none" w:pos="124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Long-Term Incentive Compensation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80" w:firstLine="1428"/>
        <w:spacing w:after="0" w:line="296" w:lineRule="auto"/>
        <w:tabs>
          <w:tab w:leader="none" w:pos="1647" w:val="left"/>
        </w:tabs>
        <w:numPr>
          <w:ilvl w:val="1"/>
          <w:numId w:val="4"/>
        </w:numPr>
        <w:rPr>
          <w:rFonts w:ascii="Arial" w:cs="Arial" w:eastAsia="Arial" w:hAnsi="Arial"/>
          <w:sz w:val="16"/>
          <w:szCs w:val="16"/>
          <w:color w:val="auto"/>
        </w:rPr>
      </w:pPr>
      <w:r>
        <w:rPr>
          <w:rFonts w:ascii="Arial" w:cs="Arial" w:eastAsia="Arial" w:hAnsi="Arial"/>
          <w:sz w:val="16"/>
          <w:szCs w:val="16"/>
          <w:color w:val="auto"/>
        </w:rPr>
        <w:t>Subject to approval by the Board and the Compensation Committee (which shall be sought as soon as practicable following the effectiveness of this Agreement), Executive shall receive, as soon as practicable following the date hereof, (a) an initial long-term incentive award (the “</w:t>
      </w:r>
      <w:r>
        <w:rPr>
          <w:rFonts w:ascii="Arial" w:cs="Arial" w:eastAsia="Arial" w:hAnsi="Arial"/>
          <w:sz w:val="16"/>
          <w:szCs w:val="16"/>
          <w:u w:val="single" w:color="auto"/>
          <w:color w:val="auto"/>
        </w:rPr>
        <w:t>Initial Award</w:t>
      </w:r>
      <w:r>
        <w:rPr>
          <w:rFonts w:ascii="Arial" w:cs="Arial" w:eastAsia="Arial" w:hAnsi="Arial"/>
          <w:sz w:val="16"/>
          <w:szCs w:val="16"/>
          <w:color w:val="auto"/>
        </w:rPr>
        <w:t>”) consisting of time-based restricted stock units to acquire shares of the common stock of Acadia (“</w:t>
      </w:r>
      <w:r>
        <w:rPr>
          <w:rFonts w:ascii="Arial" w:cs="Arial" w:eastAsia="Arial" w:hAnsi="Arial"/>
          <w:sz w:val="16"/>
          <w:szCs w:val="16"/>
          <w:u w:val="single" w:color="auto"/>
          <w:color w:val="auto"/>
        </w:rPr>
        <w:t>RSUs</w:t>
      </w:r>
      <w:r>
        <w:rPr>
          <w:rFonts w:ascii="Arial" w:cs="Arial" w:eastAsia="Arial" w:hAnsi="Arial"/>
          <w:sz w:val="16"/>
          <w:szCs w:val="16"/>
          <w:color w:val="auto"/>
        </w:rPr>
        <w:t>”) with an aggregate grant date fair value of $500,000 and performance stock units to acquire shares of the common stock of Acadia (“</w:t>
      </w:r>
      <w:r>
        <w:rPr>
          <w:rFonts w:ascii="Arial" w:cs="Arial" w:eastAsia="Arial" w:hAnsi="Arial"/>
          <w:sz w:val="16"/>
          <w:szCs w:val="16"/>
          <w:u w:val="single" w:color="auto"/>
          <w:color w:val="auto"/>
        </w:rPr>
        <w:t>PSUs</w:t>
      </w:r>
      <w:r>
        <w:rPr>
          <w:rFonts w:ascii="Arial" w:cs="Arial" w:eastAsia="Arial" w:hAnsi="Arial"/>
          <w:sz w:val="16"/>
          <w:szCs w:val="16"/>
          <w:color w:val="auto"/>
        </w:rPr>
        <w:t>”) with an aggregate target grant date fair value of $1,500,000, and (b) an additional long-term incentive award (the “</w:t>
      </w:r>
      <w:r>
        <w:rPr>
          <w:rFonts w:ascii="Arial" w:cs="Arial" w:eastAsia="Arial" w:hAnsi="Arial"/>
          <w:sz w:val="16"/>
          <w:szCs w:val="16"/>
          <w:u w:val="single" w:color="auto"/>
          <w:color w:val="auto"/>
        </w:rPr>
        <w:t>Additional Award</w:t>
      </w:r>
      <w:r>
        <w:rPr>
          <w:rFonts w:ascii="Arial" w:cs="Arial" w:eastAsia="Arial" w:hAnsi="Arial"/>
          <w:sz w:val="16"/>
          <w:szCs w:val="16"/>
          <w:color w:val="auto"/>
        </w:rPr>
        <w:t>” and, together with the Initial Award, the “</w:t>
      </w:r>
      <w:r>
        <w:rPr>
          <w:rFonts w:ascii="Arial" w:cs="Arial" w:eastAsia="Arial" w:hAnsi="Arial"/>
          <w:sz w:val="16"/>
          <w:szCs w:val="16"/>
          <w:u w:val="single" w:color="auto"/>
          <w:color w:val="auto"/>
        </w:rPr>
        <w:t>Awards</w:t>
      </w:r>
      <w:r>
        <w:rPr>
          <w:rFonts w:ascii="Arial" w:cs="Arial" w:eastAsia="Arial" w:hAnsi="Arial"/>
          <w:sz w:val="16"/>
          <w:szCs w:val="16"/>
          <w:color w:val="auto"/>
        </w:rPr>
        <w:t>”)</w:t>
      </w:r>
    </w:p>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60"/>
          </w:cols>
          <w:pgMar w:left="440" w:top="490" w:right="499" w:bottom="1440" w:gutter="0" w:footer="0" w:header="0"/>
        </w:sectPr>
      </w:pPr>
    </w:p>
    <w:bookmarkStart w:id="6" w:name="page7"/>
    <w:bookmarkEnd w:id="6"/>
    <w:p>
      <w:pPr>
        <w:ind w:left="4"/>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74865" cy="50800"/>
                    </a:xfrm>
                    <a:prstGeom prst="rect">
                      <a:avLst/>
                    </a:prstGeom>
                    <a:noFill/>
                  </pic:spPr>
                </pic:pic>
              </a:graphicData>
            </a:graphic>
          </wp:anchor>
        </w:drawing>
        <w:t xml:space="preserve">consisting of RSUs with an aggregate grant date fair value of $2,000,000 and PSUs with an aggregate target grant date fair value of $2,000,000. RSUs included in the Awards shall vest in four equal annual installments from the date of grant;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Executive has not suffered a Termination (as such term is defined in Acadia’s Incentive Compensation Plan) prior to the applicable vesting date. PSUs included in the Awards shall vest based on performance over a three-year performance period commencing on January 1, 2023 and ending on December 31, 2025;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except as otherwise provided in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or the form of award agreement documenting the terms of such award, Executive has not suffered a Termination prior to the last day of such performance period. The performance criteria for such PSUs shall be established by the Board or the Compensation Committee, with 50% of such performance criteria based on EBITDA and 50% of such performance criteria based on earnings per share.</w:t>
      </w:r>
    </w:p>
    <w:p>
      <w:pPr>
        <w:spacing w:after="0" w:line="166" w:lineRule="exact"/>
        <w:rPr>
          <w:sz w:val="20"/>
          <w:szCs w:val="20"/>
          <w:color w:val="auto"/>
        </w:rPr>
      </w:pPr>
    </w:p>
    <w:p>
      <w:pPr>
        <w:ind w:left="4" w:right="180" w:firstLine="1428"/>
        <w:spacing w:after="0" w:line="342" w:lineRule="auto"/>
        <w:tabs>
          <w:tab w:leader="none" w:pos="1701" w:val="left"/>
        </w:tabs>
        <w:numPr>
          <w:ilvl w:val="3"/>
          <w:numId w:val="5"/>
        </w:numPr>
        <w:rPr>
          <w:rFonts w:ascii="Arial" w:cs="Arial" w:eastAsia="Arial" w:hAnsi="Arial"/>
          <w:sz w:val="16"/>
          <w:szCs w:val="16"/>
          <w:color w:val="auto"/>
        </w:rPr>
      </w:pPr>
      <w:r>
        <w:rPr>
          <w:rFonts w:ascii="Arial" w:cs="Arial" w:eastAsia="Arial" w:hAnsi="Arial"/>
          <w:sz w:val="16"/>
          <w:szCs w:val="16"/>
          <w:color w:val="auto"/>
        </w:rPr>
        <w:t>Commencing with Acadia’s 2024 fiscal year, Executive shall be eligible to receive annual grants of long-term incentive awards in amounts as determined by the Compensation Committee and on terms and conditions comparable to Acadia’s other senior executives.</w:t>
      </w:r>
    </w:p>
    <w:p>
      <w:pPr>
        <w:spacing w:after="0" w:line="123" w:lineRule="exact"/>
        <w:rPr>
          <w:rFonts w:ascii="Arial" w:cs="Arial" w:eastAsia="Arial" w:hAnsi="Arial"/>
          <w:sz w:val="16"/>
          <w:szCs w:val="16"/>
          <w:color w:val="auto"/>
        </w:rPr>
      </w:pPr>
    </w:p>
    <w:p>
      <w:pPr>
        <w:ind w:left="4" w:right="100" w:firstLine="987"/>
        <w:spacing w:after="0" w:line="273" w:lineRule="auto"/>
        <w:tabs>
          <w:tab w:leader="none" w:pos="1240" w:val="left"/>
        </w:tabs>
        <w:numPr>
          <w:ilvl w:val="2"/>
          <w:numId w:val="6"/>
        </w:numPr>
        <w:rPr>
          <w:rFonts w:ascii="Arial" w:cs="Arial" w:eastAsia="Arial" w:hAnsi="Arial"/>
          <w:sz w:val="17"/>
          <w:szCs w:val="17"/>
          <w:color w:val="auto"/>
        </w:rPr>
      </w:pPr>
      <w:r>
        <w:rPr>
          <w:rFonts w:ascii="Arial" w:cs="Arial" w:eastAsia="Arial" w:hAnsi="Arial"/>
          <w:sz w:val="17"/>
          <w:szCs w:val="17"/>
          <w:u w:val="single" w:color="auto"/>
          <w:color w:val="auto"/>
        </w:rPr>
        <w:t>Business Expenses</w:t>
      </w:r>
      <w:r>
        <w:rPr>
          <w:rFonts w:ascii="Arial" w:cs="Arial" w:eastAsia="Arial" w:hAnsi="Arial"/>
          <w:sz w:val="17"/>
          <w:szCs w:val="17"/>
          <w:color w:val="auto"/>
        </w:rPr>
        <w:t>. During the Employment Period, the Company shall reimburse Executive bi-weekly in accordance with the Company’s customary payroll practices for all reasonable out-of-pocket business expenses incurred by Executive in the course of performing Executive’s duties and responsibilities under this Agreement, including, without limitation, all travel, lodging and meal expenses relating to Executive’s travel from Executive’s home in the State of Illinois to work at the Company’s corporate office in Franklin, Tennessee, which are consistent with the Company’s policies in effect from time to time with respect to travel, lodging, meals, entertainment and other business expenses, subject to the Company’s requirements with respect to reporting and documentation of such expenses.</w:t>
      </w:r>
    </w:p>
    <w:p>
      <w:pPr>
        <w:spacing w:after="0" w:line="177" w:lineRule="exact"/>
        <w:rPr>
          <w:rFonts w:ascii="Arial" w:cs="Arial" w:eastAsia="Arial" w:hAnsi="Arial"/>
          <w:sz w:val="17"/>
          <w:szCs w:val="17"/>
          <w:color w:val="auto"/>
        </w:rPr>
      </w:pPr>
    </w:p>
    <w:p>
      <w:pPr>
        <w:jc w:val="both"/>
        <w:ind w:left="4" w:right="240" w:firstLine="987"/>
        <w:spacing w:after="0" w:line="263" w:lineRule="auto"/>
        <w:tabs>
          <w:tab w:leader="none" w:pos="1220" w:val="left"/>
        </w:tabs>
        <w:numPr>
          <w:ilvl w:val="2"/>
          <w:numId w:val="6"/>
        </w:numPr>
        <w:rPr>
          <w:rFonts w:ascii="Arial" w:cs="Arial" w:eastAsia="Arial" w:hAnsi="Arial"/>
          <w:sz w:val="18"/>
          <w:szCs w:val="18"/>
          <w:color w:val="auto"/>
        </w:rPr>
      </w:pPr>
      <w:r>
        <w:rPr>
          <w:rFonts w:ascii="Arial" w:cs="Arial" w:eastAsia="Arial" w:hAnsi="Arial"/>
          <w:sz w:val="18"/>
          <w:szCs w:val="18"/>
          <w:u w:val="single" w:color="auto"/>
          <w:color w:val="auto"/>
        </w:rPr>
        <w:t>Benefits</w:t>
      </w:r>
      <w:r>
        <w:rPr>
          <w:rFonts w:ascii="Arial" w:cs="Arial" w:eastAsia="Arial" w:hAnsi="Arial"/>
          <w:sz w:val="18"/>
          <w:szCs w:val="18"/>
          <w:color w:val="auto"/>
        </w:rPr>
        <w:t xml:space="preserve">. In addition to (but without duplication of) the Base Salary and any bonuses payable to Executive pursuant to this </w:t>
      </w:r>
      <w:r>
        <w:rPr>
          <w:rFonts w:ascii="Arial" w:cs="Arial" w:eastAsia="Arial" w:hAnsi="Arial"/>
          <w:sz w:val="18"/>
          <w:szCs w:val="18"/>
          <w:u w:val="single" w:color="auto"/>
          <w:color w:val="auto"/>
        </w:rPr>
        <w:t>Section 3</w:t>
      </w:r>
      <w:r>
        <w:rPr>
          <w:rFonts w:ascii="Arial" w:cs="Arial" w:eastAsia="Arial" w:hAnsi="Arial"/>
          <w:sz w:val="18"/>
          <w:szCs w:val="18"/>
          <w:color w:val="auto"/>
        </w:rPr>
        <w:t>, Executive shall be entitled to participate at Executive’s sole discretion in all of the Company’s employee benefit programs for which senior executive employees of the Company are generally eligible.</w:t>
      </w:r>
    </w:p>
    <w:p>
      <w:pPr>
        <w:spacing w:after="0" w:line="183" w:lineRule="exact"/>
        <w:rPr>
          <w:rFonts w:ascii="Arial" w:cs="Arial" w:eastAsia="Arial" w:hAnsi="Arial"/>
          <w:sz w:val="18"/>
          <w:szCs w:val="18"/>
          <w:color w:val="auto"/>
        </w:rPr>
      </w:pPr>
    </w:p>
    <w:p>
      <w:pPr>
        <w:ind w:left="4" w:right="20" w:firstLine="987"/>
        <w:spacing w:after="0" w:line="291" w:lineRule="auto"/>
        <w:tabs>
          <w:tab w:leader="none" w:pos="1250" w:val="left"/>
        </w:tabs>
        <w:numPr>
          <w:ilvl w:val="2"/>
          <w:numId w:val="6"/>
        </w:numPr>
        <w:rPr>
          <w:rFonts w:ascii="Arial" w:cs="Arial" w:eastAsia="Arial" w:hAnsi="Arial"/>
          <w:sz w:val="16"/>
          <w:szCs w:val="16"/>
          <w:color w:val="auto"/>
        </w:rPr>
      </w:pPr>
      <w:r>
        <w:rPr>
          <w:rFonts w:ascii="Arial" w:cs="Arial" w:eastAsia="Arial" w:hAnsi="Arial"/>
          <w:sz w:val="16"/>
          <w:szCs w:val="16"/>
          <w:u w:val="single" w:color="auto"/>
          <w:color w:val="auto"/>
        </w:rPr>
        <w:t>Counsel Fees</w:t>
      </w:r>
      <w:r>
        <w:rPr>
          <w:rFonts w:ascii="Arial" w:cs="Arial" w:eastAsia="Arial" w:hAnsi="Arial"/>
          <w:sz w:val="16"/>
          <w:szCs w:val="16"/>
          <w:color w:val="auto"/>
        </w:rPr>
        <w:t>. Upon presentation of appropriate documentation, the Company shall pay Executive’s reasonable counsel fees incurred in connection with the negotiation and documentation of this Agreement in an amount up to $7,000, and matters related hereto, payable within thirty</w:t>
      </w:r>
    </w:p>
    <w:p>
      <w:pPr>
        <w:ind w:left="344" w:hanging="344"/>
        <w:spacing w:after="0"/>
        <w:tabs>
          <w:tab w:leader="none" w:pos="344" w:val="left"/>
        </w:tabs>
        <w:numPr>
          <w:ilvl w:val="0"/>
          <w:numId w:val="7"/>
        </w:numPr>
        <w:rPr>
          <w:rFonts w:ascii="Arial" w:cs="Arial" w:eastAsia="Arial" w:hAnsi="Arial"/>
          <w:sz w:val="18"/>
          <w:szCs w:val="18"/>
          <w:color w:val="auto"/>
        </w:rPr>
      </w:pPr>
      <w:r>
        <w:rPr>
          <w:rFonts w:ascii="Arial" w:cs="Arial" w:eastAsia="Arial" w:hAnsi="Arial"/>
          <w:sz w:val="18"/>
          <w:szCs w:val="18"/>
          <w:color w:val="auto"/>
        </w:rPr>
        <w:t>days following the execution of this Agreement.</w:t>
      </w:r>
    </w:p>
    <w:p>
      <w:pPr>
        <w:spacing w:after="0" w:line="210" w:lineRule="exact"/>
        <w:rPr>
          <w:rFonts w:ascii="Arial" w:cs="Arial" w:eastAsia="Arial" w:hAnsi="Arial"/>
          <w:sz w:val="18"/>
          <w:szCs w:val="18"/>
          <w:color w:val="auto"/>
        </w:rPr>
      </w:pPr>
    </w:p>
    <w:p>
      <w:pPr>
        <w:ind w:left="624" w:hanging="184"/>
        <w:spacing w:after="0"/>
        <w:tabs>
          <w:tab w:leader="none" w:pos="624" w:val="left"/>
        </w:tabs>
        <w:numPr>
          <w:ilvl w:val="1"/>
          <w:numId w:val="7"/>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 w:right="100" w:firstLine="987"/>
        <w:spacing w:after="0" w:line="259" w:lineRule="auto"/>
        <w:tabs>
          <w:tab w:leader="none" w:pos="1237" w:val="left"/>
        </w:tabs>
        <w:numPr>
          <w:ilvl w:val="2"/>
          <w:numId w:val="7"/>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The Employment Period shall terminate automatically and immediately upon Executive’s resignation for any reason (whether with Good Reason or without Good Reason), Executive’s death or becoming Disabled, or upon the termination of Executive’s employment by the Company (through action by the Board) for any reason (whether for Cause or without Cause). The date on which Executive ceases to be employed by the Company is referred to herein as the “</w:t>
      </w:r>
      <w:r>
        <w:rPr>
          <w:rFonts w:ascii="Arial" w:cs="Arial" w:eastAsia="Arial" w:hAnsi="Arial"/>
          <w:sz w:val="18"/>
          <w:szCs w:val="18"/>
          <w:u w:val="single" w:color="auto"/>
          <w:color w:val="auto"/>
        </w:rPr>
        <w:t>Termination Date</w:t>
      </w:r>
      <w:r>
        <w:rPr>
          <w:rFonts w:ascii="Arial" w:cs="Arial" w:eastAsia="Arial" w:hAnsi="Arial"/>
          <w:sz w:val="18"/>
          <w:szCs w:val="18"/>
          <w:color w:val="auto"/>
        </w:rPr>
        <w:t>.”</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4"/>
          </w:cols>
          <w:pgMar w:left="436" w:top="490" w:right="439" w:bottom="1440" w:gutter="0" w:footer="0" w:header="0"/>
        </w:sectPr>
      </w:pPr>
    </w:p>
    <w:bookmarkStart w:id="7" w:name="page8"/>
    <w:bookmarkEnd w:id="7"/>
    <w:p>
      <w:pPr>
        <w:ind w:right="540" w:firstLine="987"/>
        <w:spacing w:after="0" w:line="277" w:lineRule="auto"/>
        <w:tabs>
          <w:tab w:leader="none" w:pos="1243"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Termination without Cause or with Good Reason</w:t>
      </w:r>
      <w:r>
        <w:rPr>
          <w:rFonts w:ascii="Arial" w:cs="Arial" w:eastAsia="Arial" w:hAnsi="Arial"/>
          <w:sz w:val="18"/>
          <w:szCs w:val="18"/>
          <w:color w:val="auto"/>
        </w:rPr>
        <w:t>. If the Employment Period is terminated by the Company without Cause or by Executive with Good Reason, then Executive shall be entitled to receive:</w:t>
      </w:r>
    </w:p>
    <w:p>
      <w:pPr>
        <w:spacing w:after="0" w:line="170" w:lineRule="exact"/>
        <w:rPr>
          <w:rFonts w:ascii="Arial" w:cs="Arial" w:eastAsia="Arial" w:hAnsi="Arial"/>
          <w:sz w:val="18"/>
          <w:szCs w:val="18"/>
          <w:color w:val="auto"/>
        </w:rPr>
      </w:pPr>
    </w:p>
    <w:p>
      <w:pPr>
        <w:ind w:left="1640" w:hanging="212"/>
        <w:spacing w:after="0"/>
        <w:tabs>
          <w:tab w:leader="none" w:pos="1640" w:val="left"/>
        </w:tabs>
        <w:numPr>
          <w:ilvl w:val="1"/>
          <w:numId w:val="8"/>
        </w:numPr>
        <w:rPr>
          <w:rFonts w:ascii="Arial" w:cs="Arial" w:eastAsia="Arial" w:hAnsi="Arial"/>
          <w:sz w:val="17"/>
          <w:szCs w:val="17"/>
          <w:color w:val="auto"/>
        </w:rPr>
      </w:pPr>
      <w:r>
        <w:rPr>
          <w:rFonts w:ascii="Arial" w:cs="Arial" w:eastAsia="Arial" w:hAnsi="Arial"/>
          <w:sz w:val="17"/>
          <w:szCs w:val="17"/>
          <w:color w:val="auto"/>
        </w:rPr>
        <w:t xml:space="preserve">Executive’s unpaid Base Salary through the Termination Date (payable in accordance with </w:t>
      </w:r>
      <w:r>
        <w:rPr>
          <w:rFonts w:ascii="Arial" w:cs="Arial" w:eastAsia="Arial" w:hAnsi="Arial"/>
          <w:sz w:val="17"/>
          <w:szCs w:val="17"/>
          <w:u w:val="single" w:color="auto"/>
          <w:color w:val="auto"/>
        </w:rPr>
        <w:t>Section 3(a)</w:t>
      </w:r>
      <w:r>
        <w:rPr>
          <w:rFonts w:ascii="Arial" w:cs="Arial" w:eastAsia="Arial" w:hAnsi="Arial"/>
          <w:sz w:val="17"/>
          <w:szCs w:val="17"/>
          <w:color w:val="auto"/>
        </w:rPr>
        <w:t>, or such earlier date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required by law);</w:t>
      </w:r>
    </w:p>
    <w:p>
      <w:pPr>
        <w:spacing w:after="0" w:line="210" w:lineRule="exact"/>
        <w:rPr>
          <w:rFonts w:ascii="Arial" w:cs="Arial" w:eastAsia="Arial" w:hAnsi="Arial"/>
          <w:sz w:val="17"/>
          <w:szCs w:val="17"/>
          <w:color w:val="auto"/>
        </w:rPr>
      </w:pPr>
    </w:p>
    <w:p>
      <w:pPr>
        <w:jc w:val="both"/>
        <w:ind w:firstLine="1428"/>
        <w:spacing w:after="0" w:line="301" w:lineRule="auto"/>
        <w:tabs>
          <w:tab w:leader="none" w:pos="1697" w:val="left"/>
        </w:tabs>
        <w:numPr>
          <w:ilvl w:val="1"/>
          <w:numId w:val="8"/>
        </w:numPr>
        <w:rPr>
          <w:rFonts w:ascii="Arial" w:cs="Arial" w:eastAsia="Arial" w:hAnsi="Arial"/>
          <w:sz w:val="16"/>
          <w:szCs w:val="16"/>
          <w:color w:val="auto"/>
        </w:rPr>
      </w:pPr>
      <w:r>
        <w:rPr>
          <w:rFonts w:ascii="Arial" w:cs="Arial" w:eastAsia="Arial" w:hAnsi="Arial"/>
          <w:sz w:val="16"/>
          <w:szCs w:val="16"/>
          <w:color w:val="auto"/>
        </w:rPr>
        <w:t xml:space="preserve">an amount equal to the actual annual cash bonus amount to which Executive would be entitled under </w:t>
      </w:r>
      <w:r>
        <w:rPr>
          <w:rFonts w:ascii="Arial" w:cs="Arial" w:eastAsia="Arial" w:hAnsi="Arial"/>
          <w:sz w:val="16"/>
          <w:szCs w:val="16"/>
          <w:u w:val="single" w:color="auto"/>
          <w:color w:val="auto"/>
        </w:rPr>
        <w:t>Section 3(b)</w:t>
      </w:r>
      <w:r>
        <w:rPr>
          <w:rFonts w:ascii="Arial" w:cs="Arial" w:eastAsia="Arial" w:hAnsi="Arial"/>
          <w:sz w:val="16"/>
          <w:szCs w:val="16"/>
          <w:color w:val="auto"/>
        </w:rPr>
        <w:t xml:space="preserve"> with respect to the calendar year in which the Termination Date occurs, determined based on achievement of the performance objectives specified in Executive’s bonus plan for such year, as determined by the Board or the Compensation Committee in its sole discretion, which amount shall be prorated based on the actual number of days elapsed in such year prior to the Termination Date (payable at the same time it would have been paid pursuant to </w:t>
      </w:r>
      <w:r>
        <w:rPr>
          <w:rFonts w:ascii="Arial" w:cs="Arial" w:eastAsia="Arial" w:hAnsi="Arial"/>
          <w:sz w:val="16"/>
          <w:szCs w:val="16"/>
          <w:u w:val="single" w:color="auto"/>
          <w:color w:val="auto"/>
        </w:rPr>
        <w:t>Section 3(b)</w:t>
      </w:r>
      <w:r>
        <w:rPr>
          <w:rFonts w:ascii="Arial" w:cs="Arial" w:eastAsia="Arial" w:hAnsi="Arial"/>
          <w:sz w:val="16"/>
          <w:szCs w:val="16"/>
          <w:color w:val="auto"/>
        </w:rPr>
        <w:t>);</w:t>
      </w:r>
    </w:p>
    <w:p>
      <w:pPr>
        <w:spacing w:after="0" w:line="157" w:lineRule="exact"/>
        <w:rPr>
          <w:rFonts w:ascii="Arial" w:cs="Arial" w:eastAsia="Arial" w:hAnsi="Arial"/>
          <w:sz w:val="16"/>
          <w:szCs w:val="16"/>
          <w:color w:val="auto"/>
        </w:rPr>
      </w:pPr>
    </w:p>
    <w:p>
      <w:pPr>
        <w:jc w:val="both"/>
        <w:ind w:right="60" w:firstLine="1428"/>
        <w:spacing w:after="0" w:line="301" w:lineRule="auto"/>
        <w:tabs>
          <w:tab w:leader="none" w:pos="1747" w:val="left"/>
        </w:tabs>
        <w:numPr>
          <w:ilvl w:val="1"/>
          <w:numId w:val="8"/>
        </w:numPr>
        <w:rPr>
          <w:rFonts w:ascii="Arial" w:cs="Arial" w:eastAsia="Arial" w:hAnsi="Arial"/>
          <w:sz w:val="16"/>
          <w:szCs w:val="16"/>
          <w:color w:val="auto"/>
        </w:rPr>
      </w:pPr>
      <w:r>
        <w:rPr>
          <w:rFonts w:ascii="Arial" w:cs="Arial" w:eastAsia="Arial" w:hAnsi="Arial"/>
          <w:sz w:val="16"/>
          <w:szCs w:val="16"/>
          <w:color w:val="auto"/>
        </w:rPr>
        <w:t xml:space="preserve">an amount equal to one (1) times the target annual cash bonus amount to which Executive would be entitled under </w:t>
      </w:r>
      <w:r>
        <w:rPr>
          <w:rFonts w:ascii="Arial" w:cs="Arial" w:eastAsia="Arial" w:hAnsi="Arial"/>
          <w:sz w:val="16"/>
          <w:szCs w:val="16"/>
          <w:u w:val="single" w:color="auto"/>
          <w:color w:val="auto"/>
        </w:rPr>
        <w:t>Section 3(b)</w:t>
      </w:r>
      <w:r>
        <w:rPr>
          <w:rFonts w:ascii="Arial" w:cs="Arial" w:eastAsia="Arial" w:hAnsi="Arial"/>
          <w:sz w:val="16"/>
          <w:szCs w:val="16"/>
          <w:color w:val="auto"/>
        </w:rPr>
        <w:t xml:space="preserve"> with respect to the calendar year in which the Termination Date occurs, determined as if Executive, Acadia and the Subsidiaries have achieved all of the performance objectives specified in Executive’s bonus plan for such year at the target level, whether or not such objectives actually have been achieved as of the Termination Date (payable in a lump sum within ten (10) business days after the Termination Date);</w:t>
      </w:r>
    </w:p>
    <w:p>
      <w:pPr>
        <w:spacing w:after="0" w:line="157" w:lineRule="exact"/>
        <w:rPr>
          <w:rFonts w:ascii="Arial" w:cs="Arial" w:eastAsia="Arial" w:hAnsi="Arial"/>
          <w:sz w:val="16"/>
          <w:szCs w:val="16"/>
          <w:color w:val="auto"/>
        </w:rPr>
      </w:pPr>
    </w:p>
    <w:p>
      <w:pPr>
        <w:ind w:right="120" w:firstLine="1428"/>
        <w:spacing w:after="0" w:line="277" w:lineRule="auto"/>
        <w:tabs>
          <w:tab w:leader="none" w:pos="1737" w:val="left"/>
        </w:tabs>
        <w:numPr>
          <w:ilvl w:val="1"/>
          <w:numId w:val="8"/>
        </w:numPr>
        <w:rPr>
          <w:rFonts w:ascii="Arial" w:cs="Arial" w:eastAsia="Arial" w:hAnsi="Arial"/>
          <w:sz w:val="18"/>
          <w:szCs w:val="18"/>
          <w:color w:val="auto"/>
        </w:rPr>
      </w:pPr>
      <w:r>
        <w:rPr>
          <w:rFonts w:ascii="Arial" w:cs="Arial" w:eastAsia="Arial" w:hAnsi="Arial"/>
          <w:sz w:val="18"/>
          <w:szCs w:val="18"/>
          <w:color w:val="auto"/>
        </w:rPr>
        <w:t>an amount equal to twelve (12) months of Executive’s Base Salary as in effect on the Termination Date (such 12-month period, the “</w:t>
      </w:r>
      <w:r>
        <w:rPr>
          <w:rFonts w:ascii="Arial" w:cs="Arial" w:eastAsia="Arial" w:hAnsi="Arial"/>
          <w:sz w:val="18"/>
          <w:szCs w:val="18"/>
          <w:u w:val="single" w:color="auto"/>
          <w:color w:val="auto"/>
        </w:rPr>
        <w:t>Severance Period</w:t>
      </w:r>
      <w:r>
        <w:rPr>
          <w:rFonts w:ascii="Arial" w:cs="Arial" w:eastAsia="Arial" w:hAnsi="Arial"/>
          <w:sz w:val="18"/>
          <w:szCs w:val="18"/>
          <w:color w:val="auto"/>
        </w:rPr>
        <w:t>”), (payable in a lump sum within ten (10) business days after the Termination Date);</w:t>
      </w:r>
    </w:p>
    <w:p>
      <w:pPr>
        <w:spacing w:after="0" w:line="170" w:lineRule="exact"/>
        <w:rPr>
          <w:rFonts w:ascii="Arial" w:cs="Arial" w:eastAsia="Arial" w:hAnsi="Arial"/>
          <w:sz w:val="18"/>
          <w:szCs w:val="18"/>
          <w:color w:val="auto"/>
        </w:rPr>
      </w:pPr>
    </w:p>
    <w:p>
      <w:pPr>
        <w:ind w:left="1680" w:hanging="252"/>
        <w:spacing w:after="0"/>
        <w:tabs>
          <w:tab w:leader="none" w:pos="1680" w:val="left"/>
        </w:tabs>
        <w:numPr>
          <w:ilvl w:val="1"/>
          <w:numId w:val="8"/>
        </w:numPr>
        <w:rPr>
          <w:rFonts w:ascii="Arial" w:cs="Arial" w:eastAsia="Arial" w:hAnsi="Arial"/>
          <w:sz w:val="16"/>
          <w:szCs w:val="16"/>
          <w:color w:val="auto"/>
        </w:rPr>
      </w:pPr>
      <w:r>
        <w:rPr>
          <w:rFonts w:ascii="Arial" w:cs="Arial" w:eastAsia="Arial" w:hAnsi="Arial"/>
          <w:sz w:val="16"/>
          <w:szCs w:val="16"/>
          <w:color w:val="auto"/>
        </w:rPr>
        <w:t>payment of the Annual Bonus for the prior year, as well as the Cash Award under Section 3(c), to the extent not previously paid;</w:t>
      </w:r>
    </w:p>
    <w:p>
      <w:pPr>
        <w:spacing w:after="0" w:line="248" w:lineRule="exact"/>
        <w:rPr>
          <w:rFonts w:ascii="Arial" w:cs="Arial" w:eastAsia="Arial" w:hAnsi="Arial"/>
          <w:sz w:val="16"/>
          <w:szCs w:val="16"/>
          <w:color w:val="auto"/>
        </w:rPr>
      </w:pPr>
    </w:p>
    <w:p>
      <w:pPr>
        <w:ind w:firstLine="1428"/>
        <w:spacing w:after="0" w:line="257" w:lineRule="auto"/>
        <w:tabs>
          <w:tab w:leader="none" w:pos="1737" w:val="left"/>
        </w:tabs>
        <w:numPr>
          <w:ilvl w:val="1"/>
          <w:numId w:val="8"/>
        </w:numPr>
        <w:rPr>
          <w:rFonts w:ascii="Arial" w:cs="Arial" w:eastAsia="Arial" w:hAnsi="Arial"/>
          <w:sz w:val="18"/>
          <w:szCs w:val="18"/>
          <w:color w:val="auto"/>
        </w:rPr>
      </w:pPr>
      <w:r>
        <w:rPr>
          <w:rFonts w:ascii="Arial" w:cs="Arial" w:eastAsia="Arial" w:hAnsi="Arial"/>
          <w:sz w:val="18"/>
          <w:szCs w:val="18"/>
          <w:color w:val="auto"/>
        </w:rPr>
        <w:t>payment in respect of any unused paid time off and sick pay of Executive in such amounts as have accrued as of the Termination Date in accordance with the Company’s policies with respect thereto as in effect during the Employment Period, and reimbursement of any business expenses incurred by Executive but not reimbursed prior to the Termination Date in accordance with and reimbursable under the terms of the Company’s policies with respect thereto as in effect on the Termination Date (in each case, payable in a lump sum within ten (10) business days after the Termination Date); and</w:t>
      </w:r>
    </w:p>
    <w:p>
      <w:pPr>
        <w:spacing w:after="0" w:line="187" w:lineRule="exact"/>
        <w:rPr>
          <w:rFonts w:ascii="Arial" w:cs="Arial" w:eastAsia="Arial" w:hAnsi="Arial"/>
          <w:sz w:val="18"/>
          <w:szCs w:val="18"/>
          <w:color w:val="auto"/>
        </w:rPr>
      </w:pPr>
    </w:p>
    <w:p>
      <w:pPr>
        <w:ind w:right="40" w:firstLine="1428"/>
        <w:spacing w:after="0" w:line="291" w:lineRule="auto"/>
        <w:tabs>
          <w:tab w:leader="none" w:pos="1787" w:val="left"/>
        </w:tabs>
        <w:numPr>
          <w:ilvl w:val="1"/>
          <w:numId w:val="8"/>
        </w:numPr>
        <w:rPr>
          <w:rFonts w:ascii="Arial" w:cs="Arial" w:eastAsia="Arial" w:hAnsi="Arial"/>
          <w:sz w:val="16"/>
          <w:szCs w:val="16"/>
          <w:color w:val="auto"/>
        </w:rPr>
      </w:pPr>
      <w:r>
        <w:rPr>
          <w:rFonts w:ascii="Arial" w:cs="Arial" w:eastAsia="Arial" w:hAnsi="Arial"/>
          <w:sz w:val="16"/>
          <w:szCs w:val="16"/>
          <w:color w:val="auto"/>
        </w:rPr>
        <w:t>an amount equal to the cost of the premiums for continued health and dental insurance for Executive and/or Executive’s dependents in accordance with the Consolidated Budget Reconciliation Act of 1985 (“</w:t>
      </w:r>
      <w:r>
        <w:rPr>
          <w:rFonts w:ascii="Arial" w:cs="Arial" w:eastAsia="Arial" w:hAnsi="Arial"/>
          <w:sz w:val="16"/>
          <w:szCs w:val="16"/>
          <w:u w:val="single" w:color="auto"/>
          <w:color w:val="auto"/>
        </w:rPr>
        <w:t>COBRA</w:t>
      </w:r>
      <w:r>
        <w:rPr>
          <w:rFonts w:ascii="Arial" w:cs="Arial" w:eastAsia="Arial" w:hAnsi="Arial"/>
          <w:sz w:val="16"/>
          <w:szCs w:val="16"/>
          <w:color w:val="auto"/>
        </w:rPr>
        <w:t>”) for the period commencing on the Termination Date and ending on the date on which the Severance Period expires (payable in monthly installments during and concurrently with Executive’s COBRA period); provided that if Executive’s COBRA period is terminated or expires prior to expiration of the Severance Period, then Executive shall be entitled to continue to receive an amount equal to the cost of the premiums for continued health and dental insurance for Executive and/or Executive’s dependents in accordance with COBRA (assuming such continued insurance coverage remained available at the same monthly cost) for the period commencing on the date of such termination or expiration and ending on the date on which the Severance Period expires.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490" w:right="459" w:bottom="1440" w:gutter="0" w:footer="0" w:header="0"/>
        </w:sectPr>
      </w:pPr>
    </w:p>
    <w:bookmarkStart w:id="8" w:name="page9"/>
    <w:bookmarkEnd w:id="8"/>
    <w:p>
      <w:pPr>
        <w:ind w:left="1840" w:hanging="412"/>
        <w:spacing w:after="0"/>
        <w:tabs>
          <w:tab w:leader="none" w:pos="1840" w:val="left"/>
        </w:tabs>
        <w:numPr>
          <w:ilvl w:val="0"/>
          <w:numId w:val="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74865" cy="50800"/>
                    </a:xfrm>
                    <a:prstGeom prst="rect">
                      <a:avLst/>
                    </a:prstGeom>
                    <a:noFill/>
                  </pic:spPr>
                </pic:pic>
              </a:graphicData>
            </a:graphic>
          </wp:anchor>
        </w:drawing>
        <w:t>all equity and equity-based awards granted to Executive during the Employment Period (the “</w:t>
      </w:r>
      <w:r>
        <w:rPr>
          <w:rFonts w:ascii="Arial" w:cs="Arial" w:eastAsia="Arial" w:hAnsi="Arial"/>
          <w:sz w:val="16"/>
          <w:szCs w:val="16"/>
          <w:u w:val="single" w:color="auto"/>
          <w:color w:val="auto"/>
        </w:rPr>
        <w:t>Equity Awards</w:t>
      </w:r>
      <w:r>
        <w:rPr>
          <w:rFonts w:ascii="Arial" w:cs="Arial" w:eastAsia="Arial" w:hAnsi="Arial"/>
          <w:sz w:val="16"/>
          <w:szCs w:val="16"/>
          <w:color w:val="auto"/>
        </w:rPr>
        <w:t>”) shall be treated</w:t>
      </w:r>
    </w:p>
    <w:p>
      <w:pPr>
        <w:spacing w:after="0" w:line="46" w:lineRule="exact"/>
        <w:rPr>
          <w:rFonts w:ascii="Arial" w:cs="Arial" w:eastAsia="Arial" w:hAnsi="Arial"/>
          <w:sz w:val="16"/>
          <w:szCs w:val="16"/>
          <w:color w:val="auto"/>
        </w:rPr>
      </w:pPr>
    </w:p>
    <w:p>
      <w:pPr>
        <w:ind w:right="160"/>
        <w:spacing w:after="0" w:line="302" w:lineRule="auto"/>
        <w:rPr>
          <w:rFonts w:ascii="Arial" w:cs="Arial" w:eastAsia="Arial" w:hAnsi="Arial"/>
          <w:sz w:val="16"/>
          <w:szCs w:val="16"/>
          <w:color w:val="auto"/>
        </w:rPr>
      </w:pPr>
      <w:r>
        <w:rPr>
          <w:rFonts w:ascii="Arial" w:cs="Arial" w:eastAsia="Arial" w:hAnsi="Arial"/>
          <w:sz w:val="16"/>
          <w:szCs w:val="16"/>
          <w:color w:val="auto"/>
        </w:rPr>
        <w:t>as set forth below: (A) the Equity Awards subject to time-based vesting requirements will be deemed fully vested on the Termination Date; and (B) the Equity Awards subject to performance-based vesting requirements will remain outstanding and eligible to vest based on actual achievement of the applicable performance conditions, subject to the terms and conditions set forth in the applicable award agreement and/or governing documentation.</w:t>
      </w:r>
    </w:p>
    <w:p>
      <w:pPr>
        <w:spacing w:after="0" w:line="155"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 xml:space="preserve">Notwithstanding the foregoing, Executive shall not be entitled to receive the benefits provided for in </w:t>
      </w:r>
      <w:r>
        <w:rPr>
          <w:rFonts w:ascii="Arial" w:cs="Arial" w:eastAsia="Arial" w:hAnsi="Arial"/>
          <w:sz w:val="18"/>
          <w:szCs w:val="18"/>
          <w:u w:val="single" w:color="auto"/>
          <w:color w:val="auto"/>
        </w:rPr>
        <w:t>Sections 4(b)(ii) – 4(b)(viii)</w:t>
      </w:r>
      <w:r>
        <w:rPr>
          <w:rFonts w:ascii="Arial" w:cs="Arial" w:eastAsia="Arial" w:hAnsi="Arial"/>
          <w:sz w:val="18"/>
          <w:szCs w:val="18"/>
          <w:color w:val="auto"/>
        </w:rPr>
        <w:t xml:space="preserve"> above unless and until Executive signs and delivers and does not revoke the General Release substantially in the form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Executive has not breached any of the provisions of </w:t>
      </w:r>
      <w:r>
        <w:rPr>
          <w:rFonts w:ascii="Arial" w:cs="Arial" w:eastAsia="Arial" w:hAnsi="Arial"/>
          <w:sz w:val="18"/>
          <w:szCs w:val="18"/>
          <w:u w:val="single" w:color="auto"/>
          <w:color w:val="auto"/>
        </w:rPr>
        <w:t>Sections 5, 6 and 7</w:t>
      </w:r>
      <w:r>
        <w:rPr>
          <w:rFonts w:ascii="Arial" w:cs="Arial" w:eastAsia="Arial" w:hAnsi="Arial"/>
          <w:sz w:val="18"/>
          <w:szCs w:val="18"/>
          <w:color w:val="auto"/>
        </w:rPr>
        <w:t xml:space="preserve"> hereof.</w:t>
      </w:r>
    </w:p>
    <w:p>
      <w:pPr>
        <w:spacing w:after="0" w:line="184" w:lineRule="exact"/>
        <w:rPr>
          <w:sz w:val="20"/>
          <w:szCs w:val="20"/>
          <w:color w:val="auto"/>
        </w:rPr>
      </w:pPr>
    </w:p>
    <w:p>
      <w:pPr>
        <w:ind w:right="480" w:firstLine="987"/>
        <w:spacing w:after="0" w:line="277" w:lineRule="auto"/>
        <w:tabs>
          <w:tab w:leader="none" w:pos="1233"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Termination by Death or Disability</w:t>
      </w:r>
      <w:r>
        <w:rPr>
          <w:rFonts w:ascii="Arial" w:cs="Arial" w:eastAsia="Arial" w:hAnsi="Arial"/>
          <w:sz w:val="18"/>
          <w:szCs w:val="18"/>
          <w:color w:val="auto"/>
        </w:rPr>
        <w:t>. If the Employment Period is terminated due to Executive’s death or becoming Disabled, then Executive (or Executive’s estate or beneficiary) shall be entitled to receive:</w:t>
      </w:r>
    </w:p>
    <w:p>
      <w:pPr>
        <w:spacing w:after="0" w:line="170" w:lineRule="exact"/>
        <w:rPr>
          <w:rFonts w:ascii="Arial" w:cs="Arial" w:eastAsia="Arial" w:hAnsi="Arial"/>
          <w:sz w:val="18"/>
          <w:szCs w:val="18"/>
          <w:color w:val="auto"/>
        </w:rPr>
      </w:pPr>
    </w:p>
    <w:p>
      <w:pPr>
        <w:ind w:left="1640" w:hanging="212"/>
        <w:spacing w:after="0"/>
        <w:tabs>
          <w:tab w:leader="none" w:pos="16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 xml:space="preserve">Executive’s unpaid Base Salary through the Termination Date (payable in accordance with </w:t>
      </w:r>
      <w:r>
        <w:rPr>
          <w:rFonts w:ascii="Arial" w:cs="Arial" w:eastAsia="Arial" w:hAnsi="Arial"/>
          <w:sz w:val="18"/>
          <w:szCs w:val="18"/>
          <w:u w:val="single" w:color="auto"/>
          <w:color w:val="auto"/>
        </w:rPr>
        <w:t>Section 3(a)</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428"/>
        <w:spacing w:after="0" w:line="301" w:lineRule="auto"/>
        <w:tabs>
          <w:tab w:leader="none" w:pos="1697" w:val="left"/>
        </w:tabs>
        <w:numPr>
          <w:ilvl w:val="1"/>
          <w:numId w:val="10"/>
        </w:numPr>
        <w:rPr>
          <w:rFonts w:ascii="Arial" w:cs="Arial" w:eastAsia="Arial" w:hAnsi="Arial"/>
          <w:sz w:val="16"/>
          <w:szCs w:val="16"/>
          <w:color w:val="auto"/>
        </w:rPr>
      </w:pPr>
      <w:r>
        <w:rPr>
          <w:rFonts w:ascii="Arial" w:cs="Arial" w:eastAsia="Arial" w:hAnsi="Arial"/>
          <w:sz w:val="16"/>
          <w:szCs w:val="16"/>
          <w:color w:val="auto"/>
        </w:rPr>
        <w:t xml:space="preserve">an amount equal to the actual annual cash bonus amount to which Executive would be entitled under </w:t>
      </w:r>
      <w:r>
        <w:rPr>
          <w:rFonts w:ascii="Arial" w:cs="Arial" w:eastAsia="Arial" w:hAnsi="Arial"/>
          <w:sz w:val="16"/>
          <w:szCs w:val="16"/>
          <w:u w:val="single" w:color="auto"/>
          <w:color w:val="auto"/>
        </w:rPr>
        <w:t>Section 3(b)</w:t>
      </w:r>
      <w:r>
        <w:rPr>
          <w:rFonts w:ascii="Arial" w:cs="Arial" w:eastAsia="Arial" w:hAnsi="Arial"/>
          <w:sz w:val="16"/>
          <w:szCs w:val="16"/>
          <w:color w:val="auto"/>
        </w:rPr>
        <w:t xml:space="preserve"> with respect to the calendar year in which the Termination Date occurs, determined based on achievement of the performance objectives specified in Executive’s bonus plan for such year, as determined by the Board or the Compensation Committee in its sole discretion, which amount shall be prorated based on the actual number of days elapsed in such year prior to the Termination Date (payable at the same time it would have been paid pursuant to </w:t>
      </w:r>
      <w:r>
        <w:rPr>
          <w:rFonts w:ascii="Arial" w:cs="Arial" w:eastAsia="Arial" w:hAnsi="Arial"/>
          <w:sz w:val="16"/>
          <w:szCs w:val="16"/>
          <w:u w:val="single" w:color="auto"/>
          <w:color w:val="auto"/>
        </w:rPr>
        <w:t>Section 3(b)</w:t>
      </w:r>
      <w:r>
        <w:rPr>
          <w:rFonts w:ascii="Arial" w:cs="Arial" w:eastAsia="Arial" w:hAnsi="Arial"/>
          <w:sz w:val="16"/>
          <w:szCs w:val="16"/>
          <w:color w:val="auto"/>
        </w:rPr>
        <w:t>);</w:t>
      </w:r>
    </w:p>
    <w:p>
      <w:pPr>
        <w:spacing w:after="0" w:line="157" w:lineRule="exact"/>
        <w:rPr>
          <w:rFonts w:ascii="Arial" w:cs="Arial" w:eastAsia="Arial" w:hAnsi="Arial"/>
          <w:sz w:val="16"/>
          <w:szCs w:val="16"/>
          <w:color w:val="auto"/>
        </w:rPr>
      </w:pPr>
    </w:p>
    <w:p>
      <w:pPr>
        <w:ind w:firstLine="1428"/>
        <w:spacing w:after="0" w:line="257" w:lineRule="auto"/>
        <w:tabs>
          <w:tab w:leader="none" w:pos="1747" w:val="left"/>
        </w:tabs>
        <w:numPr>
          <w:ilvl w:val="1"/>
          <w:numId w:val="10"/>
        </w:numPr>
        <w:rPr>
          <w:rFonts w:ascii="Arial" w:cs="Arial" w:eastAsia="Arial" w:hAnsi="Arial"/>
          <w:sz w:val="18"/>
          <w:szCs w:val="18"/>
          <w:color w:val="auto"/>
        </w:rPr>
      </w:pPr>
      <w:r>
        <w:rPr>
          <w:rFonts w:ascii="Arial" w:cs="Arial" w:eastAsia="Arial" w:hAnsi="Arial"/>
          <w:sz w:val="18"/>
          <w:szCs w:val="18"/>
          <w:color w:val="auto"/>
        </w:rPr>
        <w:t>payment in respect of any unused paid time off and sick pay of Executive in such amounts as have accrued as of the Termination Date in accordance with the Company’s policies with respect thereto as in effect during the Employment Period, and reimbursement of any business expenses incurred by Executive but not reimbursed prior to the Termination Date in accordance with and reimbursable under the terms of the Company’s policies with respect thereto as in effect on the Termination Date (in each case, payable in a lump sum within ten (10) business days after the Termination Date); and</w:t>
      </w:r>
    </w:p>
    <w:p>
      <w:pPr>
        <w:spacing w:after="0" w:line="187" w:lineRule="exact"/>
        <w:rPr>
          <w:rFonts w:ascii="Arial" w:cs="Arial" w:eastAsia="Arial" w:hAnsi="Arial"/>
          <w:sz w:val="18"/>
          <w:szCs w:val="18"/>
          <w:color w:val="auto"/>
        </w:rPr>
      </w:pPr>
    </w:p>
    <w:p>
      <w:pPr>
        <w:ind w:right="100" w:firstLine="1428"/>
        <w:spacing w:after="0" w:line="272" w:lineRule="auto"/>
        <w:tabs>
          <w:tab w:leader="none" w:pos="1737" w:val="left"/>
        </w:tabs>
        <w:numPr>
          <w:ilvl w:val="1"/>
          <w:numId w:val="10"/>
        </w:numPr>
        <w:rPr>
          <w:rFonts w:ascii="Arial" w:cs="Arial" w:eastAsia="Arial" w:hAnsi="Arial"/>
          <w:sz w:val="17"/>
          <w:szCs w:val="17"/>
          <w:color w:val="auto"/>
        </w:rPr>
      </w:pPr>
      <w:r>
        <w:rPr>
          <w:rFonts w:ascii="Arial" w:cs="Arial" w:eastAsia="Arial" w:hAnsi="Arial"/>
          <w:sz w:val="17"/>
          <w:szCs w:val="17"/>
          <w:color w:val="auto"/>
        </w:rPr>
        <w:t>an amount equal to the cost of the premiums for continued health and dental insurance for Executive and/or Executive’s dependents in accordance with COBRA for the period commencing on the Termination Date and ending on the earliest of (A) the date on which Executive’s COBRA period terminates or expires, (B) six (6) months after the Termination Date, and (C) the date on which Executive becomes eligible for long-term disability benefits under any long-term disability program sponsored by the Company (payable in monthly installments during and concurrently with Executive’s COBRA period); provided that if Executive’s COBRA period is terminated prior to expiration of the period commencing on the Termination Date and ending on the earlier of (I) the date on which Executive becomes eligible for long-term disability benefits under any long-term disability program sponsored by the Company, and (II) six</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490" w:right="459" w:bottom="1440" w:gutter="0" w:footer="0" w:header="0"/>
        </w:sectPr>
      </w:pPr>
    </w:p>
    <w:bookmarkStart w:id="9" w:name="page10"/>
    <w:bookmarkEnd w:id="9"/>
    <w:p>
      <w:pPr>
        <w:ind w:left="4" w:right="20" w:hanging="4"/>
        <w:spacing w:after="0" w:line="279" w:lineRule="auto"/>
        <w:tabs>
          <w:tab w:leader="none" w:pos="259" w:val="left"/>
        </w:tabs>
        <w:numPr>
          <w:ilvl w:val="0"/>
          <w:numId w:val="1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74865" cy="50800"/>
                    </a:xfrm>
                    <a:prstGeom prst="rect">
                      <a:avLst/>
                    </a:prstGeom>
                    <a:noFill/>
                  </pic:spPr>
                </pic:pic>
              </a:graphicData>
            </a:graphic>
          </wp:anchor>
        </w:drawing>
        <w:t>months after the Termination Date (such period, the “</w:t>
      </w:r>
      <w:r>
        <w:rPr>
          <w:rFonts w:ascii="Arial" w:cs="Arial" w:eastAsia="Arial" w:hAnsi="Arial"/>
          <w:sz w:val="17"/>
          <w:szCs w:val="17"/>
          <w:u w:val="single" w:color="auto"/>
          <w:color w:val="auto"/>
        </w:rPr>
        <w:t>Disability Severance Period</w:t>
      </w:r>
      <w:r>
        <w:rPr>
          <w:rFonts w:ascii="Arial" w:cs="Arial" w:eastAsia="Arial" w:hAnsi="Arial"/>
          <w:sz w:val="17"/>
          <w:szCs w:val="17"/>
          <w:color w:val="auto"/>
        </w:rPr>
        <w:t>”), then Executive shall be entitled to continue to receive an amount equal to the cost of the premiums for continued health and dental insurance for Executive and/or Executive’s dependents in accordance with COBRA (assuming such continued insurance coverage remained available at the same monthly cost) payable in monthly installments during the period commencing on the date of such termination or expiration and ending on the date on which the Disability Severance Period expires.</w:t>
      </w:r>
    </w:p>
    <w:p>
      <w:pPr>
        <w:spacing w:after="0" w:line="171" w:lineRule="exact"/>
        <w:rPr>
          <w:rFonts w:ascii="Arial" w:cs="Arial" w:eastAsia="Arial" w:hAnsi="Arial"/>
          <w:sz w:val="17"/>
          <w:szCs w:val="17"/>
          <w:color w:val="auto"/>
        </w:rPr>
      </w:pPr>
    </w:p>
    <w:p>
      <w:pPr>
        <w:ind w:left="1684" w:hanging="252"/>
        <w:spacing w:after="0"/>
        <w:tabs>
          <w:tab w:leader="none" w:pos="1684" w:val="left"/>
        </w:tabs>
        <w:numPr>
          <w:ilvl w:val="1"/>
          <w:numId w:val="11"/>
        </w:numPr>
        <w:rPr>
          <w:rFonts w:ascii="Arial" w:cs="Arial" w:eastAsia="Arial" w:hAnsi="Arial"/>
          <w:sz w:val="16"/>
          <w:szCs w:val="16"/>
          <w:color w:val="auto"/>
        </w:rPr>
      </w:pPr>
      <w:r>
        <w:rPr>
          <w:rFonts w:ascii="Arial" w:cs="Arial" w:eastAsia="Arial" w:hAnsi="Arial"/>
          <w:sz w:val="16"/>
          <w:szCs w:val="16"/>
          <w:color w:val="auto"/>
        </w:rPr>
        <w:t xml:space="preserve">payment of the Annual Bonus under </w:t>
      </w:r>
      <w:r>
        <w:rPr>
          <w:rFonts w:ascii="Arial" w:cs="Arial" w:eastAsia="Arial" w:hAnsi="Arial"/>
          <w:sz w:val="16"/>
          <w:szCs w:val="16"/>
          <w:u w:val="single" w:color="auto"/>
          <w:color w:val="auto"/>
        </w:rPr>
        <w:t>Section 3(b)</w:t>
      </w:r>
      <w:r>
        <w:rPr>
          <w:rFonts w:ascii="Arial" w:cs="Arial" w:eastAsia="Arial" w:hAnsi="Arial"/>
          <w:sz w:val="16"/>
          <w:szCs w:val="16"/>
          <w:color w:val="auto"/>
        </w:rPr>
        <w:t xml:space="preserve"> for the prior year, as well as the Cash Award under </w:t>
      </w:r>
      <w:r>
        <w:rPr>
          <w:rFonts w:ascii="Arial" w:cs="Arial" w:eastAsia="Arial" w:hAnsi="Arial"/>
          <w:sz w:val="16"/>
          <w:szCs w:val="16"/>
          <w:u w:val="single" w:color="auto"/>
          <w:color w:val="auto"/>
        </w:rPr>
        <w:t>Section 3(c)</w:t>
      </w:r>
      <w:r>
        <w:rPr>
          <w:rFonts w:ascii="Arial" w:cs="Arial" w:eastAsia="Arial" w:hAnsi="Arial"/>
          <w:sz w:val="16"/>
          <w:szCs w:val="16"/>
          <w:color w:val="auto"/>
        </w:rPr>
        <w:t>, to the extent</w:t>
      </w:r>
    </w:p>
    <w:p>
      <w:pPr>
        <w:spacing w:after="0" w:line="46"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not previously paid;</w:t>
      </w:r>
    </w:p>
    <w:p>
      <w:pPr>
        <w:spacing w:after="0" w:line="211" w:lineRule="exact"/>
        <w:rPr>
          <w:sz w:val="20"/>
          <w:szCs w:val="20"/>
          <w:color w:val="auto"/>
        </w:rPr>
      </w:pPr>
    </w:p>
    <w:p>
      <w:pPr>
        <w:ind w:left="4" w:right="260"/>
        <w:spacing w:after="0" w:line="257" w:lineRule="auto"/>
        <w:rPr>
          <w:sz w:val="20"/>
          <w:szCs w:val="20"/>
          <w:color w:val="auto"/>
        </w:rPr>
      </w:pPr>
      <w:r>
        <w:rPr>
          <w:rFonts w:ascii="Arial" w:cs="Arial" w:eastAsia="Arial" w:hAnsi="Arial"/>
          <w:sz w:val="18"/>
          <w:szCs w:val="18"/>
          <w:color w:val="auto"/>
        </w:rPr>
        <w:t>In addition, if the Employment Period is terminated due to Executive’s becoming Disabled (but, for the avoidance of doubt, not due to Executive’s death), then Executive (or Executive’s estate or beneficiary) shall be entitled to receive, during the Disability Severance Period, continued installment payments of Executive’s Base Salary as in effect on the Termination Date, which shall be payable over the Disability Severance Period in regular installments in accordance with the Company’s general payroll practices as in effect on the Termination Date, but in no event less frequently than monthly.</w:t>
      </w:r>
    </w:p>
    <w:p>
      <w:pPr>
        <w:spacing w:after="0" w:line="188" w:lineRule="exact"/>
        <w:rPr>
          <w:sz w:val="20"/>
          <w:szCs w:val="20"/>
          <w:color w:val="auto"/>
        </w:rPr>
      </w:pPr>
    </w:p>
    <w:p>
      <w:pPr>
        <w:ind w:left="4" w:right="100" w:firstLine="987"/>
        <w:spacing w:after="0" w:line="279" w:lineRule="auto"/>
        <w:tabs>
          <w:tab w:leader="none" w:pos="1250" w:val="left"/>
        </w:tabs>
        <w:numPr>
          <w:ilvl w:val="0"/>
          <w:numId w:val="12"/>
        </w:numPr>
        <w:rPr>
          <w:rFonts w:ascii="Arial" w:cs="Arial" w:eastAsia="Arial" w:hAnsi="Arial"/>
          <w:sz w:val="17"/>
          <w:szCs w:val="17"/>
          <w:color w:val="auto"/>
        </w:rPr>
      </w:pPr>
      <w:r>
        <w:rPr>
          <w:rFonts w:ascii="Arial" w:cs="Arial" w:eastAsia="Arial" w:hAnsi="Arial"/>
          <w:sz w:val="17"/>
          <w:szCs w:val="17"/>
          <w:u w:val="single" w:color="auto"/>
          <w:color w:val="auto"/>
        </w:rPr>
        <w:t>Other Termination</w:t>
      </w:r>
      <w:r>
        <w:rPr>
          <w:rFonts w:ascii="Arial" w:cs="Arial" w:eastAsia="Arial" w:hAnsi="Arial"/>
          <w:sz w:val="17"/>
          <w:szCs w:val="17"/>
          <w:color w:val="auto"/>
        </w:rPr>
        <w:t xml:space="preserve">. If the Employment Period is terminated (i) by the Company for Cause, or (ii) by Executive’s resignation without Good Reason, then the Company shall pay Executive (A) Executive’s unpaid Base Salary through the Termination Date (payable in accordance with </w:t>
      </w:r>
      <w:r>
        <w:rPr>
          <w:rFonts w:ascii="Arial" w:cs="Arial" w:eastAsia="Arial" w:hAnsi="Arial"/>
          <w:sz w:val="17"/>
          <w:szCs w:val="17"/>
          <w:u w:val="single" w:color="auto"/>
          <w:color w:val="auto"/>
        </w:rPr>
        <w:t>Section 3(a)</w:t>
      </w:r>
      <w:r>
        <w:rPr>
          <w:rFonts w:ascii="Arial" w:cs="Arial" w:eastAsia="Arial" w:hAnsi="Arial"/>
          <w:sz w:val="17"/>
          <w:szCs w:val="17"/>
          <w:color w:val="auto"/>
        </w:rPr>
        <w:t xml:space="preserve">) and (B) any bonus amount under </w:t>
      </w:r>
      <w:r>
        <w:rPr>
          <w:rFonts w:ascii="Arial" w:cs="Arial" w:eastAsia="Arial" w:hAnsi="Arial"/>
          <w:sz w:val="17"/>
          <w:szCs w:val="17"/>
          <w:u w:val="single" w:color="auto"/>
          <w:color w:val="auto"/>
        </w:rPr>
        <w:t>Section 3(b)</w:t>
      </w:r>
      <w:r>
        <w:rPr>
          <w:rFonts w:ascii="Arial" w:cs="Arial" w:eastAsia="Arial" w:hAnsi="Arial"/>
          <w:sz w:val="17"/>
          <w:szCs w:val="17"/>
          <w:color w:val="auto"/>
        </w:rPr>
        <w:t xml:space="preserve"> to which Executive is entitled determined by reference to the calendar year that ended on or prior to the Termination Date (payable at the same time it would have been paid pursuant to </w:t>
      </w:r>
      <w:r>
        <w:rPr>
          <w:rFonts w:ascii="Arial" w:cs="Arial" w:eastAsia="Arial" w:hAnsi="Arial"/>
          <w:sz w:val="17"/>
          <w:szCs w:val="17"/>
          <w:u w:val="single" w:color="auto"/>
          <w:color w:val="auto"/>
        </w:rPr>
        <w:t>Section 3(b)</w:t>
      </w:r>
      <w:r>
        <w:rPr>
          <w:rFonts w:ascii="Arial" w:cs="Arial" w:eastAsia="Arial" w:hAnsi="Arial"/>
          <w:sz w:val="17"/>
          <w:szCs w:val="17"/>
          <w:color w:val="auto"/>
        </w:rPr>
        <w:t>).</w:t>
      </w:r>
    </w:p>
    <w:p>
      <w:pPr>
        <w:spacing w:after="0" w:line="171" w:lineRule="exact"/>
        <w:rPr>
          <w:rFonts w:ascii="Arial" w:cs="Arial" w:eastAsia="Arial" w:hAnsi="Arial"/>
          <w:sz w:val="17"/>
          <w:szCs w:val="17"/>
          <w:color w:val="auto"/>
        </w:rPr>
      </w:pPr>
    </w:p>
    <w:p>
      <w:pPr>
        <w:ind w:left="4" w:right="120" w:firstLine="987"/>
        <w:spacing w:after="0" w:line="269" w:lineRule="auto"/>
        <w:tabs>
          <w:tab w:leader="none" w:pos="1240" w:val="left"/>
        </w:tabs>
        <w:numPr>
          <w:ilvl w:val="0"/>
          <w:numId w:val="12"/>
        </w:numPr>
        <w:rPr>
          <w:rFonts w:ascii="Arial" w:cs="Arial" w:eastAsia="Arial" w:hAnsi="Arial"/>
          <w:sz w:val="17"/>
          <w:szCs w:val="17"/>
          <w:color w:val="auto"/>
        </w:rPr>
      </w:pPr>
      <w:r>
        <w:rPr>
          <w:rFonts w:ascii="Arial" w:cs="Arial" w:eastAsia="Arial" w:hAnsi="Arial"/>
          <w:sz w:val="17"/>
          <w:szCs w:val="17"/>
          <w:u w:val="single" w:color="auto"/>
          <w:color w:val="auto"/>
        </w:rPr>
        <w:t>Continuation of Benefits</w:t>
      </w:r>
      <w:r>
        <w:rPr>
          <w:rFonts w:ascii="Arial" w:cs="Arial" w:eastAsia="Arial" w:hAnsi="Arial"/>
          <w:sz w:val="17"/>
          <w:szCs w:val="17"/>
          <w:color w:val="auto"/>
        </w:rPr>
        <w:t>. Upon any termination of employment, whether voluntary or otherwise, Executive shall have the option to elect health insurance coverage for Executive, Executive’s spouse and Executive’s eligible dependents during the period commencing on the end of the statutory COBRA period, if any (provided that Executive validly elected COBRA continuation coverage), until the earliest of the date on which Executive (A) is eligible to participate in another health benefit plan (including, without limitation, a plan sponsored by a then current or former employer of Executive’s or Executive’s spouse, other than a plan that provides for “excepted benefits” as defined under section 733(c) of the Employee Retirement Income Security Act of 1974) or (B) becomes eligible for Medicare. Such coverage will be provided for by the Company (or any successor to the Company, whether by operation of law or otherwise) in accordance with applicable law, and Executive shall pay premiums consistent with other senior executive employees of the Company (or any successor to the Company, whether by operation of law or otherwise). Executive agrees to take all required actions and provide any requested personal medical history and information, in accordance with the applicable policy application and medical underwriting process.</w:t>
      </w:r>
    </w:p>
    <w:p>
      <w:pPr>
        <w:spacing w:after="0" w:line="185" w:lineRule="exact"/>
        <w:rPr>
          <w:rFonts w:ascii="Arial" w:cs="Arial" w:eastAsia="Arial" w:hAnsi="Arial"/>
          <w:sz w:val="17"/>
          <w:szCs w:val="17"/>
          <w:color w:val="auto"/>
        </w:rPr>
      </w:pPr>
    </w:p>
    <w:p>
      <w:pPr>
        <w:ind w:left="4" w:firstLine="987"/>
        <w:spacing w:after="0" w:line="263" w:lineRule="auto"/>
        <w:tabs>
          <w:tab w:leader="none" w:pos="122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No Mitigation</w:t>
      </w:r>
      <w:r>
        <w:rPr>
          <w:rFonts w:ascii="Arial" w:cs="Arial" w:eastAsia="Arial" w:hAnsi="Arial"/>
          <w:sz w:val="18"/>
          <w:szCs w:val="18"/>
          <w:color w:val="auto"/>
        </w:rPr>
        <w:t xml:space="preserve">. Executive is under no obligation to mitigate damages or the amount of any payment provided for under this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by seeking other employment or otherwise, nor will any earnings Executive receives from another employer serve to reduce payments to be made hereunder.</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4"/>
          </w:cols>
          <w:pgMar w:left="436" w:top="490" w:right="439" w:bottom="1440" w:gutter="0" w:footer="0" w:header="0"/>
        </w:sectPr>
      </w:pPr>
    </w:p>
    <w:bookmarkStart w:id="10" w:name="page11"/>
    <w:bookmarkEnd w:id="10"/>
    <w:p>
      <w:pPr>
        <w:ind w:right="120" w:firstLine="987"/>
        <w:spacing w:after="0" w:line="285" w:lineRule="auto"/>
        <w:tabs>
          <w:tab w:leader="none" w:pos="1246" w:val="left"/>
        </w:tabs>
        <w:numPr>
          <w:ilvl w:val="0"/>
          <w:numId w:val="13"/>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Right of Offset</w:t>
      </w:r>
      <w:r>
        <w:rPr>
          <w:rFonts w:ascii="Arial" w:cs="Arial" w:eastAsia="Arial" w:hAnsi="Arial"/>
          <w:sz w:val="16"/>
          <w:szCs w:val="16"/>
          <w:color w:val="auto"/>
        </w:rPr>
        <w:t>. The Company may offset any bona fide obligations that Executive owes Acadia or any of the Subsidiaries (which for the avoidance of doubt shall not include any unliquidated obligations or obligations to the extent Executive disputes in good faith the nature or amount thereof) against any amounts the Company or any of the Subsidiaries owes Executive hereunder; provided that, notwithstanding the foregoing or any other provision of this Agreement to the contrary, in no event shall any payment under this Agreement that constitutes “deferred compensation” for purposes of Code Section 409A be subject to offset, counterclaim or recoupment by any other amount unless otherwise permitted by Code</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Section 409A.</w:t>
      </w:r>
    </w:p>
    <w:p>
      <w:pPr>
        <w:spacing w:after="0" w:line="210" w:lineRule="exact"/>
        <w:rPr>
          <w:rFonts w:ascii="Arial" w:cs="Arial" w:eastAsia="Arial" w:hAnsi="Arial"/>
          <w:sz w:val="16"/>
          <w:szCs w:val="16"/>
          <w:color w:val="auto"/>
        </w:rPr>
      </w:pPr>
    </w:p>
    <w:p>
      <w:pPr>
        <w:ind w:left="1240" w:hanging="253"/>
        <w:spacing w:after="0"/>
        <w:tabs>
          <w:tab w:leader="none" w:pos="124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Section 409A Compliance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1428"/>
        <w:spacing w:after="0" w:line="257" w:lineRule="auto"/>
        <w:tabs>
          <w:tab w:leader="none" w:pos="1644"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intent of the parties is that payments and benefits under this Agreement comply with Section 409A of the Internal Revenue Code of 1986, as amended (the “</w:t>
      </w:r>
      <w:r>
        <w:rPr>
          <w:rFonts w:ascii="Arial" w:cs="Arial" w:eastAsia="Arial" w:hAnsi="Arial"/>
          <w:sz w:val="18"/>
          <w:szCs w:val="18"/>
          <w:u w:val="single" w:color="auto"/>
          <w:color w:val="auto"/>
        </w:rPr>
        <w:t>Code</w:t>
      </w:r>
      <w:r>
        <w:rPr>
          <w:rFonts w:ascii="Arial" w:cs="Arial" w:eastAsia="Arial" w:hAnsi="Arial"/>
          <w:sz w:val="18"/>
          <w:szCs w:val="18"/>
          <w:color w:val="auto"/>
        </w:rPr>
        <w:t>”) and the regulations and guidance promulgated thereunder (collectively “</w:t>
      </w:r>
      <w:r>
        <w:rPr>
          <w:rFonts w:ascii="Arial" w:cs="Arial" w:eastAsia="Arial" w:hAnsi="Arial"/>
          <w:sz w:val="18"/>
          <w:szCs w:val="18"/>
          <w:u w:val="single" w:color="auto"/>
          <w:color w:val="auto"/>
        </w:rPr>
        <w:t>Code Section 409A</w:t>
      </w:r>
      <w:r>
        <w:rPr>
          <w:rFonts w:ascii="Arial" w:cs="Arial" w:eastAsia="Arial" w:hAnsi="Arial"/>
          <w:sz w:val="18"/>
          <w:szCs w:val="18"/>
          <w:color w:val="auto"/>
        </w:rPr>
        <w:t>”) and, accordingly, to the maximum extent permitted, this Agreement shall be interpreted and administered to be in compliance therewith. In no event whatsoever shall Acadia or any of the Subsidiaries be liable for any additional tax, interest or penalty that may be imposed on Executive by Code Section 409A or damages for failing to comply with Code Section 409A.</w:t>
      </w:r>
    </w:p>
    <w:p>
      <w:pPr>
        <w:spacing w:after="0" w:line="187" w:lineRule="exact"/>
        <w:rPr>
          <w:rFonts w:ascii="Arial" w:cs="Arial" w:eastAsia="Arial" w:hAnsi="Arial"/>
          <w:sz w:val="18"/>
          <w:szCs w:val="18"/>
          <w:color w:val="auto"/>
        </w:rPr>
      </w:pPr>
    </w:p>
    <w:p>
      <w:pPr>
        <w:ind w:right="120" w:firstLine="1428"/>
        <w:spacing w:after="0" w:line="279" w:lineRule="auto"/>
        <w:tabs>
          <w:tab w:leader="none" w:pos="1687" w:val="left"/>
        </w:tabs>
        <w:numPr>
          <w:ilvl w:val="1"/>
          <w:numId w:val="13"/>
        </w:numPr>
        <w:rPr>
          <w:rFonts w:ascii="Arial" w:cs="Arial" w:eastAsia="Arial" w:hAnsi="Arial"/>
          <w:sz w:val="17"/>
          <w:szCs w:val="17"/>
          <w:color w:val="auto"/>
        </w:rPr>
      </w:pPr>
      <w:r>
        <w:rPr>
          <w:rFonts w:ascii="Arial" w:cs="Arial" w:eastAsia="Arial" w:hAnsi="Arial"/>
          <w:sz w:val="17"/>
          <w:szCs w:val="17"/>
          <w:color w:val="auto"/>
        </w:rPr>
        <w:t>A termination of employment shall not be deemed to have occurred for purposes of any provision of this Agreement providing for the payment of any amounts or benefits upon or following a termination of employment unless such termination is also a “separation from service” within the meaning of Code Section 409A and, for purposes of any such provision of this Agreement, references to a “termination,” “termination of employment,” “termination of the Employment Period” or like terms shall mean “separation from service.”</w:t>
      </w:r>
    </w:p>
    <w:p>
      <w:pPr>
        <w:spacing w:after="0" w:line="171" w:lineRule="exact"/>
        <w:rPr>
          <w:rFonts w:ascii="Arial" w:cs="Arial" w:eastAsia="Arial" w:hAnsi="Arial"/>
          <w:sz w:val="17"/>
          <w:szCs w:val="17"/>
          <w:color w:val="auto"/>
        </w:rPr>
      </w:pPr>
    </w:p>
    <w:p>
      <w:pPr>
        <w:ind w:right="100" w:firstLine="1428"/>
        <w:spacing w:after="0" w:line="257" w:lineRule="auto"/>
        <w:tabs>
          <w:tab w:leader="none" w:pos="1737"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expenses or other reimbursements under this Agreement shall be made on or prior to the last day of the taxable year following the taxable year in which such expenses were incurred by Executive (provided that if any such reimbursements constitute taxable income to Executive, such reimbursements shall be paid no later than March 15th of the calendar year following the calendar year in which the expenses to be reimbursed were incurred), and no such reimbursement or expenses eligible for reimbursement in any taxable year shall in any way affect the expenses eligible for reimbursement in any other taxable year.</w:t>
      </w:r>
    </w:p>
    <w:p>
      <w:pPr>
        <w:spacing w:after="0" w:line="187" w:lineRule="exact"/>
        <w:rPr>
          <w:rFonts w:ascii="Arial" w:cs="Arial" w:eastAsia="Arial" w:hAnsi="Arial"/>
          <w:sz w:val="18"/>
          <w:szCs w:val="18"/>
          <w:color w:val="auto"/>
        </w:rPr>
      </w:pPr>
    </w:p>
    <w:p>
      <w:pPr>
        <w:ind w:right="180" w:firstLine="1428"/>
        <w:spacing w:after="0" w:line="277" w:lineRule="auto"/>
        <w:tabs>
          <w:tab w:leader="none" w:pos="1737" w:val="left"/>
        </w:tabs>
        <w:numPr>
          <w:ilvl w:val="1"/>
          <w:numId w:val="13"/>
        </w:numPr>
        <w:rPr>
          <w:rFonts w:ascii="Arial" w:cs="Arial" w:eastAsia="Arial" w:hAnsi="Arial"/>
          <w:sz w:val="18"/>
          <w:szCs w:val="18"/>
          <w:color w:val="auto"/>
        </w:rPr>
      </w:pPr>
      <w:r>
        <w:rPr>
          <w:rFonts w:ascii="Arial" w:cs="Arial" w:eastAsia="Arial" w:hAnsi="Arial"/>
          <w:sz w:val="18"/>
          <w:szCs w:val="18"/>
          <w:color w:val="auto"/>
        </w:rPr>
        <w:t>For purposes of Code Section 409A, Executive’s right to receive any installment payment pursuant to this Agreement shall be treated as a right to receive a series of separate and distinct payments.</w:t>
      </w:r>
    </w:p>
    <w:p>
      <w:pPr>
        <w:spacing w:after="0" w:line="170" w:lineRule="exact"/>
        <w:rPr>
          <w:rFonts w:ascii="Arial" w:cs="Arial" w:eastAsia="Arial" w:hAnsi="Arial"/>
          <w:sz w:val="18"/>
          <w:szCs w:val="18"/>
          <w:color w:val="auto"/>
        </w:rPr>
      </w:pPr>
    </w:p>
    <w:p>
      <w:pPr>
        <w:ind w:right="100" w:firstLine="1428"/>
        <w:spacing w:after="0" w:line="263" w:lineRule="auto"/>
        <w:tabs>
          <w:tab w:leader="none" w:pos="1684" w:val="left"/>
        </w:tabs>
        <w:numPr>
          <w:ilvl w:val="1"/>
          <w:numId w:val="13"/>
        </w:numPr>
        <w:rPr>
          <w:rFonts w:ascii="Arial" w:cs="Arial" w:eastAsia="Arial" w:hAnsi="Arial"/>
          <w:sz w:val="18"/>
          <w:szCs w:val="18"/>
          <w:color w:val="auto"/>
        </w:rPr>
      </w:pPr>
      <w:r>
        <w:rPr>
          <w:rFonts w:ascii="Arial" w:cs="Arial" w:eastAsia="Arial" w:hAnsi="Arial"/>
          <w:sz w:val="18"/>
          <w:szCs w:val="18"/>
          <w:color w:val="auto"/>
        </w:rPr>
        <w:t>Whenever a payment under this Agreement specifies a payment period with reference to a number of days (</w:t>
      </w:r>
      <w:r>
        <w:rPr>
          <w:rFonts w:ascii="Arial" w:cs="Arial" w:eastAsia="Arial" w:hAnsi="Arial"/>
          <w:sz w:val="18"/>
          <w:szCs w:val="18"/>
          <w:i w:val="1"/>
          <w:iCs w:val="1"/>
          <w:color w:val="auto"/>
        </w:rPr>
        <w:t>e.g.</w:t>
      </w:r>
      <w:r>
        <w:rPr>
          <w:rFonts w:ascii="Arial" w:cs="Arial" w:eastAsia="Arial" w:hAnsi="Arial"/>
          <w:sz w:val="18"/>
          <w:szCs w:val="18"/>
          <w:color w:val="auto"/>
        </w:rPr>
        <w:t>, “payment shall be made within fifteen (15) days following the Termination Date”), the actual date of payment within the specified period shall be within the sole discretion of the Company.</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60"/>
          </w:cols>
          <w:pgMar w:left="440" w:top="490" w:right="499" w:bottom="1440" w:gutter="0" w:footer="0" w:header="0"/>
        </w:sectPr>
      </w:pPr>
    </w:p>
    <w:bookmarkStart w:id="11" w:name="page12"/>
    <w:bookmarkEnd w:id="11"/>
    <w:p>
      <w:pPr>
        <w:ind w:left="4" w:firstLine="1428"/>
        <w:spacing w:after="0" w:line="286" w:lineRule="auto"/>
        <w:tabs>
          <w:tab w:leader="none" w:pos="1741" w:val="left"/>
        </w:tabs>
        <w:numPr>
          <w:ilvl w:val="3"/>
          <w:numId w:val="1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74865" cy="51435"/>
                    </a:xfrm>
                    <a:prstGeom prst="rect">
                      <a:avLst/>
                    </a:prstGeom>
                    <a:noFill/>
                  </pic:spPr>
                </pic:pic>
              </a:graphicData>
            </a:graphic>
          </wp:anchor>
        </w:drawing>
        <w:t>Notwithstanding any other payment schedule provided herein to the contrary, if Executive is deemed on the Termination Date to be a “specified employee” within the meaning of that term under Code Section 409A(a)(2)(B), then any payment that is considered deferred compensation under Code Section 409A payable on account of a “separation from service” shall be made on the date which is the earlier of (a) the expiration of the six (6)-month period measured from the date of such “separation from service” of Executive and (b) the date of Executive’s death (the “</w:t>
      </w:r>
      <w:r>
        <w:rPr>
          <w:rFonts w:ascii="Arial" w:cs="Arial" w:eastAsia="Arial" w:hAnsi="Arial"/>
          <w:sz w:val="16"/>
          <w:szCs w:val="16"/>
          <w:u w:val="single" w:color="auto"/>
          <w:color w:val="auto"/>
        </w:rPr>
        <w:t>Delay Period</w:t>
      </w:r>
      <w:r>
        <w:rPr>
          <w:rFonts w:ascii="Arial" w:cs="Arial" w:eastAsia="Arial" w:hAnsi="Arial"/>
          <w:sz w:val="16"/>
          <w:szCs w:val="16"/>
          <w:color w:val="auto"/>
        </w:rPr>
        <w:t>”) to the extent required under Code Section 409A. Upon the expiration of the Delay Period, all payments delayed pursuant to the immediately preceding sentence (whether they otherwise would have been payable in a single sum or in installments in the absence of such delay) shall be paid to Executive in a lump sum, and all remaining payments due under this Agreement shall be paid or provided in accordance with the normal payment dates specified for them herein. In addition, if Executive is a “specified employee,” to the extent that welfare benefits to be provided to Executive pursuant to this Agreement are not “disability pay,” “death benefit” plans or non-taxable medical benefits within the meaning of Treasury Regulation Section 1.409A-1(a)(5) or other benefits not considered nonqualified deferred compensation within the meaning of that regulation, such provision of benefits shall be delayed until the end of the Delay Period. Notwithstanding the foregoing, to the extent that the previous sentence applies to the provision of any ongoing health or welfare benefits that would not be required to be delayed if the premiums were paid by Executive, Executive shall pay the full cost of the premiums for such benefits during the Delay Period and the Company shall pay Executive an amount equal to the amount of such premiums paid by Executive during the Delay Period within ten (10) days after the end of the Delay Period.</w:t>
      </w:r>
    </w:p>
    <w:p>
      <w:pPr>
        <w:spacing w:after="0" w:line="170" w:lineRule="exact"/>
        <w:rPr>
          <w:rFonts w:ascii="Arial" w:cs="Arial" w:eastAsia="Arial" w:hAnsi="Arial"/>
          <w:sz w:val="16"/>
          <w:szCs w:val="16"/>
          <w:color w:val="auto"/>
        </w:rPr>
      </w:pPr>
    </w:p>
    <w:p>
      <w:pPr>
        <w:ind w:left="624" w:hanging="184"/>
        <w:spacing w:after="0"/>
        <w:tabs>
          <w:tab w:leader="none" w:pos="624" w:val="left"/>
        </w:tabs>
        <w:numPr>
          <w:ilvl w:val="1"/>
          <w:numId w:val="15"/>
        </w:numPr>
        <w:rPr>
          <w:rFonts w:ascii="Arial" w:cs="Arial" w:eastAsia="Arial" w:hAnsi="Arial"/>
          <w:sz w:val="18"/>
          <w:szCs w:val="18"/>
          <w:color w:val="auto"/>
        </w:rPr>
      </w:pPr>
      <w:r>
        <w:rPr>
          <w:rFonts w:ascii="Arial" w:cs="Arial" w:eastAsia="Arial" w:hAnsi="Arial"/>
          <w:sz w:val="18"/>
          <w:szCs w:val="18"/>
          <w:u w:val="single" w:color="auto"/>
          <w:color w:val="auto"/>
        </w:rPr>
        <w:t>Confidential Information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 w:firstLine="987"/>
        <w:spacing w:after="0" w:line="284" w:lineRule="auto"/>
        <w:tabs>
          <w:tab w:leader="none" w:pos="1240" w:val="left"/>
        </w:tabs>
        <w:numPr>
          <w:ilvl w:val="2"/>
          <w:numId w:val="15"/>
        </w:numPr>
        <w:rPr>
          <w:rFonts w:ascii="Arial" w:cs="Arial" w:eastAsia="Arial" w:hAnsi="Arial"/>
          <w:sz w:val="16"/>
          <w:szCs w:val="16"/>
          <w:color w:val="auto"/>
        </w:rPr>
      </w:pPr>
      <w:r>
        <w:rPr>
          <w:rFonts w:ascii="Arial" w:cs="Arial" w:eastAsia="Arial" w:hAnsi="Arial"/>
          <w:sz w:val="16"/>
          <w:szCs w:val="16"/>
          <w:u w:val="single" w:color="auto"/>
          <w:color w:val="auto"/>
        </w:rPr>
        <w:t>Protection of Confidential Information</w:t>
      </w:r>
      <w:r>
        <w:rPr>
          <w:rFonts w:ascii="Arial" w:cs="Arial" w:eastAsia="Arial" w:hAnsi="Arial"/>
          <w:sz w:val="16"/>
          <w:szCs w:val="16"/>
          <w:color w:val="auto"/>
        </w:rPr>
        <w:t>. Executive acknowledges that the continued success of Acadia and the Subsidiaries depends upon the use and protection of a large body of confidential and proprietary information. All of such confidential and proprietary information now existing or to be developed in the future will be referred to in this Agreement as “</w:t>
      </w: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Confidential Information will be interpreted broadly to include, without limitation, all information that is (i) related to Acadia’s or the Subsidiaries’ (including any of their predecessors’ prior to being acquired by the Company) current or potential business and (ii) is not generally or publicly known (including, without specific limitation, the information, observations and data concerning (A) acquisition opportunities in or reasonably related to Acadia’s or the Subsidiaries’ business or industry,</w:t>
      </w:r>
    </w:p>
    <w:p>
      <w:pPr>
        <w:spacing w:after="0" w:line="4" w:lineRule="exact"/>
        <w:rPr>
          <w:rFonts w:ascii="Arial" w:cs="Arial" w:eastAsia="Arial" w:hAnsi="Arial"/>
          <w:sz w:val="16"/>
          <w:szCs w:val="16"/>
          <w:color w:val="auto"/>
        </w:rPr>
      </w:pPr>
    </w:p>
    <w:p>
      <w:pPr>
        <w:ind w:left="4" w:right="220" w:hanging="4"/>
        <w:spacing w:after="0" w:line="281" w:lineRule="auto"/>
        <w:tabs>
          <w:tab w:leader="none" w:pos="289" w:val="left"/>
        </w:tabs>
        <w:numPr>
          <w:ilvl w:val="0"/>
          <w:numId w:val="16"/>
        </w:numPr>
        <w:rPr>
          <w:rFonts w:ascii="Arial" w:cs="Arial" w:eastAsia="Arial" w:hAnsi="Arial"/>
          <w:sz w:val="16"/>
          <w:szCs w:val="16"/>
          <w:color w:val="auto"/>
        </w:rPr>
      </w:pPr>
      <w:r>
        <w:rPr>
          <w:rFonts w:ascii="Arial" w:cs="Arial" w:eastAsia="Arial" w:hAnsi="Arial"/>
          <w:sz w:val="16"/>
          <w:szCs w:val="16"/>
          <w:color w:val="auto"/>
        </w:rPr>
        <w:t>identities and requirements of, contractual arrangements with and other information regarding Acadia’s or the Subsidiaries’ employees (including personnel files and other information), suppliers, distributors, customers, independent contractors, third-party payors, providers or other business relations and their confidential information, including, without limitation, patient records, medical histories and other information concerning patients (including, without limitation, all “Protected Health Information” within the meaning of the Health Insurance Portability and Accountability Act), and</w:t>
      </w:r>
    </w:p>
    <w:p>
      <w:pPr>
        <w:spacing w:after="0" w:line="2" w:lineRule="exact"/>
        <w:rPr>
          <w:rFonts w:ascii="Arial" w:cs="Arial" w:eastAsia="Arial" w:hAnsi="Arial"/>
          <w:sz w:val="16"/>
          <w:szCs w:val="16"/>
          <w:color w:val="auto"/>
        </w:rPr>
      </w:pPr>
    </w:p>
    <w:p>
      <w:pPr>
        <w:ind w:left="4" w:right="40" w:hanging="4"/>
        <w:spacing w:after="0" w:line="288" w:lineRule="auto"/>
        <w:tabs>
          <w:tab w:leader="none" w:pos="289"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internal business information and intellectual property of every kind and description of Acadia and the Subsidiaries). Executive agrees that during the Employment Period and at any time thereafter, Executive shall not disclose to any unauthorized person or use for Executive’s own account any of such Confidential Information, whether or not developed by Executive, without the Board’s prior written consent, unless and to the extent that any Confidential Information (1) was known to Executive prior to the negotiation of this Agreement or the Employment Period from a source (other than Acadia, the Subsidiaries or any of their respective agents) that, to the knowledge of Executive, was not prohibited from disclosing such information by a legal, contractual or fiduciary obligation to Acadia or any of the Subsidiaries, (2) becomes generally known to and available for use by the public other than as a result of Executive’s acts or omissions to act or (3) is required to be disclosed pursuant to any applicable law or court order.</w:t>
      </w:r>
    </w:p>
    <w:p>
      <w:pPr>
        <w:spacing w:after="0" w:line="10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4"/>
          </w:cols>
          <w:pgMar w:left="436" w:top="490" w:right="459" w:bottom="1440" w:gutter="0" w:footer="0" w:header="0"/>
        </w:sectPr>
      </w:pPr>
    </w:p>
    <w:bookmarkStart w:id="12" w:name="page13"/>
    <w:bookmarkEnd w:id="12"/>
    <w:p>
      <w:pPr>
        <w:ind w:right="120" w:firstLine="987"/>
        <w:spacing w:after="0" w:line="257" w:lineRule="auto"/>
        <w:tabs>
          <w:tab w:leader="none" w:pos="1246" w:val="left"/>
        </w:tabs>
        <w:numPr>
          <w:ilvl w:val="1"/>
          <w:numId w:val="1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74865" cy="51435"/>
                    </a:xfrm>
                    <a:prstGeom prst="rect">
                      <a:avLst/>
                    </a:prstGeom>
                    <a:noFill/>
                  </pic:spPr>
                </pic:pic>
              </a:graphicData>
            </a:graphic>
          </wp:anchor>
        </w:drawing>
        <w:t>Use of Others’ Confidential Information</w:t>
      </w:r>
      <w:r>
        <w:rPr>
          <w:rFonts w:ascii="Arial" w:cs="Arial" w:eastAsia="Arial" w:hAnsi="Arial"/>
          <w:sz w:val="18"/>
          <w:szCs w:val="18"/>
          <w:color w:val="auto"/>
        </w:rPr>
        <w:t>. During the Employment Period, Executive shall not use or disclose any confidential information or trade secrets, if any, of any former employers or any other Person to whom Executive has an obligation of confidentiality. If at any time during Executive’s employment with the Company, Executive believes Executive is being asked to engage in work that will, or will be likely to, jeopardize any confidentiality or other obligations Executive may have to former employers, then Executive shall immediately advise the Board so that Executive’s duties can be modified appropriately.</w:t>
      </w:r>
    </w:p>
    <w:p>
      <w:pPr>
        <w:spacing w:after="0" w:line="187" w:lineRule="exact"/>
        <w:rPr>
          <w:rFonts w:ascii="Arial" w:cs="Arial" w:eastAsia="Arial" w:hAnsi="Arial"/>
          <w:sz w:val="18"/>
          <w:szCs w:val="18"/>
          <w:color w:val="auto"/>
        </w:rPr>
      </w:pPr>
    </w:p>
    <w:p>
      <w:pPr>
        <w:ind w:firstLine="987"/>
        <w:spacing w:after="0" w:line="285" w:lineRule="auto"/>
        <w:tabs>
          <w:tab w:leader="none" w:pos="1233" w:val="left"/>
        </w:tabs>
        <w:numPr>
          <w:ilvl w:val="1"/>
          <w:numId w:val="17"/>
        </w:numPr>
        <w:rPr>
          <w:rFonts w:ascii="Arial" w:cs="Arial" w:eastAsia="Arial" w:hAnsi="Arial"/>
          <w:sz w:val="16"/>
          <w:szCs w:val="16"/>
          <w:color w:val="auto"/>
        </w:rPr>
      </w:pPr>
      <w:r>
        <w:rPr>
          <w:rFonts w:ascii="Arial" w:cs="Arial" w:eastAsia="Arial" w:hAnsi="Arial"/>
          <w:sz w:val="16"/>
          <w:szCs w:val="16"/>
          <w:u w:val="single" w:color="auto"/>
          <w:color w:val="auto"/>
        </w:rPr>
        <w:t>Third-Party Information</w:t>
      </w:r>
      <w:r>
        <w:rPr>
          <w:rFonts w:ascii="Arial" w:cs="Arial" w:eastAsia="Arial" w:hAnsi="Arial"/>
          <w:sz w:val="16"/>
          <w:szCs w:val="16"/>
          <w:color w:val="auto"/>
        </w:rPr>
        <w:t>. Executive understands that Acadia and the Subsidiaries will receive from third parties confidential or proprietary information (“</w:t>
      </w:r>
      <w:r>
        <w:rPr>
          <w:rFonts w:ascii="Arial" w:cs="Arial" w:eastAsia="Arial" w:hAnsi="Arial"/>
          <w:sz w:val="16"/>
          <w:szCs w:val="16"/>
          <w:u w:val="single" w:color="auto"/>
          <w:color w:val="auto"/>
        </w:rPr>
        <w:t>Third-Party Information</w:t>
      </w:r>
      <w:r>
        <w:rPr>
          <w:rFonts w:ascii="Arial" w:cs="Arial" w:eastAsia="Arial" w:hAnsi="Arial"/>
          <w:sz w:val="16"/>
          <w:szCs w:val="16"/>
          <w:color w:val="auto"/>
        </w:rPr>
        <w:t xml:space="preserve">”) subject to a duty on Acadia’s and the Subsidiaries’ part to maintain the confidentiality of such information and to use it only for certain limited purposes. During the Employment Period and thereafter, and without in any way limiting the provisions of </w:t>
      </w:r>
      <w:r>
        <w:rPr>
          <w:rFonts w:ascii="Arial" w:cs="Arial" w:eastAsia="Arial" w:hAnsi="Arial"/>
          <w:sz w:val="16"/>
          <w:szCs w:val="16"/>
          <w:u w:val="single" w:color="auto"/>
          <w:color w:val="auto"/>
        </w:rPr>
        <w:t>Section 5(a)</w:t>
      </w:r>
      <w:r>
        <w:rPr>
          <w:rFonts w:ascii="Arial" w:cs="Arial" w:eastAsia="Arial" w:hAnsi="Arial"/>
          <w:sz w:val="16"/>
          <w:szCs w:val="16"/>
          <w:color w:val="auto"/>
        </w:rPr>
        <w:t>, Executive will hold Third-Party Information in the strictest confidence and will not disclose to anyone (other than personnel of Acadia or the Subsidiaries who need to know such information in connection with their work for Acadia or the Subsidiaries) or use, except in connection</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with Executive’s work for Acadia or the Subsidiaries, Third-Party Information unless expressly authorized by the Board in writing.</w:t>
      </w:r>
    </w:p>
    <w:p>
      <w:pPr>
        <w:spacing w:after="0" w:line="210" w:lineRule="exact"/>
        <w:rPr>
          <w:rFonts w:ascii="Arial" w:cs="Arial" w:eastAsia="Arial" w:hAnsi="Arial"/>
          <w:sz w:val="16"/>
          <w:szCs w:val="16"/>
          <w:color w:val="auto"/>
        </w:rPr>
      </w:pPr>
    </w:p>
    <w:p>
      <w:pPr>
        <w:ind w:firstLine="987"/>
        <w:spacing w:after="0" w:line="269" w:lineRule="auto"/>
        <w:tabs>
          <w:tab w:leader="none" w:pos="1243" w:val="left"/>
        </w:tabs>
        <w:numPr>
          <w:ilvl w:val="1"/>
          <w:numId w:val="17"/>
        </w:numPr>
        <w:rPr>
          <w:rFonts w:ascii="Arial" w:cs="Arial" w:eastAsia="Arial" w:hAnsi="Arial"/>
          <w:sz w:val="17"/>
          <w:szCs w:val="17"/>
          <w:color w:val="auto"/>
        </w:rPr>
      </w:pPr>
      <w:r>
        <w:rPr>
          <w:rFonts w:ascii="Arial" w:cs="Arial" w:eastAsia="Arial" w:hAnsi="Arial"/>
          <w:sz w:val="17"/>
          <w:szCs w:val="17"/>
          <w:u w:val="single" w:color="auto"/>
          <w:color w:val="auto"/>
        </w:rPr>
        <w:t>Whistleblower Protection</w:t>
      </w:r>
      <w:r>
        <w:rPr>
          <w:rFonts w:ascii="Arial" w:cs="Arial" w:eastAsia="Arial" w:hAnsi="Arial"/>
          <w:sz w:val="17"/>
          <w:szCs w:val="17"/>
          <w:color w:val="auto"/>
        </w:rPr>
        <w:t>. Notwithstanding anything to the contrary contained herein, no provision of this Agreement will be interpreted so as to impede Executive (or any other individual) from (i) making any disclosure of relevant and necessary information or documents in any action, investigation, or proceeding relating to this Agreement, or as required by law or legal process, including with respect to possible violations of law, (ii) participating, cooperating, or testifying in any action, investigation, or proceeding with, or providing information to, any governmental agency, legislative body or any self-regulatory organization, including, but not limited to, the Department of Justice, the Securities and Exchange Commission, the Congress, and any agency Inspector General, (iii) accepting any U.S. Securities and Exchange Commission Awards, or (iv) making other disclosures under the whistleblower provisions of federal law or regulation. In addition, nothing in this Agreement or any other agreement or Company policy prohibits or restricts Executive from initiating communications with, or responding to any inquiry from, any administrative, governmental, regulatory or supervisory authority regarding any good faith concerns about possible violations of law or regulation. Executive does not need the prior authorization of the Company to make any such reports or disclosures and Executive will not be required to notify the Company that such reports or disclosures have been made.</w:t>
      </w:r>
    </w:p>
    <w:p>
      <w:pPr>
        <w:spacing w:after="0" w:line="181" w:lineRule="exact"/>
        <w:rPr>
          <w:rFonts w:ascii="Arial" w:cs="Arial" w:eastAsia="Arial" w:hAnsi="Arial"/>
          <w:sz w:val="17"/>
          <w:szCs w:val="17"/>
          <w:color w:val="auto"/>
        </w:rPr>
      </w:pPr>
    </w:p>
    <w:p>
      <w:pPr>
        <w:ind w:right="40" w:firstLine="436"/>
        <w:spacing w:after="0" w:line="296" w:lineRule="auto"/>
        <w:tabs>
          <w:tab w:leader="none" w:pos="620" w:val="left"/>
        </w:tabs>
        <w:numPr>
          <w:ilvl w:val="0"/>
          <w:numId w:val="18"/>
        </w:numPr>
        <w:rPr>
          <w:rFonts w:ascii="Arial" w:cs="Arial" w:eastAsia="Arial" w:hAnsi="Arial"/>
          <w:sz w:val="16"/>
          <w:szCs w:val="16"/>
          <w:color w:val="auto"/>
        </w:rPr>
      </w:pPr>
      <w:r>
        <w:rPr>
          <w:rFonts w:ascii="Arial" w:cs="Arial" w:eastAsia="Arial" w:hAnsi="Arial"/>
          <w:sz w:val="16"/>
          <w:szCs w:val="16"/>
          <w:u w:val="single" w:color="auto"/>
          <w:color w:val="auto"/>
        </w:rPr>
        <w:t>Ownership of Intellectual Property, Inventions and Patents</w:t>
      </w:r>
      <w:r>
        <w:rPr>
          <w:rFonts w:ascii="Arial" w:cs="Arial" w:eastAsia="Arial" w:hAnsi="Arial"/>
          <w:sz w:val="16"/>
          <w:szCs w:val="16"/>
          <w:color w:val="auto"/>
        </w:rPr>
        <w:t>. Executive acknowledges that all discoveries, concepts, ideas, inventions, innovations, improvements, developments, methods, processes, programs, designs, analyses, drawings, reports, patent applications, copyrightable work and mask work (whether or not including any confidential information) and all registrations or applications related thereto, all other proprietary information and all similar or related information (whether or not patentable) which relate to Acadia’s or the Subsidiaries’ actual or anticipated business, research and development or existing or future products or services and which are conceived, developed, contributed to, made or reduced to</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490" w:right="459" w:bottom="1440" w:gutter="0" w:footer="0" w:header="0"/>
        </w:sectPr>
      </w:pPr>
    </w:p>
    <w:bookmarkStart w:id="13" w:name="page14"/>
    <w:bookmarkEnd w:id="13"/>
    <w:p>
      <w:pPr>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74865" cy="51435"/>
                    </a:xfrm>
                    <a:prstGeom prst="rect">
                      <a:avLst/>
                    </a:prstGeom>
                    <a:noFill/>
                  </pic:spPr>
                </pic:pic>
              </a:graphicData>
            </a:graphic>
          </wp:anchor>
        </w:drawing>
        <w:t>practice by Executive (whether alone or jointly with others) while employed by Acadia or the Subsidiaries after the date of this Agreement, including any of the foregoing that constitutes any proprietary information or records (“</w:t>
      </w:r>
      <w:r>
        <w:rPr>
          <w:rFonts w:ascii="Arial" w:cs="Arial" w:eastAsia="Arial" w:hAnsi="Arial"/>
          <w:sz w:val="18"/>
          <w:szCs w:val="18"/>
          <w:u w:val="single" w:color="auto"/>
          <w:color w:val="auto"/>
        </w:rPr>
        <w:t>Work Product</w:t>
      </w:r>
      <w:r>
        <w:rPr>
          <w:rFonts w:ascii="Arial" w:cs="Arial" w:eastAsia="Arial" w:hAnsi="Arial"/>
          <w:sz w:val="18"/>
          <w:szCs w:val="18"/>
          <w:color w:val="auto"/>
        </w:rPr>
        <w:t>”), belong to Acadia or such Subsidiary. Any copyrightable work prepared in whole or in part by Executive in the course of Executive’s work for any of the foregoing entities shall be deemed a “work made for hire” to the maximum extent permitted under copyright laws, and Acadia or such Subsidiary shall own all rights therein. To the extent any such copyrightable work is not a “work made for hire,” Executive hereby assigns and agrees to assign to Acadia or such Subsidiary all right, title and interest, including, without limitation, copyright, in and to such copyrightable work. Executive shall promptly disclose such Work Product to the Board and, at the Company’s expense, perform all actions reasonably requested by the Board (whether during or after the Employment Period) to establish and confirm such ownership by Acadia or such Subsidiary (including, without limitation, execution and delivery of assignments, consents, powers of attorney and other instruments).</w:t>
      </w:r>
    </w:p>
    <w:p>
      <w:pPr>
        <w:spacing w:after="0" w:line="196" w:lineRule="exact"/>
        <w:rPr>
          <w:sz w:val="20"/>
          <w:szCs w:val="20"/>
          <w:color w:val="auto"/>
        </w:rPr>
      </w:pPr>
    </w:p>
    <w:p>
      <w:pPr>
        <w:ind w:left="620" w:hanging="184"/>
        <w:spacing w:after="0"/>
        <w:tabs>
          <w:tab w:leader="none" w:pos="62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Non-Compete; Non-Solicit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987"/>
        <w:spacing w:after="0" w:line="284" w:lineRule="auto"/>
        <w:tabs>
          <w:tab w:leader="none" w:pos="1236" w:val="left"/>
        </w:tabs>
        <w:numPr>
          <w:ilvl w:val="1"/>
          <w:numId w:val="19"/>
        </w:numPr>
        <w:rPr>
          <w:rFonts w:ascii="Arial" w:cs="Arial" w:eastAsia="Arial" w:hAnsi="Arial"/>
          <w:sz w:val="16"/>
          <w:szCs w:val="16"/>
          <w:color w:val="auto"/>
        </w:rPr>
      </w:pPr>
      <w:r>
        <w:rPr>
          <w:rFonts w:ascii="Arial" w:cs="Arial" w:eastAsia="Arial" w:hAnsi="Arial"/>
          <w:sz w:val="16"/>
          <w:szCs w:val="16"/>
          <w:u w:val="single" w:color="auto"/>
          <w:color w:val="auto"/>
        </w:rPr>
        <w:t>Non-Compete</w:t>
      </w:r>
      <w:r>
        <w:rPr>
          <w:rFonts w:ascii="Arial" w:cs="Arial" w:eastAsia="Arial" w:hAnsi="Arial"/>
          <w:sz w:val="16"/>
          <w:szCs w:val="16"/>
          <w:color w:val="auto"/>
        </w:rPr>
        <w:t>. In further consideration of the compensation to be paid to Executive hereunder, Executive acknowledges that, during the course of Executive’s employment with the Company, Executive has and shall become familiar with Acadia’s and the Subsidiaries’ trade secrets and with other Confidential Information concerning Acadia and the Subsidiaries and that Executive’s services have been and shall be of special, unique and extraordinary value to Acadia and the Subsidiaries, and, therefore, Executive agrees that, during the Employment Period and for a period thereafter of twelve (12) months (the “</w:t>
      </w:r>
      <w:r>
        <w:rPr>
          <w:rFonts w:ascii="Arial" w:cs="Arial" w:eastAsia="Arial" w:hAnsi="Arial"/>
          <w:sz w:val="16"/>
          <w:szCs w:val="16"/>
          <w:u w:val="single" w:color="auto"/>
          <w:color w:val="auto"/>
        </w:rPr>
        <w:t>Noncompete Period</w:t>
      </w:r>
      <w:r>
        <w:rPr>
          <w:rFonts w:ascii="Arial" w:cs="Arial" w:eastAsia="Arial" w:hAnsi="Arial"/>
          <w:sz w:val="16"/>
          <w:szCs w:val="16"/>
          <w:color w:val="auto"/>
        </w:rPr>
        <w:t xml:space="preserve">”), Executive shall not (i) directly or indirectly own any interest in, manage, control, participate in, consult with, render services for, or in any manner engage in any business that derives at least 25% of its gross revenue from the business of providing behavioral healthcare and/or related services or (ii) directly or indirectly manage, control, participate in, consult with or render services specifically with respect to any unit, division, segment or subsidiary of any other business that engages in or otherwise competes with (or was organized for the purpose of engaging in or competing with) the business of providing behavioral healthcare and/or related services (provided that, this clause (ii) shall not be construed to prohibit Executive from directly or indirectly owning any interest in, managing, controlling, participating in, consulting with, rendering services for, or in any manner engaging in any business activities with or for such business generally and, for the avoidance of doubt, not specifically with respect to such unit, division, segment or subsidiary), in each case, within any geographical area in which Acadia and the Subsidiaries engage in such businesses; provided that Executive shall not be subject to the restrictions set forth in this </w:t>
      </w:r>
      <w:r>
        <w:rPr>
          <w:rFonts w:ascii="Arial" w:cs="Arial" w:eastAsia="Arial" w:hAnsi="Arial"/>
          <w:sz w:val="16"/>
          <w:szCs w:val="16"/>
          <w:u w:val="single" w:color="auto"/>
          <w:color w:val="auto"/>
        </w:rPr>
        <w:t>Section 7(a)</w:t>
      </w:r>
      <w:r>
        <w:rPr>
          <w:rFonts w:ascii="Arial" w:cs="Arial" w:eastAsia="Arial" w:hAnsi="Arial"/>
          <w:sz w:val="16"/>
          <w:szCs w:val="16"/>
          <w:color w:val="auto"/>
        </w:rPr>
        <w:t xml:space="preserve"> if the Employment Period is terminated by the Company without Cause or by Executive with Good Reason and for so long as the Company is in breach of its obligations under </w:t>
      </w:r>
      <w:r>
        <w:rPr>
          <w:rFonts w:ascii="Arial" w:cs="Arial" w:eastAsia="Arial" w:hAnsi="Arial"/>
          <w:sz w:val="16"/>
          <w:szCs w:val="16"/>
          <w:u w:val="single" w:color="auto"/>
          <w:color w:val="auto"/>
        </w:rPr>
        <w:t>Section 4(b)</w:t>
      </w:r>
      <w:r>
        <w:rPr>
          <w:rFonts w:ascii="Arial" w:cs="Arial" w:eastAsia="Arial" w:hAnsi="Arial"/>
          <w:sz w:val="16"/>
          <w:szCs w:val="16"/>
          <w:color w:val="auto"/>
        </w:rPr>
        <w:t xml:space="preserve"> and such breach is not the subject of a good faith dispute between the Company and Executive. For purposes of this Agreement, the term “participate in” shall include, without limitation, having any direct or indirect interest in any Person, whether as a sole proprietor, owner, stockholder, partner, joint venturer, creditor or otherwise, or rendering any direct or indirect service or assistance to any individual, corporation, partnership, joint venture and other business entity (whether as a director, officer, manager, supervisor, employee, agent, consultant or otherwise). Nothing herein shall prohibit Executive from being a passive owner of not more than 2% of the outstanding stock of any class of a corporation which is publicly traded, so long as Executive has no active participation in the business of such corporation.</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60"/>
          </w:cols>
          <w:pgMar w:left="440" w:top="490" w:right="499" w:bottom="1440" w:gutter="0" w:footer="0" w:header="0"/>
        </w:sectPr>
      </w:pPr>
    </w:p>
    <w:bookmarkStart w:id="14" w:name="page15"/>
    <w:bookmarkEnd w:id="14"/>
    <w:p>
      <w:pPr>
        <w:ind w:right="20" w:firstLine="987"/>
        <w:spacing w:after="0" w:line="288" w:lineRule="auto"/>
        <w:tabs>
          <w:tab w:leader="none" w:pos="1246" w:val="left"/>
        </w:tabs>
        <w:numPr>
          <w:ilvl w:val="0"/>
          <w:numId w:val="20"/>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74865" cy="51435"/>
                    </a:xfrm>
                    <a:prstGeom prst="rect">
                      <a:avLst/>
                    </a:prstGeom>
                    <a:noFill/>
                  </pic:spPr>
                </pic:pic>
              </a:graphicData>
            </a:graphic>
          </wp:anchor>
        </w:drawing>
        <w:t>Non-Solicit</w:t>
      </w:r>
      <w:r>
        <w:rPr>
          <w:rFonts w:ascii="Arial" w:cs="Arial" w:eastAsia="Arial" w:hAnsi="Arial"/>
          <w:sz w:val="16"/>
          <w:szCs w:val="16"/>
          <w:color w:val="auto"/>
        </w:rPr>
        <w:t>. During the Employment Period and for a period thereafter of twelve (12) months (the “</w:t>
      </w:r>
      <w:r>
        <w:rPr>
          <w:rFonts w:ascii="Arial" w:cs="Arial" w:eastAsia="Arial" w:hAnsi="Arial"/>
          <w:sz w:val="16"/>
          <w:szCs w:val="16"/>
          <w:u w:val="single" w:color="auto"/>
          <w:color w:val="auto"/>
        </w:rPr>
        <w:t>Nonsolicit Period</w:t>
      </w:r>
      <w:r>
        <w:rPr>
          <w:rFonts w:ascii="Arial" w:cs="Arial" w:eastAsia="Arial" w:hAnsi="Arial"/>
          <w:sz w:val="16"/>
          <w:szCs w:val="16"/>
          <w:color w:val="auto"/>
        </w:rPr>
        <w:t xml:space="preserve">”), Executive shall not directly or indirectly through another Person (other than on behalf of Acadia and the Subsidiaries) (i) induce or attempt to induce any employee or independent contractor of Acadia or the Subsidiaries to leave the employ or services of Acadia or the Subsidiaries, or in any way interfere with the relationship between Acadia and the Subsidiaries and any employee or independent contractor thereof, (ii) hire or seek any business affiliation with any person who was an employee or independent contractor of Acadia or the Subsidiaries at any time during the twelve (12) months prior to the Termination Date or (iii) induce or attempt to induce any customer, supplier, licensee, licensor or other business relation of Acadia or any Subsidiary to cease doing business with Acadia or such Subsidiary or interfere with the relationship between any such customer, supplier, licensor or other business relation and Acadia or any Subsidiary; provided that Executive shall not be subject to the restrictions set forth in this </w:t>
      </w:r>
      <w:r>
        <w:rPr>
          <w:rFonts w:ascii="Arial" w:cs="Arial" w:eastAsia="Arial" w:hAnsi="Arial"/>
          <w:sz w:val="16"/>
          <w:szCs w:val="16"/>
          <w:u w:val="single" w:color="auto"/>
          <w:color w:val="auto"/>
        </w:rPr>
        <w:t>Section 7(b)</w:t>
      </w:r>
      <w:r>
        <w:rPr>
          <w:rFonts w:ascii="Arial" w:cs="Arial" w:eastAsia="Arial" w:hAnsi="Arial"/>
          <w:sz w:val="16"/>
          <w:szCs w:val="16"/>
          <w:color w:val="auto"/>
        </w:rPr>
        <w:t xml:space="preserve"> if the Employment Period is terminated by the Company without Cause or by Executive with Good Reason and for so long as the Company is in breach of its obligations under </w:t>
      </w:r>
      <w:r>
        <w:rPr>
          <w:rFonts w:ascii="Arial" w:cs="Arial" w:eastAsia="Arial" w:hAnsi="Arial"/>
          <w:sz w:val="16"/>
          <w:szCs w:val="16"/>
          <w:u w:val="single" w:color="auto"/>
          <w:color w:val="auto"/>
        </w:rPr>
        <w:t>Section 4(b)</w:t>
      </w:r>
      <w:r>
        <w:rPr>
          <w:rFonts w:ascii="Arial" w:cs="Arial" w:eastAsia="Arial" w:hAnsi="Arial"/>
          <w:sz w:val="16"/>
          <w:szCs w:val="16"/>
          <w:color w:val="auto"/>
        </w:rPr>
        <w:t xml:space="preserve"> and such breach is not the subject of a good faith dispute between the Company and Executive.</w:t>
      </w:r>
    </w:p>
    <w:p>
      <w:pPr>
        <w:spacing w:after="0" w:line="168" w:lineRule="exact"/>
        <w:rPr>
          <w:rFonts w:ascii="Arial" w:cs="Arial" w:eastAsia="Arial" w:hAnsi="Arial"/>
          <w:sz w:val="16"/>
          <w:szCs w:val="16"/>
          <w:color w:val="auto"/>
        </w:rPr>
      </w:pPr>
    </w:p>
    <w:p>
      <w:pPr>
        <w:ind w:firstLine="987"/>
        <w:spacing w:after="0" w:line="254" w:lineRule="auto"/>
        <w:tabs>
          <w:tab w:leader="none" w:pos="1236"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Non-Disparagement</w:t>
      </w:r>
      <w:r>
        <w:rPr>
          <w:rFonts w:ascii="Arial" w:cs="Arial" w:eastAsia="Arial" w:hAnsi="Arial"/>
          <w:sz w:val="18"/>
          <w:szCs w:val="18"/>
          <w:color w:val="auto"/>
        </w:rPr>
        <w:t>. Without limiting any other obligation of Executive pursuant to this Agreement, Executive hereby covenants and agrees that, except as may be required by applicable law, Executive shall not make any statement, written or verbal, in any forum or media, or take any other action in disparagement of Acadia or any of its Subsidiaries, during the Employment Period and for a period of five (5) years thereafter (the “</w:t>
      </w:r>
      <w:r>
        <w:rPr>
          <w:rFonts w:ascii="Arial" w:cs="Arial" w:eastAsia="Arial" w:hAnsi="Arial"/>
          <w:sz w:val="18"/>
          <w:szCs w:val="18"/>
          <w:u w:val="single" w:color="auto"/>
          <w:color w:val="auto"/>
        </w:rPr>
        <w:t>Non-Disparagement Period</w:t>
      </w:r>
      <w:r>
        <w:rPr>
          <w:rFonts w:ascii="Arial" w:cs="Arial" w:eastAsia="Arial" w:hAnsi="Arial"/>
          <w:sz w:val="18"/>
          <w:szCs w:val="18"/>
          <w:color w:val="auto"/>
        </w:rPr>
        <w:t>”). Without limiting any other obligation of Acadia and its subsidiaries pursuant to this Agreement, Acadia hereby covenants and agrees that, except as may be required by applicable law, Acadia shall cause its executive officers and members of its board of directors not to make any statement, written or verbal, in any forum or media, or take any other action in disparagement of Executive, during the Employment Period and the Non-Disparagement Period.</w:t>
      </w:r>
    </w:p>
    <w:p>
      <w:pPr>
        <w:spacing w:after="0" w:line="194" w:lineRule="exact"/>
        <w:rPr>
          <w:rFonts w:ascii="Arial" w:cs="Arial" w:eastAsia="Arial" w:hAnsi="Arial"/>
          <w:sz w:val="18"/>
          <w:szCs w:val="18"/>
          <w:color w:val="auto"/>
        </w:rPr>
      </w:pPr>
    </w:p>
    <w:p>
      <w:pPr>
        <w:ind w:right="40" w:firstLine="987"/>
        <w:spacing w:after="0" w:line="273" w:lineRule="auto"/>
        <w:tabs>
          <w:tab w:leader="none" w:pos="1246" w:val="left"/>
        </w:tabs>
        <w:numPr>
          <w:ilvl w:val="0"/>
          <w:numId w:val="20"/>
        </w:numPr>
        <w:rPr>
          <w:rFonts w:ascii="Arial" w:cs="Arial" w:eastAsia="Arial" w:hAnsi="Arial"/>
          <w:sz w:val="17"/>
          <w:szCs w:val="17"/>
          <w:color w:val="auto"/>
        </w:rPr>
      </w:pPr>
      <w:r>
        <w:rPr>
          <w:rFonts w:ascii="Arial" w:cs="Arial" w:eastAsia="Arial" w:hAnsi="Arial"/>
          <w:sz w:val="17"/>
          <w:szCs w:val="17"/>
          <w:u w:val="single" w:color="auto"/>
          <w:color w:val="auto"/>
        </w:rPr>
        <w:t>Blue-Pencil</w:t>
      </w:r>
      <w:r>
        <w:rPr>
          <w:rFonts w:ascii="Arial" w:cs="Arial" w:eastAsia="Arial" w:hAnsi="Arial"/>
          <w:sz w:val="17"/>
          <w:szCs w:val="17"/>
          <w:color w:val="auto"/>
        </w:rPr>
        <w:t xml:space="preserve">. If, at the time of enforcement of </w:t>
      </w:r>
      <w:r>
        <w:rPr>
          <w:rFonts w:ascii="Arial" w:cs="Arial" w:eastAsia="Arial" w:hAnsi="Arial"/>
          <w:sz w:val="17"/>
          <w:szCs w:val="17"/>
          <w:u w:val="single" w:color="auto"/>
          <w:color w:val="auto"/>
        </w:rPr>
        <w:t>Section 5</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6</w:t>
      </w:r>
      <w:r>
        <w:rPr>
          <w:rFonts w:ascii="Arial" w:cs="Arial" w:eastAsia="Arial" w:hAnsi="Arial"/>
          <w:sz w:val="17"/>
          <w:szCs w:val="17"/>
          <w:color w:val="auto"/>
        </w:rPr>
        <w:t xml:space="preserve"> or this </w:t>
      </w:r>
      <w:r>
        <w:rPr>
          <w:rFonts w:ascii="Arial" w:cs="Arial" w:eastAsia="Arial" w:hAnsi="Arial"/>
          <w:sz w:val="17"/>
          <w:szCs w:val="17"/>
          <w:u w:val="single" w:color="auto"/>
          <w:color w:val="auto"/>
        </w:rPr>
        <w:t>Section 7</w:t>
      </w:r>
      <w:r>
        <w:rPr>
          <w:rFonts w:ascii="Arial" w:cs="Arial" w:eastAsia="Arial" w:hAnsi="Arial"/>
          <w:sz w:val="17"/>
          <w:szCs w:val="17"/>
          <w:color w:val="auto"/>
        </w:rPr>
        <w:t>, a court shall hold that the duration, scope or area restrictions stated herein are unreasonable under circumstances then existing, the parties agree that the maximum duration, scope or area reasonable under such circumstances shall be substituted for the stated duration, scope or area and that the court shall be allowed to revise the restrictions contained herein to cover the maximum duration, scope and area permitted by law. Executive hereby acknowledges and represents that Executive has either consulted with independent legal counsel regarding Executive’s rights and obligations under this Agreement or knowingly and voluntarily waived the opportunity to do so and that Executive fully understands the terms and conditions contained herein.</w:t>
      </w:r>
    </w:p>
    <w:p>
      <w:pPr>
        <w:spacing w:after="0" w:line="177" w:lineRule="exact"/>
        <w:rPr>
          <w:rFonts w:ascii="Arial" w:cs="Arial" w:eastAsia="Arial" w:hAnsi="Arial"/>
          <w:sz w:val="17"/>
          <w:szCs w:val="17"/>
          <w:color w:val="auto"/>
        </w:rPr>
      </w:pPr>
    </w:p>
    <w:p>
      <w:pPr>
        <w:ind w:right="60" w:firstLine="987"/>
        <w:spacing w:after="0" w:line="255" w:lineRule="auto"/>
        <w:tabs>
          <w:tab w:leader="none" w:pos="1226"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Additional Acknowledgments</w:t>
      </w:r>
      <w:r>
        <w:rPr>
          <w:rFonts w:ascii="Arial" w:cs="Arial" w:eastAsia="Arial" w:hAnsi="Arial"/>
          <w:sz w:val="18"/>
          <w:szCs w:val="18"/>
          <w:color w:val="auto"/>
        </w:rPr>
        <w:t xml:space="preserve">. Executive acknowledges that the provisions of </w:t>
      </w:r>
      <w:r>
        <w:rPr>
          <w:rFonts w:ascii="Arial" w:cs="Arial" w:eastAsia="Arial" w:hAnsi="Arial"/>
          <w:sz w:val="18"/>
          <w:szCs w:val="18"/>
          <w:u w:val="single" w:color="auto"/>
          <w:color w:val="auto"/>
        </w:rPr>
        <w:t>Sections 5</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6</w:t>
      </w:r>
      <w:r>
        <w:rPr>
          <w:rFonts w:ascii="Arial" w:cs="Arial" w:eastAsia="Arial" w:hAnsi="Arial"/>
          <w:sz w:val="18"/>
          <w:szCs w:val="18"/>
          <w:color w:val="auto"/>
        </w:rPr>
        <w:t xml:space="preserve"> and this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are in consideration of Executive’s employment with the Company and other good and valuable consideration as set forth in this Agreement. In addition, Executive agrees and acknowledges that the restrictions contained in </w:t>
      </w:r>
      <w:r>
        <w:rPr>
          <w:rFonts w:ascii="Arial" w:cs="Arial" w:eastAsia="Arial" w:hAnsi="Arial"/>
          <w:sz w:val="18"/>
          <w:szCs w:val="18"/>
          <w:u w:val="single" w:color="auto"/>
          <w:color w:val="auto"/>
        </w:rPr>
        <w:t>Sections 5</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6</w:t>
      </w:r>
      <w:r>
        <w:rPr>
          <w:rFonts w:ascii="Arial" w:cs="Arial" w:eastAsia="Arial" w:hAnsi="Arial"/>
          <w:sz w:val="18"/>
          <w:szCs w:val="18"/>
          <w:color w:val="auto"/>
        </w:rPr>
        <w:t xml:space="preserve"> and this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do not preclude Executive from earning a livelihood, nor do they unreasonably impose limitations on Executive’s ability to earn a living. In addition, Executive acknowledges (x) that the business of Acadia and the Subsidiaries will be conducted throughout the United States and its territories and beyond, (y) notwithstanding the state of organization or principal office of Acadia</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490" w:right="459" w:bottom="1440" w:gutter="0" w:footer="0" w:header="0"/>
        </w:sectPr>
      </w:pPr>
    </w:p>
    <w:bookmarkStart w:id="15" w:name="page16"/>
    <w:bookmarkEnd w:id="15"/>
    <w:p>
      <w:pPr>
        <w:ind w:right="2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or any of the Subsidiaries or facilities, or any of their respective executives or employees (including Executive), it is expected that Acadia and the Subsidiaries will have business activities and have valuable business relationships within its industry throughout the United States and its territories and beyond, and (z) as part of Executive’s responsibilities, Executive will be traveling throughout the United States and other jurisdictions where Acadia and the Subsidiaries conduct business during the Employment Period in furtherance of the Company’s business relationships. Executive agrees and acknowledges that the potential harm to Acadia and the Subsidiaries of the non-enforcement of any provision of </w:t>
      </w:r>
      <w:r>
        <w:rPr>
          <w:rFonts w:ascii="Arial" w:cs="Arial" w:eastAsia="Arial" w:hAnsi="Arial"/>
          <w:sz w:val="17"/>
          <w:szCs w:val="17"/>
          <w:u w:val="single" w:color="auto"/>
          <w:color w:val="auto"/>
        </w:rPr>
        <w:t>Sections 5</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6</w:t>
      </w:r>
      <w:r>
        <w:rPr>
          <w:rFonts w:ascii="Arial" w:cs="Arial" w:eastAsia="Arial" w:hAnsi="Arial"/>
          <w:sz w:val="17"/>
          <w:szCs w:val="17"/>
          <w:color w:val="auto"/>
        </w:rPr>
        <w:t xml:space="preserve"> and this </w:t>
      </w:r>
      <w:r>
        <w:rPr>
          <w:rFonts w:ascii="Arial" w:cs="Arial" w:eastAsia="Arial" w:hAnsi="Arial"/>
          <w:sz w:val="17"/>
          <w:szCs w:val="17"/>
          <w:u w:val="single" w:color="auto"/>
          <w:color w:val="auto"/>
        </w:rPr>
        <w:t>Section 7</w:t>
      </w:r>
      <w:r>
        <w:rPr>
          <w:rFonts w:ascii="Arial" w:cs="Arial" w:eastAsia="Arial" w:hAnsi="Arial"/>
          <w:sz w:val="17"/>
          <w:szCs w:val="17"/>
          <w:color w:val="auto"/>
        </w:rPr>
        <w:t xml:space="preserve"> outweighs any potential harm to Executive of its enforcement by injunction or otherwise. Executive acknowledges that Executive has carefully read this Agreement and either consulted with legal counsel of Executive’s choosing regarding its contents or knowingly and voluntarily waived the opportunity to do so, has given careful consideration to the restraints imposed upon Executive by this Agreement and is in full accord as to their necessity for the reasonable and proper protection of confidential and proprietary information of Acadia and the Subsidiaries now existing or to be developed in the future. Executive expressly acknowledges and agrees that each and every restraint imposed by this Agreement is reasonable with respect to subject matter, duration and geographical area.</w:t>
      </w:r>
    </w:p>
    <w:p>
      <w:pPr>
        <w:spacing w:after="0" w:line="182" w:lineRule="exact"/>
        <w:rPr>
          <w:sz w:val="20"/>
          <w:szCs w:val="20"/>
          <w:color w:val="auto"/>
        </w:rPr>
      </w:pPr>
    </w:p>
    <w:p>
      <w:pPr>
        <w:ind w:right="120" w:firstLine="987"/>
        <w:spacing w:after="0" w:line="293" w:lineRule="auto"/>
        <w:tabs>
          <w:tab w:leader="none" w:pos="1216" w:val="left"/>
        </w:tabs>
        <w:numPr>
          <w:ilvl w:val="1"/>
          <w:numId w:val="21"/>
        </w:numPr>
        <w:rPr>
          <w:rFonts w:ascii="Arial" w:cs="Arial" w:eastAsia="Arial" w:hAnsi="Arial"/>
          <w:sz w:val="16"/>
          <w:szCs w:val="16"/>
          <w:color w:val="auto"/>
        </w:rPr>
      </w:pPr>
      <w:r>
        <w:rPr>
          <w:rFonts w:ascii="Arial" w:cs="Arial" w:eastAsia="Arial" w:hAnsi="Arial"/>
          <w:sz w:val="16"/>
          <w:szCs w:val="16"/>
          <w:u w:val="single" w:color="auto"/>
          <w:color w:val="auto"/>
        </w:rPr>
        <w:t>Specific Performance</w:t>
      </w:r>
      <w:r>
        <w:rPr>
          <w:rFonts w:ascii="Arial" w:cs="Arial" w:eastAsia="Arial" w:hAnsi="Arial"/>
          <w:sz w:val="16"/>
          <w:szCs w:val="16"/>
          <w:color w:val="auto"/>
        </w:rPr>
        <w:t xml:space="preserve">. In the event of the breach or a threatened breach by Executive of any of the provisions of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6</w:t>
      </w:r>
      <w:r>
        <w:rPr>
          <w:rFonts w:ascii="Arial" w:cs="Arial" w:eastAsia="Arial" w:hAnsi="Arial"/>
          <w:sz w:val="16"/>
          <w:szCs w:val="16"/>
          <w:color w:val="auto"/>
        </w:rPr>
        <w:t xml:space="preserve"> or this </w:t>
      </w: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Acadia and the Subsidiaries would suffer irreparable harm and that money damages would not be a sufficient remedy and, in addition and supplementary to other rights and remedies existing in its favor whether under this Agreement or under any other agreement, the Company shall be entitled to specific performance and/or injunctive or other equitable relief from a court of competent jurisdiction in order to enforce or prevent any violations of the provisions hereof (without posting a bond or other security). In addition, in the event of an alleged breach or violation by Executive of this </w:t>
      </w:r>
      <w:r>
        <w:rPr>
          <w:rFonts w:ascii="Arial" w:cs="Arial" w:eastAsia="Arial" w:hAnsi="Arial"/>
          <w:sz w:val="16"/>
          <w:szCs w:val="16"/>
          <w:u w:val="single" w:color="auto"/>
          <w:color w:val="auto"/>
        </w:rPr>
        <w:t>Section 7</w:t>
      </w:r>
      <w:r>
        <w:rPr>
          <w:rFonts w:ascii="Arial" w:cs="Arial" w:eastAsia="Arial" w:hAnsi="Arial"/>
          <w:sz w:val="16"/>
          <w:szCs w:val="16"/>
          <w:color w:val="auto"/>
        </w:rPr>
        <w:t>, the Noncompete Period or the Nonsolicit Period, as applicable, shall be tolled until such breach or violation has been duly cured.</w:t>
      </w:r>
    </w:p>
    <w:p>
      <w:pPr>
        <w:spacing w:after="0" w:line="164" w:lineRule="exact"/>
        <w:rPr>
          <w:rFonts w:ascii="Arial" w:cs="Arial" w:eastAsia="Arial" w:hAnsi="Arial"/>
          <w:sz w:val="16"/>
          <w:szCs w:val="16"/>
          <w:color w:val="auto"/>
        </w:rPr>
      </w:pPr>
    </w:p>
    <w:p>
      <w:pPr>
        <w:ind w:firstLine="436"/>
        <w:spacing w:after="0" w:line="287" w:lineRule="auto"/>
        <w:tabs>
          <w:tab w:leader="none" w:pos="620" w:val="left"/>
        </w:tabs>
        <w:numPr>
          <w:ilvl w:val="0"/>
          <w:numId w:val="22"/>
        </w:numPr>
        <w:rPr>
          <w:rFonts w:ascii="Arial" w:cs="Arial" w:eastAsia="Arial" w:hAnsi="Arial"/>
          <w:sz w:val="16"/>
          <w:szCs w:val="16"/>
          <w:color w:val="auto"/>
        </w:rPr>
      </w:pPr>
      <w:r>
        <w:rPr>
          <w:rFonts w:ascii="Arial" w:cs="Arial" w:eastAsia="Arial" w:hAnsi="Arial"/>
          <w:sz w:val="16"/>
          <w:szCs w:val="16"/>
          <w:u w:val="single" w:color="auto"/>
          <w:color w:val="auto"/>
        </w:rPr>
        <w:t>Executive’s Representations</w:t>
      </w:r>
      <w:r>
        <w:rPr>
          <w:rFonts w:ascii="Arial" w:cs="Arial" w:eastAsia="Arial" w:hAnsi="Arial"/>
          <w:sz w:val="16"/>
          <w:szCs w:val="16"/>
          <w:color w:val="auto"/>
        </w:rPr>
        <w:t>. Executive hereby represents and warrants to the Company that (a) the execution, delivery and performance of this Agreement by Executive do not and shall not conflict with, breach, violate or cause a default under any contract, agreement, instrument, order, judgment or decree to which Executive is a party or by which Executive is bound, (b) except as previously disclosed to the Company in writing (a copy of each such agreement having been provided to the Company prior to the date hereof or being publicly available on EDGAR as of the date hereof), Executive is not a party to or bound by any employment agreement, noncompete agreement or confidentiality agreement with any other person or entity, (c) except as previously disclosed to the Company in writing, Executive took nothing with Executive which belonged to any former employer when Executive left Executive’s prior position and Executive has nothing that contains any information which belongs to any former employer, in either case which would reasonably be likely to result in any liability to Acadia or any Subsidiary, and (d) upon the execution and delivery of this Agreement by the Company, this Agreement shall be the valid and binding obligation of Executive, enforceable in accordance with its terms. Executive hereby acknowledges and represents that Executive has either consulted with independent legal counsel regarding Executive’s rights and obligations under this Agreement or knowingly and voluntarily waived the opportunity to do so and that Executive fully understands the terms and conditions contained herein.</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490" w:right="459" w:bottom="1440" w:gutter="0" w:footer="0" w:header="0"/>
        </w:sectPr>
      </w:pPr>
    </w:p>
    <w:bookmarkStart w:id="16" w:name="page17"/>
    <w:bookmarkEnd w:id="16"/>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9. </w:t>
      </w:r>
      <w:r>
        <w:rPr>
          <w:rFonts w:ascii="Arial" w:cs="Arial" w:eastAsia="Arial" w:hAnsi="Arial"/>
          <w:sz w:val="18"/>
          <w:szCs w:val="18"/>
          <w:u w:val="single" w:color="auto"/>
          <w:color w:val="auto"/>
        </w:rPr>
        <w:t>Definitions</w:t>
      </w:r>
      <w:r>
        <w:rPr>
          <w:rFonts w:ascii="Arial" w:cs="Arial" w:eastAsia="Arial" w:hAnsi="Arial"/>
          <w:sz w:val="18"/>
          <w:szCs w:val="18"/>
          <w:color w:val="auto"/>
        </w:rPr>
        <w:t>. For purposes of this Agreement, the following terms shall have the meanings set forth below:</w:t>
      </w:r>
    </w:p>
    <w:p>
      <w:pPr>
        <w:spacing w:after="0" w:line="225" w:lineRule="exact"/>
        <w:rPr>
          <w:sz w:val="20"/>
          <w:szCs w:val="20"/>
          <w:color w:val="auto"/>
        </w:rPr>
      </w:pPr>
    </w:p>
    <w:p>
      <w:pPr>
        <w:ind w:left="4" w:firstLine="440"/>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Cause</w:t>
      </w:r>
      <w:r>
        <w:rPr>
          <w:rFonts w:ascii="Arial" w:cs="Arial" w:eastAsia="Arial" w:hAnsi="Arial"/>
          <w:sz w:val="16"/>
          <w:szCs w:val="16"/>
          <w:color w:val="auto"/>
        </w:rPr>
        <w:t>” shall mean with respect to Executive one or more of the following: (i) the conviction of or plea of nolo contendere to a felony or other crime involving moral turpitude or the conviction of any crime involving misappropriation, embezzlement or fraud with respect to Acadia or any of the Subsidiaries or any of their customers, suppliers or other business relations, (ii) conduct outside the scope of Executive’s duties and responsibilities under this Agreement that causes Acadia or any of the Subsidiaries substantial public disgrace or disrepute or economic harm, (iii) repeated failure to perform duties consistent with this Agreement as reasonably directed by the Board, (iv) any act or knowing omission aiding or abetting a competitor, supplier or customer of Acadia or any of the Subsidiaries to the disadvantage or detriment of Acadia and the Subsidiaries, (v) breach of fiduciary duty, gross negligence or willful misconduct with respect to Acadia or any of the Subsidiaries, (vi) an administrative or other proceeding results in the suspension or debarment of Executive from participation in any contracts with, or programs of, the United States or any of the fifty states or any agency or department thereof, or (vii) any other material breach by Executive of this Agreement or any other agreement between Executive and Acadia or any of the Subsidiaries, which is not cured to the Board’s reasonable satisfaction within thirty (30) days after written notice thereof to Executive.</w:t>
      </w:r>
    </w:p>
    <w:p>
      <w:pPr>
        <w:spacing w:after="0" w:line="168" w:lineRule="exact"/>
        <w:rPr>
          <w:sz w:val="20"/>
          <w:szCs w:val="20"/>
          <w:color w:val="auto"/>
        </w:rPr>
      </w:pPr>
    </w:p>
    <w:p>
      <w:pPr>
        <w:ind w:left="4" w:right="140" w:firstLine="44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Disabled</w:t>
      </w:r>
      <w:r>
        <w:rPr>
          <w:rFonts w:ascii="Arial" w:cs="Arial" w:eastAsia="Arial" w:hAnsi="Arial"/>
          <w:sz w:val="16"/>
          <w:szCs w:val="16"/>
          <w:color w:val="auto"/>
        </w:rPr>
        <w:t>” means any physical or mental disability or infirmity that has prevented the performance of Executive’s duties for a period of (a) one hundred twenty (120) consecutive days or (b) one hundred eighty (180) non-consecutive days during any twelve (12)-month period. Any question as to the existence, extent or potentiality of Executive’s Disability upon which Executive and the Company cannot agree shall be determined by a qualified, independent physician selected by the Company and reasonably approved by Executive (or Executive’s representative).</w:t>
      </w:r>
    </w:p>
    <w:p>
      <w:pPr>
        <w:spacing w:after="0" w:line="157" w:lineRule="exact"/>
        <w:rPr>
          <w:sz w:val="20"/>
          <w:szCs w:val="20"/>
          <w:color w:val="auto"/>
        </w:rPr>
      </w:pPr>
    </w:p>
    <w:p>
      <w:pPr>
        <w:ind w:left="4" w:right="80" w:firstLine="44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Good Reason</w:t>
      </w:r>
      <w:r>
        <w:rPr>
          <w:rFonts w:ascii="Arial" w:cs="Arial" w:eastAsia="Arial" w:hAnsi="Arial"/>
          <w:sz w:val="16"/>
          <w:szCs w:val="16"/>
          <w:color w:val="auto"/>
        </w:rPr>
        <w:t>” shall mean if Executive resigns Executive’s employment with the Company as a result of one or more of the following actions (in each case taken without Executive’s written consent): (i) a reduction in Executive’s Base Salary (other than as part of an across-the-board reduction that</w:t>
      </w:r>
    </w:p>
    <w:p>
      <w:pPr>
        <w:ind w:left="4" w:right="40" w:hanging="4"/>
        <w:spacing w:after="0" w:line="286" w:lineRule="auto"/>
        <w:tabs>
          <w:tab w:leader="none" w:pos="299" w:val="left"/>
        </w:tabs>
        <w:numPr>
          <w:ilvl w:val="0"/>
          <w:numId w:val="23"/>
        </w:numPr>
        <w:rPr>
          <w:rFonts w:ascii="Arial" w:cs="Arial" w:eastAsia="Arial" w:hAnsi="Arial"/>
          <w:sz w:val="16"/>
          <w:szCs w:val="16"/>
          <w:color w:val="auto"/>
        </w:rPr>
      </w:pPr>
      <w:r>
        <w:rPr>
          <w:rFonts w:ascii="Arial" w:cs="Arial" w:eastAsia="Arial" w:hAnsi="Arial"/>
          <w:sz w:val="16"/>
          <w:szCs w:val="16"/>
          <w:color w:val="auto"/>
        </w:rPr>
        <w:t xml:space="preserve">results in a 10% or less reduction of Executive’s Base Salary as in effect on the date of any such reduction or (B) is approved by the Chief Executive Officer of the Company), (ii) a material diminution of Executive’s job duties or responsibilities inconsistent with Executive’s position, which shall include, without limitation, Executive’s removal from the position specified in </w:t>
      </w:r>
      <w:r>
        <w:rPr>
          <w:rFonts w:ascii="Arial" w:cs="Arial" w:eastAsia="Arial" w:hAnsi="Arial"/>
          <w:sz w:val="16"/>
          <w:szCs w:val="16"/>
          <w:u w:val="single" w:color="auto"/>
          <w:color w:val="auto"/>
        </w:rPr>
        <w:t>Section 2(a)</w:t>
      </w:r>
      <w:r>
        <w:rPr>
          <w:rFonts w:ascii="Arial" w:cs="Arial" w:eastAsia="Arial" w:hAnsi="Arial"/>
          <w:sz w:val="16"/>
          <w:szCs w:val="16"/>
          <w:color w:val="auto"/>
        </w:rPr>
        <w:t xml:space="preserve"> or the Company’s hiring an individual at an equivalent or senior level to Executive to perform substantially the same duties and responsibilities set forth in </w:t>
      </w:r>
      <w:r>
        <w:rPr>
          <w:rFonts w:ascii="Arial" w:cs="Arial" w:eastAsia="Arial" w:hAnsi="Arial"/>
          <w:sz w:val="16"/>
          <w:szCs w:val="16"/>
          <w:u w:val="single" w:color="auto"/>
          <w:color w:val="auto"/>
        </w:rPr>
        <w:t>Section 2(a)</w:t>
      </w:r>
      <w:r>
        <w:rPr>
          <w:rFonts w:ascii="Arial" w:cs="Arial" w:eastAsia="Arial" w:hAnsi="Arial"/>
          <w:sz w:val="16"/>
          <w:szCs w:val="16"/>
          <w:color w:val="auto"/>
        </w:rPr>
        <w:t>; (iii) any other material breach by the Company or Acadia (or their successors) of this Agreement; or (iv) Executive is required to relocate to the Company’s principal executive offices and corporate headquarters in Franklin, Tennessee or otherwise is required to relocate from her home in the State of Illinois; provided that, none of the events described in clauses (i) through (iv) above shall constitute Good Reason unless Executive shall have notified the Company and/or Acadia in writing describing the event which constitutes Good Reason within ninety (90) days after the occurrence of such event and then only if the Company and/or Acadia and the Subsidiaries shall have failed to cure such event within thirty (30) days after the Company’s and/or Acadia’s receipt of such written notice and Executive elects to terminate Executive’s employment as a result at the end of such thirty (30) day period.</w:t>
      </w:r>
    </w:p>
    <w:p>
      <w:pPr>
        <w:spacing w:after="0" w:line="10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24"/>
          </w:cols>
          <w:pgMar w:left="436" w:top="490" w:right="439" w:bottom="1440" w:gutter="0" w:footer="0" w:header="0"/>
        </w:sectPr>
      </w:pPr>
    </w:p>
    <w:bookmarkStart w:id="17" w:name="page18"/>
    <w:bookmarkEnd w:id="17"/>
    <w:p>
      <w:pPr>
        <w:ind w:right="2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74865" cy="51435"/>
                    </a:xfrm>
                    <a:prstGeom prst="rect">
                      <a:avLst/>
                    </a:prstGeom>
                    <a:noFill/>
                  </pic:spPr>
                </pic:pic>
              </a:graphicData>
            </a:graphic>
          </wp:anchor>
        </w:drawing>
        <w:t>“</w:t>
      </w:r>
      <w:r>
        <w:rPr>
          <w:rFonts w:ascii="Arial" w:cs="Arial" w:eastAsia="Arial" w:hAnsi="Arial"/>
          <w:sz w:val="18"/>
          <w:szCs w:val="18"/>
          <w:u w:val="single" w:color="auto"/>
          <w:color w:val="auto"/>
        </w:rPr>
        <w:t>Person</w:t>
      </w:r>
      <w:r>
        <w:rPr>
          <w:rFonts w:ascii="Arial" w:cs="Arial" w:eastAsia="Arial" w:hAnsi="Arial"/>
          <w:sz w:val="18"/>
          <w:szCs w:val="18"/>
          <w:color w:val="auto"/>
        </w:rPr>
        <w:t>” shall mean an individual, a partnership, a corporation (whether or not for profit), a limited liability company, an association, a joint stock company, a trust, a joint venture, or other business entity, an unincorporated organization and a governmental entity or any department, agency or political subdivision thereof.</w:t>
      </w:r>
    </w:p>
    <w:p>
      <w:pPr>
        <w:spacing w:after="0" w:line="184" w:lineRule="exact"/>
        <w:rPr>
          <w:sz w:val="20"/>
          <w:szCs w:val="20"/>
          <w:color w:val="auto"/>
        </w:rPr>
      </w:pPr>
    </w:p>
    <w:p>
      <w:pPr>
        <w:ind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Subsidiary</w:t>
      </w:r>
      <w:r>
        <w:rPr>
          <w:rFonts w:ascii="Arial" w:cs="Arial" w:eastAsia="Arial" w:hAnsi="Arial"/>
          <w:sz w:val="17"/>
          <w:szCs w:val="17"/>
          <w:color w:val="auto"/>
        </w:rPr>
        <w:t>” shall mean any corporation or other entity of which the securities or other ownership interests having the voting power to elect a majority of the board of directors or other governing body are, at the time of determination, owned by Acadia or of which Acadia serves as the managing member or in a similar capacity or of which Acadia holds a majority of the partnership or limited liability company or similar interests or is otherwise entitled to receive a majority of distributions made by it, in each case directly or through one or more Subsidiaries.</w:t>
      </w:r>
    </w:p>
    <w:p>
      <w:pPr>
        <w:spacing w:after="0" w:line="171" w:lineRule="exact"/>
        <w:rPr>
          <w:sz w:val="20"/>
          <w:szCs w:val="20"/>
          <w:color w:val="auto"/>
        </w:rPr>
      </w:pPr>
    </w:p>
    <w:p>
      <w:pPr>
        <w:ind w:right="160" w:firstLine="436"/>
        <w:spacing w:after="0" w:line="277" w:lineRule="auto"/>
        <w:tabs>
          <w:tab w:leader="none" w:pos="71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xml:space="preserve">. Except as otherwise provided in </w:t>
      </w:r>
      <w:r>
        <w:rPr>
          <w:rFonts w:ascii="Arial" w:cs="Arial" w:eastAsia="Arial" w:hAnsi="Arial"/>
          <w:sz w:val="18"/>
          <w:szCs w:val="18"/>
          <w:u w:val="single" w:color="auto"/>
          <w:color w:val="auto"/>
        </w:rPr>
        <w:t>Section 4(d)</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Sections 4</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27</w:t>
      </w:r>
      <w:r>
        <w:rPr>
          <w:rFonts w:ascii="Arial" w:cs="Arial" w:eastAsia="Arial" w:hAnsi="Arial"/>
          <w:sz w:val="18"/>
          <w:szCs w:val="18"/>
          <w:color w:val="auto"/>
        </w:rPr>
        <w:t xml:space="preserve"> (other than </w:t>
      </w:r>
      <w:r>
        <w:rPr>
          <w:rFonts w:ascii="Arial" w:cs="Arial" w:eastAsia="Arial" w:hAnsi="Arial"/>
          <w:sz w:val="18"/>
          <w:szCs w:val="18"/>
          <w:u w:val="single" w:color="auto"/>
          <w:color w:val="auto"/>
        </w:rPr>
        <w:t>Section 22</w:t>
      </w:r>
      <w:r>
        <w:rPr>
          <w:rFonts w:ascii="Arial" w:cs="Arial" w:eastAsia="Arial" w:hAnsi="Arial"/>
          <w:sz w:val="18"/>
          <w:szCs w:val="18"/>
          <w:color w:val="auto"/>
        </w:rPr>
        <w:t>) shall survive and continue in full force in accordance with their terms notwithstanding the expiration or termination of the Employment Period.</w:t>
      </w:r>
    </w:p>
    <w:p>
      <w:pPr>
        <w:spacing w:after="0" w:line="170" w:lineRule="exact"/>
        <w:rPr>
          <w:rFonts w:ascii="Arial" w:cs="Arial" w:eastAsia="Arial" w:hAnsi="Arial"/>
          <w:sz w:val="18"/>
          <w:szCs w:val="18"/>
          <w:color w:val="auto"/>
        </w:rPr>
      </w:pPr>
    </w:p>
    <w:p>
      <w:pPr>
        <w:ind w:firstLine="436"/>
        <w:spacing w:after="0" w:line="342" w:lineRule="auto"/>
        <w:tabs>
          <w:tab w:leader="none" w:pos="704" w:val="left"/>
        </w:tabs>
        <w:numPr>
          <w:ilvl w:val="0"/>
          <w:numId w:val="24"/>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Any notice provided for in this Agreement shall be in writing and shall be personally delivered, sent by facsimile (with hard copy to follow), sent by reputable overnight courier service, or mailed by first class mail, return receipt requested, to the recipient at the address below indicated:</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Notices to Executive: Heather Dixon at the address on the books and records of the Company at the time of such notice.</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Notices to the Company:</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Acadia Healthcare Company, Inc.</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6100 Tower Circle, Suite 1000</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Franklin, TN 37067 Attention: Board of Directors</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Facsimile: (615) 261-9685</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with copies (which shall not constitute notice) to:</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Acadia Healthcare Company, Inc.</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6100 Tower Circle, Suite 1000</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Franklin, TN 37067 Attention: General Counsel</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Facsimile: (615) 261-9685</w:t>
      </w:r>
    </w:p>
    <w:p>
      <w:pPr>
        <w:spacing w:after="0" w:line="211"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or such other address or to the attention of such other Person as the recipient party shall have specified by prior written notice to the sending party. Any notice under this Agreement shall be deemed to have been given when so delivered or sent by facsimile (subject to automatic proof of transmission), one day after being sent by overnight courier or three days after being mailed by first class mail, return receipt requested, as applicable.</w:t>
      </w:r>
    </w:p>
    <w:p>
      <w:pPr>
        <w:spacing w:after="0" w:line="149" w:lineRule="exact"/>
        <w:rPr>
          <w:sz w:val="20"/>
          <w:szCs w:val="20"/>
          <w:color w:val="auto"/>
        </w:rPr>
      </w:pPr>
    </w:p>
    <w:p>
      <w:pPr>
        <w:ind w:right="140" w:firstLine="436"/>
        <w:spacing w:after="0" w:line="257" w:lineRule="auto"/>
        <w:tabs>
          <w:tab w:leader="none" w:pos="710"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Whenever possible, each provision of this Agreement shall be interpreted in such manner as to be effective and valid under applicable law, but if any provision of this Agreement is held to be invalid, illegal or unenforceable in any respect under any applicable law or rule in any jurisdiction, such invalidity, illegality or unenforceability shall not affect any other provision of this Agreement or any action in any other jurisdiction, but this Agreement shall be reformed, construed and enforced in such jurisdiction as if such invalid, illegal or unenforceable provision had never been contained herein.</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490" w:right="459" w:bottom="1440" w:gutter="0" w:footer="0" w:header="0"/>
        </w:sectPr>
      </w:pPr>
    </w:p>
    <w:bookmarkStart w:id="18" w:name="page19"/>
    <w:bookmarkEnd w:id="18"/>
    <w:p>
      <w:pPr>
        <w:jc w:val="both"/>
        <w:ind w:left="-20" w:right="160" w:firstLine="436"/>
        <w:spacing w:after="0" w:line="263" w:lineRule="auto"/>
        <w:tabs>
          <w:tab w:leader="none" w:pos="690"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74865" cy="51435"/>
                    </a:xfrm>
                    <a:prstGeom prst="rect">
                      <a:avLst/>
                    </a:prstGeom>
                    <a:noFill/>
                  </pic:spPr>
                </pic:pic>
              </a:graphicData>
            </a:graphic>
          </wp:anchor>
        </w:drawing>
        <w:t>Complete Agreement</w:t>
      </w:r>
      <w:r>
        <w:rPr>
          <w:rFonts w:ascii="Arial" w:cs="Arial" w:eastAsia="Arial" w:hAnsi="Arial"/>
          <w:sz w:val="18"/>
          <w:szCs w:val="18"/>
          <w:color w:val="auto"/>
        </w:rPr>
        <w:t>. This Agreement and those documents expressly referred to herein embody the complete agreement and understanding among the parties with respect to, and supersede and preempt any prior understandings, agreements or representations by or among the parties, written or oral, which may have related to, the subject matter hereof in any way.</w:t>
      </w:r>
    </w:p>
    <w:p>
      <w:pPr>
        <w:spacing w:after="0" w:line="183" w:lineRule="exact"/>
        <w:rPr>
          <w:rFonts w:ascii="Arial" w:cs="Arial" w:eastAsia="Arial" w:hAnsi="Arial"/>
          <w:sz w:val="18"/>
          <w:szCs w:val="18"/>
          <w:color w:val="auto"/>
        </w:rPr>
      </w:pPr>
    </w:p>
    <w:p>
      <w:pPr>
        <w:ind w:left="-20" w:right="140" w:firstLine="436"/>
        <w:spacing w:after="0" w:line="277" w:lineRule="auto"/>
        <w:tabs>
          <w:tab w:leader="none" w:pos="690"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No Strict Construction</w:t>
      </w:r>
      <w:r>
        <w:rPr>
          <w:rFonts w:ascii="Arial" w:cs="Arial" w:eastAsia="Arial" w:hAnsi="Arial"/>
          <w:sz w:val="18"/>
          <w:szCs w:val="18"/>
          <w:color w:val="auto"/>
        </w:rPr>
        <w:t>. The language used in this Agreement shall be deemed to be the language chosen by the parties hereto to express their mutual intent, and no rule of strict construction shall be applied against any party.</w:t>
      </w:r>
    </w:p>
    <w:p>
      <w:pPr>
        <w:spacing w:after="0" w:line="170" w:lineRule="exact"/>
        <w:rPr>
          <w:rFonts w:ascii="Arial" w:cs="Arial" w:eastAsia="Arial" w:hAnsi="Arial"/>
          <w:sz w:val="18"/>
          <w:szCs w:val="18"/>
          <w:color w:val="auto"/>
        </w:rPr>
      </w:pPr>
    </w:p>
    <w:p>
      <w:pPr>
        <w:ind w:left="-20" w:right="380" w:firstLine="436"/>
        <w:spacing w:after="0" w:line="263" w:lineRule="auto"/>
        <w:tabs>
          <w:tab w:leader="none" w:pos="690"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separate counterparts (including by means of facsimile or by electronic transmission in portable document format (pdf) or comparable electronic transmission), each of which is deemed to be an original and all of which taken together constitute one and the same agreement.</w:t>
      </w:r>
    </w:p>
    <w:p>
      <w:pPr>
        <w:spacing w:after="0" w:line="183" w:lineRule="exact"/>
        <w:rPr>
          <w:rFonts w:ascii="Arial" w:cs="Arial" w:eastAsia="Arial" w:hAnsi="Arial"/>
          <w:sz w:val="18"/>
          <w:szCs w:val="18"/>
          <w:color w:val="auto"/>
        </w:rPr>
      </w:pPr>
    </w:p>
    <w:p>
      <w:pPr>
        <w:ind w:left="-20" w:firstLine="436"/>
        <w:spacing w:after="0" w:line="254" w:lineRule="auto"/>
        <w:tabs>
          <w:tab w:leader="none" w:pos="690"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This Agreement is personal in nature and neither of the parties hereto shall, without the consent of the other, assign, transfer or delegate this Agreement or any rights or obligations hereunder; provided that (i) this Agreement will inure to the benefit of and be enforceable by Executive’s personal or legal representatives, executors, administrators, successors, heirs, distributees and legatees (but otherwise will not otherwise be assignable, transferable or delegable by Executive), and (ii) this Agreement will be assignable, transferable or delegable by the Company, without the consent of Executive, to Acadia or any of the Subsidiaries or to any successor (whether direct or indirect, in whatever form of transaction) to all or substantially all of the business or assets of the Company or Acadia or the Subsidiaries (none of which shall constitute a termination of Executive’s employment hereunder).</w:t>
      </w:r>
    </w:p>
    <w:p>
      <w:pPr>
        <w:spacing w:after="0" w:line="194" w:lineRule="exact"/>
        <w:rPr>
          <w:rFonts w:ascii="Arial" w:cs="Arial" w:eastAsia="Arial" w:hAnsi="Arial"/>
          <w:sz w:val="18"/>
          <w:szCs w:val="18"/>
          <w:color w:val="auto"/>
        </w:rPr>
      </w:pPr>
    </w:p>
    <w:p>
      <w:pPr>
        <w:ind w:left="-20" w:right="40" w:firstLine="436"/>
        <w:spacing w:after="0" w:line="293" w:lineRule="auto"/>
        <w:tabs>
          <w:tab w:leader="none" w:pos="690" w:val="left"/>
        </w:tabs>
        <w:numPr>
          <w:ilvl w:val="0"/>
          <w:numId w:val="26"/>
        </w:numPr>
        <w:rPr>
          <w:rFonts w:ascii="Arial" w:cs="Arial" w:eastAsia="Arial" w:hAnsi="Arial"/>
          <w:sz w:val="16"/>
          <w:szCs w:val="16"/>
          <w:color w:val="auto"/>
        </w:rPr>
      </w:pPr>
      <w:r>
        <w:rPr>
          <w:rFonts w:ascii="Arial" w:cs="Arial" w:eastAsia="Arial" w:hAnsi="Arial"/>
          <w:sz w:val="16"/>
          <w:szCs w:val="16"/>
          <w:u w:val="single" w:color="auto"/>
          <w:color w:val="auto"/>
        </w:rPr>
        <w:t>Choice of Law and Forum</w:t>
      </w:r>
      <w:r>
        <w:rPr>
          <w:rFonts w:ascii="Arial" w:cs="Arial" w:eastAsia="Arial" w:hAnsi="Arial"/>
          <w:sz w:val="16"/>
          <w:szCs w:val="16"/>
          <w:color w:val="auto"/>
        </w:rPr>
        <w:t>. All issues and questions concerning the construction, validity, enforcement and interpretation of this Agreement and the exhibits and schedules hereto shall be governed by, and construed in accordance with, the laws of the State of Delaware, without giving effect to any choice of law or conflict of law rules or provisions (whether of the State of Delaware or any other jurisdiction) that would cause the application of the laws of any jurisdiction other than the State of Delaware. The parties agree that any dispute arising out of or relating to this Agreement, exclusively shall be brought in the state courts located in Williamson County, Tennessee or the United States District Court for the Middle District of Tennessee. Each party hereby waives any objection to the personal or subject matter jurisdiction and venue of such courts.</w:t>
      </w:r>
    </w:p>
    <w:p>
      <w:pPr>
        <w:spacing w:after="0" w:line="164" w:lineRule="exact"/>
        <w:rPr>
          <w:rFonts w:ascii="Arial" w:cs="Arial" w:eastAsia="Arial" w:hAnsi="Arial"/>
          <w:sz w:val="16"/>
          <w:szCs w:val="16"/>
          <w:color w:val="auto"/>
        </w:rPr>
      </w:pPr>
    </w:p>
    <w:p>
      <w:pPr>
        <w:ind w:left="-20" w:right="40" w:firstLine="436"/>
        <w:spacing w:after="0" w:line="301" w:lineRule="auto"/>
        <w:tabs>
          <w:tab w:leader="none" w:pos="681" w:val="left"/>
        </w:tabs>
        <w:numPr>
          <w:ilvl w:val="0"/>
          <w:numId w:val="26"/>
        </w:numPr>
        <w:rPr>
          <w:rFonts w:ascii="Arial" w:cs="Arial" w:eastAsia="Arial" w:hAnsi="Arial"/>
          <w:sz w:val="16"/>
          <w:szCs w:val="16"/>
          <w:color w:val="auto"/>
        </w:rPr>
      </w:pPr>
      <w:r>
        <w:rPr>
          <w:rFonts w:ascii="Arial" w:cs="Arial" w:eastAsia="Arial" w:hAnsi="Arial"/>
          <w:sz w:val="16"/>
          <w:szCs w:val="16"/>
          <w:u w:val="single" w:color="auto"/>
          <w:color w:val="auto"/>
        </w:rPr>
        <w:t>Amendment and Waiver</w:t>
      </w:r>
      <w:r>
        <w:rPr>
          <w:rFonts w:ascii="Arial" w:cs="Arial" w:eastAsia="Arial" w:hAnsi="Arial"/>
          <w:sz w:val="16"/>
          <w:szCs w:val="16"/>
          <w:color w:val="auto"/>
        </w:rPr>
        <w:t>. The provisions of this Agreement may be amended or waived only with the prior written consent of the Company (as approved by the Board) and Executive, and no course of conduct or course of dealing or failure or delay by any party hereto in enforcing or exercising any of the provisions of this Agreement (including, without limitation, the Company’s right to terminate the Employment Period for Cause) shall affect the validity, binding effect or enforceability of this Agreement or be deemed to be an implied waiver of any provision of this Agreement.</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80"/>
          </w:cols>
          <w:pgMar w:left="460" w:top="490" w:right="459" w:bottom="1440" w:gutter="0" w:footer="0" w:header="0"/>
        </w:sectPr>
      </w:pPr>
    </w:p>
    <w:bookmarkStart w:id="19" w:name="page20"/>
    <w:bookmarkEnd w:id="19"/>
    <w:p>
      <w:pPr>
        <w:ind w:right="200" w:firstLine="436"/>
        <w:spacing w:after="0" w:line="259" w:lineRule="auto"/>
        <w:tabs>
          <w:tab w:leader="none" w:pos="71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74865" cy="50800"/>
                    </a:xfrm>
                    <a:prstGeom prst="rect">
                      <a:avLst/>
                    </a:prstGeom>
                    <a:noFill/>
                  </pic:spPr>
                </pic:pic>
              </a:graphicData>
            </a:graphic>
          </wp:anchor>
        </w:drawing>
        <w:t>Insurance</w:t>
      </w:r>
      <w:r>
        <w:rPr>
          <w:rFonts w:ascii="Arial" w:cs="Arial" w:eastAsia="Arial" w:hAnsi="Arial"/>
          <w:sz w:val="18"/>
          <w:szCs w:val="18"/>
          <w:color w:val="auto"/>
        </w:rPr>
        <w:t>. The Company may, at its discretion, apply for and procure in its own name and for its own benefit life and/or disability insurance on Executive in any amount or amounts considered advisable. Executive agrees to cooperate in any medical or other examination, supply any information and execute and deliver any applications or other instruments in writing as may be reasonably necessary to obtain and constitute such insurance.</w:t>
      </w:r>
    </w:p>
    <w:p>
      <w:pPr>
        <w:spacing w:after="0" w:line="186" w:lineRule="exact"/>
        <w:rPr>
          <w:rFonts w:ascii="Arial" w:cs="Arial" w:eastAsia="Arial" w:hAnsi="Arial"/>
          <w:sz w:val="18"/>
          <w:szCs w:val="18"/>
          <w:color w:val="auto"/>
        </w:rPr>
      </w:pPr>
    </w:p>
    <w:p>
      <w:pPr>
        <w:ind w:firstLine="436"/>
        <w:spacing w:after="0" w:line="290" w:lineRule="auto"/>
        <w:tabs>
          <w:tab w:leader="none" w:pos="710" w:val="left"/>
        </w:tabs>
        <w:numPr>
          <w:ilvl w:val="0"/>
          <w:numId w:val="27"/>
        </w:numPr>
        <w:rPr>
          <w:rFonts w:ascii="Arial" w:cs="Arial" w:eastAsia="Arial" w:hAnsi="Arial"/>
          <w:sz w:val="16"/>
          <w:szCs w:val="16"/>
          <w:color w:val="auto"/>
        </w:rPr>
      </w:pPr>
      <w:r>
        <w:rPr>
          <w:rFonts w:ascii="Arial" w:cs="Arial" w:eastAsia="Arial" w:hAnsi="Arial"/>
          <w:sz w:val="16"/>
          <w:szCs w:val="16"/>
          <w:u w:val="single" w:color="auto"/>
          <w:color w:val="auto"/>
        </w:rPr>
        <w:t>Indemnification and Reimbursement of Payments on Behalf of Executive</w:t>
      </w:r>
      <w:r>
        <w:rPr>
          <w:rFonts w:ascii="Arial" w:cs="Arial" w:eastAsia="Arial" w:hAnsi="Arial"/>
          <w:sz w:val="16"/>
          <w:szCs w:val="16"/>
          <w:color w:val="auto"/>
        </w:rPr>
        <w:t>. Acadia and the Subsidiaries shall be entitled to deduct or withhold from any amounts owing from Acadia or any of the Subsidiaries to Executive any federal, state, local or foreign withholding taxes, excise tax, or employment taxes (“</w:t>
      </w:r>
      <w:r>
        <w:rPr>
          <w:rFonts w:ascii="Arial" w:cs="Arial" w:eastAsia="Arial" w:hAnsi="Arial"/>
          <w:sz w:val="16"/>
          <w:szCs w:val="16"/>
          <w:u w:val="single" w:color="auto"/>
          <w:color w:val="auto"/>
        </w:rPr>
        <w:t>Taxes</w:t>
      </w:r>
      <w:r>
        <w:rPr>
          <w:rFonts w:ascii="Arial" w:cs="Arial" w:eastAsia="Arial" w:hAnsi="Arial"/>
          <w:sz w:val="16"/>
          <w:szCs w:val="16"/>
          <w:color w:val="auto"/>
        </w:rPr>
        <w:t>”) imposed with respect to Executive’s compensation or other payments from Acadia or any of the Subsidiaries or Executive’s ownership interest in Acadia or any of the Subsidiaries (including, without limitation, wages, bonuses, dividends, the receipt or exercise of equity options and/or the receipt or vesting of restricted equity), as may be required to be deducted or withheld by any applicable law or regulation. In the event Acadia or any of the Subsidiaries does not make such deductions or withholdings, Executive shall indemnify Acadia and the Subsidiaries for any amounts paid with respect to any such Taxes, together (if such failure to withhold was at the written direction of Executive or if Executive was informed in writing by Acadia or such Subsidiary that such deductions or withholdings were not made) with any interest, penalties and related expenses thereto.</w:t>
      </w:r>
    </w:p>
    <w:p>
      <w:pPr>
        <w:spacing w:after="0" w:line="165" w:lineRule="exact"/>
        <w:rPr>
          <w:rFonts w:ascii="Arial" w:cs="Arial" w:eastAsia="Arial" w:hAnsi="Arial"/>
          <w:sz w:val="16"/>
          <w:szCs w:val="16"/>
          <w:color w:val="auto"/>
        </w:rPr>
      </w:pPr>
    </w:p>
    <w:p>
      <w:pPr>
        <w:jc w:val="both"/>
        <w:ind w:right="380" w:firstLine="436"/>
        <w:spacing w:after="0" w:line="259" w:lineRule="auto"/>
        <w:tabs>
          <w:tab w:leader="none" w:pos="707"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Waiver of Jury Trial</w:t>
      </w:r>
      <w:r>
        <w:rPr>
          <w:rFonts w:ascii="Arial" w:cs="Arial" w:eastAsia="Arial" w:hAnsi="Arial"/>
          <w:sz w:val="18"/>
          <w:szCs w:val="18"/>
          <w:color w:val="auto"/>
        </w:rPr>
        <w:t>. AS A SPECIFICALLY BARGAINED FOR INDUCEMENT FOR EACH OF THE PARTIES HERETO TO ENTER INTO THIS AGREEMENT (AFTER HAVING THE OPPORTUNITY TO CONSULT WITH COUNSEL), EACH PARTY HERETO EXPRESSLY WAIVES THE RIGHT TO TRIAL BY JURY IN ANY LAWSUIT OR PROCEEDING RELATING TO OR ARISING IN ANY WAY FROM THIS AGREEMENT OR THE MATTERS CONTEMPLATED HEREBY.</w:t>
      </w:r>
    </w:p>
    <w:p>
      <w:pPr>
        <w:spacing w:after="0" w:line="186" w:lineRule="exact"/>
        <w:rPr>
          <w:rFonts w:ascii="Arial" w:cs="Arial" w:eastAsia="Arial" w:hAnsi="Arial"/>
          <w:sz w:val="18"/>
          <w:szCs w:val="18"/>
          <w:color w:val="auto"/>
        </w:rPr>
      </w:pPr>
    </w:p>
    <w:p>
      <w:pPr>
        <w:ind w:right="60" w:firstLine="436"/>
        <w:spacing w:after="0" w:line="277" w:lineRule="auto"/>
        <w:tabs>
          <w:tab w:leader="none" w:pos="71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Opportunity</w:t>
      </w:r>
      <w:r>
        <w:rPr>
          <w:rFonts w:ascii="Arial" w:cs="Arial" w:eastAsia="Arial" w:hAnsi="Arial"/>
          <w:sz w:val="18"/>
          <w:szCs w:val="18"/>
          <w:color w:val="auto"/>
        </w:rPr>
        <w:t>. During the Employment Period, Executive shall submit to the Board all investment or business opportunities of which Executive becomes aware and which are within the scope and investment objectives of Acadia or any of the Subsidiaries.</w:t>
      </w:r>
    </w:p>
    <w:p>
      <w:pPr>
        <w:spacing w:after="0" w:line="170" w:lineRule="exact"/>
        <w:rPr>
          <w:rFonts w:ascii="Arial" w:cs="Arial" w:eastAsia="Arial" w:hAnsi="Arial"/>
          <w:sz w:val="18"/>
          <w:szCs w:val="18"/>
          <w:color w:val="auto"/>
        </w:rPr>
      </w:pPr>
    </w:p>
    <w:p>
      <w:pPr>
        <w:ind w:firstLine="436"/>
        <w:spacing w:after="0" w:line="270" w:lineRule="auto"/>
        <w:tabs>
          <w:tab w:leader="none" w:pos="710" w:val="left"/>
        </w:tabs>
        <w:numPr>
          <w:ilvl w:val="0"/>
          <w:numId w:val="27"/>
        </w:numPr>
        <w:rPr>
          <w:rFonts w:ascii="Arial" w:cs="Arial" w:eastAsia="Arial" w:hAnsi="Arial"/>
          <w:sz w:val="17"/>
          <w:szCs w:val="17"/>
          <w:color w:val="auto"/>
        </w:rPr>
      </w:pPr>
      <w:r>
        <w:rPr>
          <w:rFonts w:ascii="Arial" w:cs="Arial" w:eastAsia="Arial" w:hAnsi="Arial"/>
          <w:sz w:val="17"/>
          <w:szCs w:val="17"/>
          <w:u w:val="single" w:color="auto"/>
          <w:color w:val="auto"/>
        </w:rPr>
        <w:t>Executive’s Cooperation</w:t>
      </w:r>
      <w:r>
        <w:rPr>
          <w:rFonts w:ascii="Arial" w:cs="Arial" w:eastAsia="Arial" w:hAnsi="Arial"/>
          <w:sz w:val="17"/>
          <w:szCs w:val="17"/>
          <w:color w:val="auto"/>
        </w:rPr>
        <w:t>. During the Employment Period and for a period of six (6) months thereafter, Executive shall cooperate with Acadia and the Subsidiaries in any internal investigation or administrative, regulatory or judicial investigation or proceeding or any dispute with any third party as reasonably requested by Acadia or the Subsidiaries (including, without limitation, Executive being available to Acadia and the Subsidiaries upon reasonable notice for interviews and factual investigations, appearing at Acadia’s or any of the Subsidiaries’ request to give testimony without requiring service of a subpoena or other legal process, volunteering Acadia and the Subsidiaries all pertinent information and turning over to Acadia and the Subsidiaries all relevant documents which are or may come into Executive’s possession, all at times and on schedules that are reasonably consistent with Executive’s other permitted activities and commitments), all at Acadia’s or the Subsidiaries’ sole cost and expense. After such six (6) month period, if Executive is requested to engage or participate in any of the foregoing, then Executive will do so and Acadia or the Subsidiaries shall compensate Executive for Executive’s time at an hourly rate of $250/hour.</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490" w:right="459" w:bottom="1440" w:gutter="0" w:footer="0" w:header="0"/>
        </w:sectPr>
      </w:pPr>
    </w:p>
    <w:bookmarkStart w:id="20" w:name="page21"/>
    <w:bookmarkEnd w:id="20"/>
    <w:p>
      <w:pPr>
        <w:ind w:left="-20" w:firstLine="436"/>
        <w:spacing w:after="0" w:line="290" w:lineRule="auto"/>
        <w:tabs>
          <w:tab w:leader="none" w:pos="690" w:val="left"/>
        </w:tabs>
        <w:numPr>
          <w:ilvl w:val="0"/>
          <w:numId w:val="28"/>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74865" cy="50800"/>
                    </a:xfrm>
                    <a:prstGeom prst="rect">
                      <a:avLst/>
                    </a:prstGeom>
                    <a:noFill/>
                  </pic:spPr>
                </pic:pic>
              </a:graphicData>
            </a:graphic>
          </wp:anchor>
        </w:drawing>
        <w:t>Delivery by Facsimile or PDF</w:t>
      </w:r>
      <w:r>
        <w:rPr>
          <w:rFonts w:ascii="Arial" w:cs="Arial" w:eastAsia="Arial" w:hAnsi="Arial"/>
          <w:sz w:val="16"/>
          <w:szCs w:val="16"/>
          <w:color w:val="auto"/>
        </w:rPr>
        <w:t>. This Agreement, the agreements referred to herein, and each other agreement or instrument entered into in connection herewith or therewith or contemplated hereby or thereby, and any amendments hereto or thereto, to the extent signed and delivered by means of a facsimile machine or electronic transmission in pdf, shall be treated in all manner and respects as an original agreement or instrument and shall be considered to have the same binding legal effect as if it were the original signed version thereof delivered in person. At the request of any party hereto or to any such agreement or instrument, each other party hereto or thereto shall re-execute original forms thereof and deliver them to all other parties. No party hereto or to any such agreement or instrument shall raise the use of a facsimile machine or electronic transmission in pdf to deliver a signature or the fact that any signature or agreement or instrument was transmitted or communicated through the use of a facsimile machine or electronic transmission in pdf as a defense to the formation or enforceability of a contract and each such party forever waives any such defense.</w:t>
      </w:r>
    </w:p>
    <w:p>
      <w:pPr>
        <w:spacing w:after="0" w:line="165" w:lineRule="exact"/>
        <w:rPr>
          <w:rFonts w:ascii="Arial" w:cs="Arial" w:eastAsia="Arial" w:hAnsi="Arial"/>
          <w:sz w:val="16"/>
          <w:szCs w:val="16"/>
          <w:color w:val="auto"/>
        </w:rPr>
      </w:pPr>
    </w:p>
    <w:p>
      <w:pPr>
        <w:ind w:left="680" w:hanging="264"/>
        <w:spacing w:after="0"/>
        <w:tabs>
          <w:tab w:leader="none" w:pos="680"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Indemnification and Directors and Officers Insurance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0" w:right="100" w:firstLine="987"/>
        <w:spacing w:after="0" w:line="286" w:lineRule="auto"/>
        <w:tabs>
          <w:tab w:leader="none" w:pos="1216" w:val="left"/>
        </w:tabs>
        <w:numPr>
          <w:ilvl w:val="1"/>
          <w:numId w:val="28"/>
        </w:numPr>
        <w:rPr>
          <w:rFonts w:ascii="Arial" w:cs="Arial" w:eastAsia="Arial" w:hAnsi="Arial"/>
          <w:sz w:val="16"/>
          <w:szCs w:val="16"/>
          <w:color w:val="auto"/>
        </w:rPr>
      </w:pPr>
      <w:r>
        <w:rPr>
          <w:rFonts w:ascii="Arial" w:cs="Arial" w:eastAsia="Arial" w:hAnsi="Arial"/>
          <w:sz w:val="16"/>
          <w:szCs w:val="16"/>
          <w:color w:val="auto"/>
        </w:rPr>
        <w:t xml:space="preserve">During the Employment Period and for a period of six (6) years thereafter, the Company shall, to the fullest extent permitted under applicable law, indemnify and hold harmless Executive against all costs and expenses (including attorneys’ fees), judgments, fines, losses, claims, damages, liabilities and settlement amounts paid in connection with any claim, action, suit, proceeding or investigation (whether arising before or after the date hereof), whether civil, criminal, administrative or investigative, arising out of or pertaining to any action or omission in their capacity as an officer, director, employee, fiduciary or agent of the Company (or Acadia or any Subsidiary). In the event of any such claim, action, suit, proceeding or investigation, (i) the Company shall pay the reasonable fees and expenses of counsel selected by Executive promptly after statements therefor are received, (ii) neither the Company, Acadia nor any Subsidiary shall settle, compromise or consent to the entry of any judgment in any pending or threatened action to which Executive is a party (and in respect of which indemnification could be sought by Executive hereunder), unless such settlement, compromise or consent includes an unconditional release of Executive from all liability arising out of such action, or Executive otherwise consents (which consent shall not be unreasonably withheld, conditioned or delayed), and (iii) the Company, Acadia and the applicable Subsidiaries shall cooperate in the defense of any such matter. In the event that any claim for indemnification is asserted or made within the Employment Period or the six (6) year period thereafter, all rights of Executive to indemnification in respect of such claim shall continue until the final disposition of such claim. The rights of Executive under this </w:t>
      </w:r>
      <w:r>
        <w:rPr>
          <w:rFonts w:ascii="Arial" w:cs="Arial" w:eastAsia="Arial" w:hAnsi="Arial"/>
          <w:sz w:val="16"/>
          <w:szCs w:val="16"/>
          <w:u w:val="single" w:color="auto"/>
          <w:color w:val="auto"/>
        </w:rPr>
        <w:t>Section 25(a)</w:t>
      </w:r>
      <w:r>
        <w:rPr>
          <w:rFonts w:ascii="Arial" w:cs="Arial" w:eastAsia="Arial" w:hAnsi="Arial"/>
          <w:sz w:val="16"/>
          <w:szCs w:val="16"/>
          <w:color w:val="auto"/>
        </w:rPr>
        <w:t xml:space="preserve"> shall be in addition to any rights Executive may have under the organizational documents of the Company, Acadia or any Subsidiary, under any law, or under any agreement of Executive with the Company, Acadia or any Subsidiary.</w:t>
      </w:r>
    </w:p>
    <w:p>
      <w:pPr>
        <w:spacing w:after="0" w:line="170" w:lineRule="exact"/>
        <w:rPr>
          <w:rFonts w:ascii="Arial" w:cs="Arial" w:eastAsia="Arial" w:hAnsi="Arial"/>
          <w:sz w:val="16"/>
          <w:szCs w:val="16"/>
          <w:color w:val="auto"/>
        </w:rPr>
      </w:pPr>
    </w:p>
    <w:p>
      <w:pPr>
        <w:ind w:left="-20" w:right="160" w:firstLine="987"/>
        <w:spacing w:after="0" w:line="263" w:lineRule="auto"/>
        <w:tabs>
          <w:tab w:leader="none" w:pos="1226" w:val="left"/>
        </w:tabs>
        <w:numPr>
          <w:ilvl w:val="1"/>
          <w:numId w:val="28"/>
        </w:numPr>
        <w:rPr>
          <w:rFonts w:ascii="Arial" w:cs="Arial" w:eastAsia="Arial" w:hAnsi="Arial"/>
          <w:sz w:val="18"/>
          <w:szCs w:val="18"/>
          <w:color w:val="auto"/>
        </w:rPr>
      </w:pPr>
      <w:r>
        <w:rPr>
          <w:rFonts w:ascii="Arial" w:cs="Arial" w:eastAsia="Arial" w:hAnsi="Arial"/>
          <w:sz w:val="18"/>
          <w:szCs w:val="18"/>
          <w:color w:val="auto"/>
        </w:rPr>
        <w:t>During the Employment Period and for a period of six (6) years thereafter, the Company, or any successor to the Company, shall purchase and maintain, at its own expense, directors and officers liability insurance providing coverage for Executive in the same or greater amount as for members of the Board.</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60"/>
          </w:cols>
          <w:pgMar w:left="460" w:top="490" w:right="479" w:bottom="1440" w:gutter="0" w:footer="0" w:header="0"/>
        </w:sectPr>
      </w:pPr>
    </w:p>
    <w:bookmarkStart w:id="21" w:name="page22"/>
    <w:bookmarkEnd w:id="21"/>
    <w:p>
      <w:pPr>
        <w:ind w:left="-60" w:firstLine="436"/>
        <w:spacing w:after="0" w:line="269" w:lineRule="auto"/>
        <w:tabs>
          <w:tab w:leader="none" w:pos="650" w:val="left"/>
        </w:tabs>
        <w:numPr>
          <w:ilvl w:val="0"/>
          <w:numId w:val="29"/>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74865" cy="50800"/>
                    </a:xfrm>
                    <a:prstGeom prst="rect">
                      <a:avLst/>
                    </a:prstGeom>
                    <a:noFill/>
                  </pic:spPr>
                </pic:pic>
              </a:graphicData>
            </a:graphic>
          </wp:anchor>
        </w:drawing>
        <w:t>Legal Fees and Expenses</w:t>
      </w:r>
      <w:r>
        <w:rPr>
          <w:rFonts w:ascii="Arial" w:cs="Arial" w:eastAsia="Arial" w:hAnsi="Arial"/>
          <w:sz w:val="17"/>
          <w:szCs w:val="17"/>
          <w:color w:val="auto"/>
        </w:rPr>
        <w:t>. In the event any litigation or other court action, arbitration or similar adjudicatory proceeding (a “</w:t>
      </w:r>
      <w:r>
        <w:rPr>
          <w:rFonts w:ascii="Arial" w:cs="Arial" w:eastAsia="Arial" w:hAnsi="Arial"/>
          <w:sz w:val="17"/>
          <w:szCs w:val="17"/>
          <w:u w:val="single" w:color="auto"/>
          <w:color w:val="auto"/>
        </w:rPr>
        <w:t>Proceeding</w:t>
      </w:r>
      <w:r>
        <w:rPr>
          <w:rFonts w:ascii="Arial" w:cs="Arial" w:eastAsia="Arial" w:hAnsi="Arial"/>
          <w:sz w:val="17"/>
          <w:szCs w:val="17"/>
          <w:color w:val="auto"/>
        </w:rPr>
        <w:t>”) is commenced or threatened by any party hereto (the “</w:t>
      </w:r>
      <w:r>
        <w:rPr>
          <w:rFonts w:ascii="Arial" w:cs="Arial" w:eastAsia="Arial" w:hAnsi="Arial"/>
          <w:sz w:val="17"/>
          <w:szCs w:val="17"/>
          <w:u w:val="single" w:color="auto"/>
          <w:color w:val="auto"/>
        </w:rPr>
        <w:t>Claiming Party</w:t>
      </w:r>
      <w:r>
        <w:rPr>
          <w:rFonts w:ascii="Arial" w:cs="Arial" w:eastAsia="Arial" w:hAnsi="Arial"/>
          <w:sz w:val="17"/>
          <w:szCs w:val="17"/>
          <w:color w:val="auto"/>
        </w:rPr>
        <w:t>”) to enforce its rights under this Agreement against any other party hereto (the “</w:t>
      </w:r>
      <w:r>
        <w:rPr>
          <w:rFonts w:ascii="Arial" w:cs="Arial" w:eastAsia="Arial" w:hAnsi="Arial"/>
          <w:sz w:val="17"/>
          <w:szCs w:val="17"/>
          <w:u w:val="single" w:color="auto"/>
          <w:color w:val="auto"/>
        </w:rPr>
        <w:t>Defending Party</w:t>
      </w:r>
      <w:r>
        <w:rPr>
          <w:rFonts w:ascii="Arial" w:cs="Arial" w:eastAsia="Arial" w:hAnsi="Arial"/>
          <w:sz w:val="17"/>
          <w:szCs w:val="17"/>
          <w:color w:val="auto"/>
        </w:rPr>
        <w:t xml:space="preserve">”), if the Defending Party is the prevailing party in such Proceeding, all fees, costs and expenses, including, without limitation, reasonable attorneys fees and court costs, incurred by the Defending Party in such Proceeding, will be reimbursed by the Claiming Party, and, if the Claiming Party is the prevailing party in such Proceeding, all fees, costs and expenses, including, without limitation, reasonable attorneys fees and court costs, incurred by the Claiming Party in such Proceeding, will be reimbursed by the Defending Party; provided that if the Defending Party prevails in part, and loses in part, in such Proceeding, the court, arbitrator or other adjudicator presiding over such Proceeding shall award a reimbursement of the fees, costs and expenses incurred by the Claiming Party and the Defending Party on an equitable basis. For purposes of this </w:t>
      </w:r>
      <w:r>
        <w:rPr>
          <w:rFonts w:ascii="Arial" w:cs="Arial" w:eastAsia="Arial" w:hAnsi="Arial"/>
          <w:sz w:val="17"/>
          <w:szCs w:val="17"/>
          <w:u w:val="single" w:color="auto"/>
          <w:color w:val="auto"/>
        </w:rPr>
        <w:t>Section 26</w:t>
      </w:r>
      <w:r>
        <w:rPr>
          <w:rFonts w:ascii="Arial" w:cs="Arial" w:eastAsia="Arial" w:hAnsi="Arial"/>
          <w:sz w:val="17"/>
          <w:szCs w:val="17"/>
          <w:color w:val="auto"/>
        </w:rPr>
        <w:t>, and without limiting the generality of the foregoing, the Defending Party will be deemed to have prevailed in any Proceeding if the Claiming Party commences or threatens such Proceeding and (i) the underlying claim(s) in such Proceeding are subsequently dropped or dismissed, or (ii) the Defending Party defeats any such claim(s).</w:t>
      </w:r>
    </w:p>
    <w:p>
      <w:pPr>
        <w:spacing w:after="0" w:line="181" w:lineRule="exact"/>
        <w:rPr>
          <w:rFonts w:ascii="Arial" w:cs="Arial" w:eastAsia="Arial" w:hAnsi="Arial"/>
          <w:sz w:val="17"/>
          <w:szCs w:val="17"/>
          <w:color w:val="auto"/>
        </w:rPr>
      </w:pPr>
    </w:p>
    <w:p>
      <w:pPr>
        <w:ind w:left="-60" w:right="60" w:firstLine="436"/>
        <w:spacing w:after="0" w:line="272" w:lineRule="auto"/>
        <w:tabs>
          <w:tab w:leader="none" w:pos="641" w:val="left"/>
        </w:tabs>
        <w:numPr>
          <w:ilvl w:val="0"/>
          <w:numId w:val="29"/>
        </w:numPr>
        <w:rPr>
          <w:rFonts w:ascii="Arial" w:cs="Arial" w:eastAsia="Arial" w:hAnsi="Arial"/>
          <w:sz w:val="17"/>
          <w:szCs w:val="17"/>
          <w:color w:val="auto"/>
        </w:rPr>
      </w:pPr>
      <w:r>
        <w:rPr>
          <w:rFonts w:ascii="Arial" w:cs="Arial" w:eastAsia="Arial" w:hAnsi="Arial"/>
          <w:sz w:val="17"/>
          <w:szCs w:val="17"/>
          <w:u w:val="single" w:color="auto"/>
          <w:color w:val="auto"/>
        </w:rPr>
        <w:t>Acadia Guarantee</w:t>
      </w:r>
      <w:r>
        <w:rPr>
          <w:rFonts w:ascii="Arial" w:cs="Arial" w:eastAsia="Arial" w:hAnsi="Arial"/>
          <w:sz w:val="17"/>
          <w:szCs w:val="17"/>
          <w:color w:val="auto"/>
        </w:rPr>
        <w:t>. Acadia unconditionally guarantees and promises to pay and perform, upon Executive’s demand following a default by the Company, any and all obligations of the Company from time to time owed to Executive under this Agreement, subject to any applicable cure period. Acadia further agrees that if the Company shall fail to fulfill any of its obligations under this Agreement, Acadia will perform the same on demand as a principal obligor, and not as a surety. This is a continuing guarantee of the obligations and may not be revoked and shall not otherwise terminate unless and until the obligations of the Company have been paid and performed in full. Acadia represents and warrants that it will receive a substantial benefit from Company’s employment of Executive, which employment gives rise to the obligations of the Company under this Agreement. Acadia acknowledges that Executive would not execute this Agreement if it did not receive this guarantee.</w:t>
      </w:r>
    </w:p>
    <w:p>
      <w:pPr>
        <w:spacing w:after="0" w:line="173" w:lineRule="exact"/>
        <w:rPr>
          <w:sz w:val="20"/>
          <w:szCs w:val="20"/>
          <w:color w:val="auto"/>
        </w:rPr>
      </w:pPr>
    </w:p>
    <w:p>
      <w:pPr>
        <w:jc w:val="center"/>
        <w:spacing w:after="0"/>
        <w:tabs>
          <w:tab w:leader="none" w:pos="200" w:val="left"/>
          <w:tab w:leader="none" w:pos="200" w:val="left"/>
          <w:tab w:leader="none" w:pos="220" w:val="left"/>
          <w:tab w:leader="none" w:pos="200" w:val="left"/>
        </w:tabs>
        <w:rPr>
          <w:sz w:val="20"/>
          <w:szCs w:val="20"/>
          <w:color w:val="auto"/>
        </w:rPr>
      </w:pPr>
      <w:r>
        <w:rPr>
          <w:rFonts w:ascii="Arial" w:cs="Arial" w:eastAsia="Arial" w:hAnsi="Arial"/>
          <w:sz w:val="18"/>
          <w:szCs w:val="18"/>
          <w:b w:val="1"/>
          <w:bCs w:val="1"/>
          <w:color w:val="auto"/>
        </w:rPr>
        <w:t>*</w:t>
        <w:tab/>
        <w:t>*</w:t>
        <w:tab/>
        <w:t>*</w:t>
        <w:tab/>
        <w:t>*</w:t>
        <w:tab/>
        <w: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880"/>
          </w:cols>
          <w:pgMar w:left="500" w:top="490" w:right="51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74865" cy="50800"/>
                    </a:xfrm>
                    <a:prstGeom prst="rect">
                      <a:avLst/>
                    </a:prstGeom>
                    <a:noFill/>
                  </pic:spPr>
                </pic:pic>
              </a:graphicData>
            </a:graphic>
          </wp:anchor>
        </w:drawing>
        <w:t>IN WITNESS WHEREOF, the parties hereto have executed this Employment Agreement as of the date first written above.</w:t>
      </w:r>
    </w:p>
    <w:p>
      <w:pPr>
        <w:spacing w:after="0" w:line="252"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COMPANY:</w:t>
      </w:r>
    </w:p>
    <w:p>
      <w:pPr>
        <w:spacing w:after="0" w:line="225"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ACADIA MANAGEMENT COMPANY, INC.</w:t>
      </w:r>
    </w:p>
    <w:p>
      <w:pPr>
        <w:spacing w:after="0" w:line="225"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By: /s/ Christopher H. Hunter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4141470</wp:posOffset>
            </wp:positionH>
            <wp:positionV relativeFrom="paragraph">
              <wp:posOffset>14605</wp:posOffset>
            </wp:positionV>
            <wp:extent cx="257175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Name: Christopher H. Hunter</w:t>
      </w:r>
    </w:p>
    <w:p>
      <w:pPr>
        <w:spacing w:after="0" w:line="23"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Its: President</w:t>
      </w:r>
    </w:p>
    <w:p>
      <w:pPr>
        <w:spacing w:after="0" w:line="211"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EXECUTIVE:</w:t>
      </w:r>
    </w:p>
    <w:p>
      <w:pPr>
        <w:spacing w:after="0" w:line="225"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/s/ Heather Dixon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14605</wp:posOffset>
            </wp:positionV>
            <wp:extent cx="279463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0"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Name: Heather Dixon</w:t>
      </w:r>
    </w:p>
    <w:p>
      <w:pPr>
        <w:spacing w:after="0" w:line="225"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ACKNOWLEDGED AND AGREED:</w:t>
      </w:r>
    </w:p>
    <w:p>
      <w:pPr>
        <w:spacing w:after="0" w:line="225"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ACADIA HEALTHCARE COMPANY, INC.,</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6"/>
          <w:szCs w:val="16"/>
          <w:color w:val="auto"/>
        </w:rPr>
        <w:t>solely with respect to Sections 7 and 27, as of this 1st day of</w:t>
      </w:r>
    </w:p>
    <w:p>
      <w:pPr>
        <w:spacing w:after="0" w:line="32"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June, 2023</w:t>
      </w:r>
    </w:p>
    <w:p>
      <w:pPr>
        <w:spacing w:after="0" w:line="211"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By: /s/ Christopher H. Hunter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4141470</wp:posOffset>
            </wp:positionH>
            <wp:positionV relativeFrom="paragraph">
              <wp:posOffset>14605</wp:posOffset>
            </wp:positionV>
            <wp:extent cx="257175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Name: Christopher H. Hunter</w:t>
      </w:r>
    </w:p>
    <w:p>
      <w:pPr>
        <w:spacing w:after="0" w:line="23"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Its: Chief Executive Officer</w:t>
      </w:r>
    </w:p>
    <w:p>
      <w:pPr>
        <w:sectPr>
          <w:pgSz w:w="11900" w:h="16838" w:orient="portrait"/>
          <w:cols w:equalWidth="0" w:num="1">
            <w:col w:w="10520"/>
          </w:cols>
          <w:pgMar w:left="880" w:top="490" w:right="499" w:bottom="1440" w:gutter="0" w:footer="0" w:header="0"/>
        </w:sectPr>
      </w:pPr>
    </w:p>
    <w:bookmarkStart w:id="23" w:name="page24"/>
    <w:bookmarkEnd w:id="23"/>
    <w:p>
      <w:pPr>
        <w:jc w:val="center"/>
        <w:ind w:right="-17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74865" cy="50800"/>
                    </a:xfrm>
                    <a:prstGeom prst="rect">
                      <a:avLst/>
                    </a:prstGeom>
                    <a:noFill/>
                  </pic:spPr>
                </pic:pic>
              </a:graphicData>
            </a:graphic>
          </wp:anchor>
        </w:drawing>
        <w:t>EXHIBIT A</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u w:val="single" w:color="auto"/>
          <w:color w:val="auto"/>
        </w:rPr>
        <w:t>Other Activities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Executive serves on the Board of Addus Homecare (NASDAQ: ADUS), a provider of home care services that primarily include personal care services that assist with activities of daily living, as well as hospice and home health services.</w:t>
      </w:r>
    </w:p>
    <w:p>
      <w:pPr>
        <w:sectPr>
          <w:pgSz w:w="11900" w:h="16838" w:orient="portrait"/>
          <w:cols w:equalWidth="0" w:num="1">
            <w:col w:w="10820"/>
          </w:cols>
          <w:pgMar w:left="440" w:top="486" w:right="639" w:bottom="1440" w:gutter="0" w:footer="0" w:header="0"/>
        </w:sectPr>
      </w:pPr>
    </w:p>
    <w:bookmarkStart w:id="24" w:name="page25"/>
    <w:bookmarkEnd w:id="24"/>
    <w:p>
      <w:pPr>
        <w:jc w:val="center"/>
        <w:ind w:right="-23"/>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74865" cy="50800"/>
                    </a:xfrm>
                    <a:prstGeom prst="rect">
                      <a:avLst/>
                    </a:prstGeom>
                    <a:noFill/>
                  </pic:spPr>
                </pic:pic>
              </a:graphicData>
            </a:graphic>
          </wp:anchor>
        </w:drawing>
        <w:t>EXHIBIT B</w:t>
      </w:r>
    </w:p>
    <w:p>
      <w:pPr>
        <w:spacing w:after="0" w:line="225"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u w:val="single" w:color="auto"/>
          <w:color w:val="auto"/>
        </w:rPr>
        <w:t>GENERAL RELEASE</w:t>
      </w:r>
      <w:r>
        <w:rPr>
          <w:rFonts w:ascii="Arial" w:cs="Arial" w:eastAsia="Arial" w:hAnsi="Arial"/>
          <w:sz w:val="26"/>
          <w:szCs w:val="26"/>
          <w:b w:val="1"/>
          <w:bCs w:val="1"/>
          <w:u w:val="single" w:color="auto"/>
          <w:color w:val="auto"/>
          <w:vertAlign w:val="superscript"/>
        </w:rPr>
        <w:t>1</w:t>
      </w:r>
    </w:p>
    <w:p>
      <w:pPr>
        <w:spacing w:after="0" w:line="137" w:lineRule="exact"/>
        <w:rPr>
          <w:sz w:val="20"/>
          <w:szCs w:val="20"/>
          <w:color w:val="auto"/>
        </w:rPr>
      </w:pPr>
    </w:p>
    <w:p>
      <w:pPr>
        <w:ind w:left="984"/>
        <w:spacing w:after="0"/>
        <w:rPr>
          <w:sz w:val="20"/>
          <w:szCs w:val="20"/>
          <w:color w:val="auto"/>
        </w:rPr>
      </w:pPr>
      <w:r>
        <w:rPr>
          <w:rFonts w:ascii="Arial" w:cs="Arial" w:eastAsia="Arial" w:hAnsi="Arial"/>
          <w:sz w:val="17"/>
          <w:szCs w:val="17"/>
          <w:color w:val="auto"/>
        </w:rPr>
        <w:t>I, __________, in consideration of and subject to the performance by Acadia Management Company, Inc., a Delaware corporation</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7"/>
          <w:szCs w:val="17"/>
          <w:color w:val="auto"/>
        </w:rPr>
        <w:t>(together with its affiliates, the “</w:t>
      </w:r>
      <w:r>
        <w:rPr>
          <w:rFonts w:ascii="Arial" w:cs="Arial" w:eastAsia="Arial" w:hAnsi="Arial"/>
          <w:sz w:val="17"/>
          <w:szCs w:val="17"/>
          <w:u w:val="single" w:color="auto"/>
          <w:color w:val="auto"/>
        </w:rPr>
        <w:t>Compan</w:t>
      </w:r>
      <w:r>
        <w:rPr>
          <w:rFonts w:ascii="Arial" w:cs="Arial" w:eastAsia="Arial" w:hAnsi="Arial"/>
          <w:sz w:val="17"/>
          <w:szCs w:val="17"/>
          <w:color w:val="auto"/>
        </w:rPr>
        <w:t>y”), of the Company’s obligations under the Employment Agreement dated as of [__________], 2023 (the</w:t>
      </w:r>
    </w:p>
    <w:p>
      <w:pPr>
        <w:spacing w:after="0" w:line="21" w:lineRule="exact"/>
        <w:rPr>
          <w:sz w:val="20"/>
          <w:szCs w:val="20"/>
          <w:color w:val="auto"/>
        </w:rPr>
      </w:pPr>
    </w:p>
    <w:p>
      <w:pPr>
        <w:ind w:left="4" w:right="120"/>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Agreement</w:t>
      </w:r>
      <w:r>
        <w:rPr>
          <w:rFonts w:ascii="Arial" w:cs="Arial" w:eastAsia="Arial" w:hAnsi="Arial"/>
          <w:sz w:val="17"/>
          <w:szCs w:val="17"/>
          <w:color w:val="auto"/>
        </w:rPr>
        <w:t>”), do hereby release and forever discharge as of the date hereof the Company and all present, former and future managers, directors, officers, employees, successors and assigns of the Company and direct or indirect owners (collectively, the “</w:t>
      </w:r>
      <w:r>
        <w:rPr>
          <w:rFonts w:ascii="Arial" w:cs="Arial" w:eastAsia="Arial" w:hAnsi="Arial"/>
          <w:sz w:val="17"/>
          <w:szCs w:val="17"/>
          <w:u w:val="single" w:color="auto"/>
          <w:color w:val="auto"/>
        </w:rPr>
        <w:t>Released Parties</w:t>
      </w:r>
      <w:r>
        <w:rPr>
          <w:rFonts w:ascii="Arial" w:cs="Arial" w:eastAsia="Arial" w:hAnsi="Arial"/>
          <w:sz w:val="17"/>
          <w:szCs w:val="17"/>
          <w:color w:val="auto"/>
        </w:rPr>
        <w:t>”) to the extent provided below (this “</w:t>
      </w:r>
      <w:r>
        <w:rPr>
          <w:rFonts w:ascii="Arial" w:cs="Arial" w:eastAsia="Arial" w:hAnsi="Arial"/>
          <w:sz w:val="17"/>
          <w:szCs w:val="17"/>
          <w:u w:val="single" w:color="auto"/>
          <w:color w:val="auto"/>
        </w:rPr>
        <w:t>General Release</w:t>
      </w:r>
      <w:r>
        <w:rPr>
          <w:rFonts w:ascii="Arial" w:cs="Arial" w:eastAsia="Arial" w:hAnsi="Arial"/>
          <w:sz w:val="17"/>
          <w:szCs w:val="17"/>
          <w:color w:val="auto"/>
        </w:rPr>
        <w:t>”). The Released Parties are intended to be third-party beneficiaries of this General Release, and this General Release may be enforced by each of them in accordance with the terms hereof in respect of the rights granted to such Released Parties hereunder. Terms used herein but not otherwise defined shall have the meanings given to them in the Agreement.</w:t>
      </w:r>
    </w:p>
    <w:p>
      <w:pPr>
        <w:spacing w:after="0" w:line="84" w:lineRule="exact"/>
        <w:rPr>
          <w:sz w:val="20"/>
          <w:szCs w:val="20"/>
          <w:color w:val="auto"/>
        </w:rPr>
      </w:pPr>
    </w:p>
    <w:p>
      <w:pPr>
        <w:ind w:left="984" w:right="180" w:hanging="544"/>
        <w:spacing w:after="0" w:line="296" w:lineRule="auto"/>
        <w:tabs>
          <w:tab w:leader="none" w:pos="984" w:val="left"/>
        </w:tabs>
        <w:numPr>
          <w:ilvl w:val="0"/>
          <w:numId w:val="30"/>
        </w:numPr>
        <w:rPr>
          <w:rFonts w:ascii="Arial" w:cs="Arial" w:eastAsia="Arial" w:hAnsi="Arial"/>
          <w:sz w:val="16"/>
          <w:szCs w:val="16"/>
          <w:color w:val="auto"/>
        </w:rPr>
      </w:pPr>
      <w:r>
        <w:rPr>
          <w:rFonts w:ascii="Arial" w:cs="Arial" w:eastAsia="Arial" w:hAnsi="Arial"/>
          <w:sz w:val="16"/>
          <w:szCs w:val="16"/>
          <w:color w:val="auto"/>
        </w:rPr>
        <w:t>I understand that any payments or benefits paid or granted to me under Section 4 of the Agreement represent, in part, consideration for signing this General Release and are not salary, wages or benefits to which I was already entitled. I understand and agree that I will not receive certain of the payments and benefits specified in Section 4, unless I execute this General Release and do not revoke this General Release within the time period permitted hereafter. Such payments and benefits will not be considered compensation for purposes of any employee benefit plan, program, policy or arrangement maintained or hereafter established by the Company.</w:t>
      </w:r>
    </w:p>
    <w:p>
      <w:pPr>
        <w:spacing w:after="0" w:line="66" w:lineRule="exact"/>
        <w:rPr>
          <w:rFonts w:ascii="Arial" w:cs="Arial" w:eastAsia="Arial" w:hAnsi="Arial"/>
          <w:sz w:val="16"/>
          <w:szCs w:val="16"/>
          <w:color w:val="auto"/>
        </w:rPr>
      </w:pPr>
    </w:p>
    <w:p>
      <w:pPr>
        <w:ind w:left="984" w:hanging="544"/>
        <w:spacing w:after="0" w:line="268" w:lineRule="auto"/>
        <w:tabs>
          <w:tab w:leader="none" w:pos="984" w:val="left"/>
        </w:tabs>
        <w:numPr>
          <w:ilvl w:val="0"/>
          <w:numId w:val="30"/>
        </w:numPr>
        <w:rPr>
          <w:rFonts w:ascii="Arial" w:cs="Arial" w:eastAsia="Arial" w:hAnsi="Arial"/>
          <w:sz w:val="17"/>
          <w:szCs w:val="17"/>
          <w:color w:val="auto"/>
        </w:rPr>
      </w:pPr>
      <w:r>
        <w:rPr>
          <w:rFonts w:ascii="Arial" w:cs="Arial" w:eastAsia="Arial" w:hAnsi="Arial"/>
          <w:sz w:val="17"/>
          <w:szCs w:val="17"/>
          <w:color w:val="auto"/>
        </w:rPr>
        <w:t>Except as provided in paragraphs 5 and 6 below and except for the provisions of the Agreement which expressly survive the termination of my employment with the Company, I knowingly and voluntarily (for myself, my heirs, executors, administrators and assigns) release and forever discharge the Company and the other Released Parties from any and all claims, suits, controversies, actions, causes of action, cross-claims, counter-claims, demands, debts, compensatory damages, liquidated damages, punitive or exemplary damages, other damages, claims for costs and attorneys’ fees, or liabilities of any nature whatsoever in law and in equity, both past and present (through the date that this General Release becomes effective and enforceable) and whether known or unknown, suspected, or claimed against the Company or any of the Released Parties which I, my spouse, or any of my heirs, executors, administrators or assigns, may have, including those that arise out of or are connected with my employment with, or my separation or termination from, the Company (including, but not limited to, any allegation, claim or violation, arising under: Title VII of the Civil Rights Act of 1964, as amended; the Civil Rights Act of 1991; the Age Discrimination in Employment Act of 1967, as amended (including the Older Workers Benefit Protection Act); the Equal Pay Act of 1963, as amended; the Americans with Disabilities Act of 1990; the Family and Medical Leave Act of 1993; the Worker Adjustment Retraining and Notification Act; the Employee Retirement Income Security Act of 1974; any applicable Executive Order Programs; the Fair Labor Standards Act;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84455</wp:posOffset>
            </wp:positionV>
            <wp:extent cx="77152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59" w:lineRule="exact"/>
        <w:rPr>
          <w:sz w:val="20"/>
          <w:szCs w:val="20"/>
          <w:color w:val="auto"/>
        </w:rPr>
      </w:pPr>
    </w:p>
    <w:p>
      <w:pPr>
        <w:ind w:left="444" w:hanging="444"/>
        <w:spacing w:after="0"/>
        <w:tabs>
          <w:tab w:leader="none" w:pos="444" w:val="left"/>
        </w:tabs>
        <w:numPr>
          <w:ilvl w:val="0"/>
          <w:numId w:val="31"/>
        </w:numPr>
        <w:rPr>
          <w:rFonts w:ascii="Arial" w:cs="Arial" w:eastAsia="Arial" w:hAnsi="Arial"/>
          <w:sz w:val="27"/>
          <w:szCs w:val="27"/>
          <w:color w:val="auto"/>
          <w:vertAlign w:val="superscript"/>
        </w:rPr>
      </w:pPr>
      <w:r>
        <w:rPr>
          <w:rFonts w:ascii="Arial" w:cs="Arial" w:eastAsia="Arial" w:hAnsi="Arial"/>
          <w:sz w:val="18"/>
          <w:szCs w:val="18"/>
          <w:u w:val="single" w:color="auto"/>
          <w:color w:val="auto"/>
        </w:rPr>
        <w:t>Note to Draft</w:t>
      </w:r>
      <w:r>
        <w:rPr>
          <w:rFonts w:ascii="Arial" w:cs="Arial" w:eastAsia="Arial" w:hAnsi="Arial"/>
          <w:sz w:val="18"/>
          <w:szCs w:val="18"/>
          <w:color w:val="auto"/>
        </w:rPr>
        <w:t>: Subject to updates to the extent necessary for applicable governing law.</w:t>
      </w:r>
    </w:p>
    <w:p>
      <w:pPr>
        <w:sectPr>
          <w:pgSz w:w="11900" w:h="16838" w:orient="portrait"/>
          <w:cols w:equalWidth="0" w:num="1">
            <w:col w:w="11004"/>
          </w:cols>
          <w:pgMar w:left="436" w:top="486" w:right="459" w:bottom="1440" w:gutter="0" w:footer="0" w:header="0"/>
        </w:sectPr>
      </w:pPr>
    </w:p>
    <w:bookmarkStart w:id="25" w:name="page26"/>
    <w:bookmarkEnd w:id="25"/>
    <w:p>
      <w:pPr>
        <w:ind w:left="544" w:right="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their state or local counterparts; or under any other federal, state or local civil or human rights law, or under any other local, state, or federal law, regulation or ordinance; or under any public policy, contract or tort, or under common law; or arising under any policies, practices or procedures of the Company; or any claim for wrongful discharge, breach of contract, infliction of emotional distress, defamation; or any claim for costs, fees, or other expenses, including attorneys’ fees incurred in these matters) (all of the foregoing collectively referred to herein as the “</w:t>
      </w:r>
      <w:r>
        <w:rPr>
          <w:rFonts w:ascii="Arial" w:cs="Arial" w:eastAsia="Arial" w:hAnsi="Arial"/>
          <w:sz w:val="18"/>
          <w:szCs w:val="18"/>
          <w:u w:val="single" w:color="auto"/>
          <w:color w:val="auto"/>
        </w:rPr>
        <w:t>Claims</w:t>
      </w:r>
      <w:r>
        <w:rPr>
          <w:rFonts w:ascii="Arial" w:cs="Arial" w:eastAsia="Arial" w:hAnsi="Arial"/>
          <w:sz w:val="18"/>
          <w:szCs w:val="18"/>
          <w:color w:val="auto"/>
        </w:rPr>
        <w:t>”).</w:t>
      </w:r>
    </w:p>
    <w:p>
      <w:pPr>
        <w:spacing w:after="0" w:line="93" w:lineRule="exact"/>
        <w:rPr>
          <w:sz w:val="20"/>
          <w:szCs w:val="20"/>
          <w:color w:val="auto"/>
        </w:rPr>
      </w:pPr>
    </w:p>
    <w:p>
      <w:pPr>
        <w:ind w:left="544" w:hanging="544"/>
        <w:spacing w:after="0"/>
        <w:tabs>
          <w:tab w:leader="none" w:pos="544"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released claims described in paragraph 2 hereof include all such claims, whether known or unknown by me.</w:t>
      </w:r>
    </w:p>
    <w:p>
      <w:pPr>
        <w:spacing w:after="0" w:line="130" w:lineRule="exact"/>
        <w:rPr>
          <w:rFonts w:ascii="Arial" w:cs="Arial" w:eastAsia="Arial" w:hAnsi="Arial"/>
          <w:sz w:val="18"/>
          <w:szCs w:val="18"/>
          <w:color w:val="auto"/>
        </w:rPr>
      </w:pPr>
    </w:p>
    <w:p>
      <w:pPr>
        <w:ind w:left="544" w:right="40" w:hanging="544"/>
        <w:spacing w:after="0" w:line="277" w:lineRule="auto"/>
        <w:tabs>
          <w:tab w:leader="none" w:pos="544"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represent that I have made no assignment or transfer of any right, claim, demand, cause of action, or other matter covered by paragraph 2 above.</w:t>
      </w:r>
    </w:p>
    <w:p>
      <w:pPr>
        <w:spacing w:after="0" w:line="75" w:lineRule="exact"/>
        <w:rPr>
          <w:rFonts w:ascii="Arial" w:cs="Arial" w:eastAsia="Arial" w:hAnsi="Arial"/>
          <w:sz w:val="18"/>
          <w:szCs w:val="18"/>
          <w:color w:val="auto"/>
        </w:rPr>
      </w:pPr>
    </w:p>
    <w:p>
      <w:pPr>
        <w:ind w:left="544" w:right="460" w:hanging="544"/>
        <w:spacing w:after="0" w:line="279" w:lineRule="auto"/>
        <w:tabs>
          <w:tab w:leader="none" w:pos="544" w:val="left"/>
        </w:tabs>
        <w:numPr>
          <w:ilvl w:val="0"/>
          <w:numId w:val="32"/>
        </w:numPr>
        <w:rPr>
          <w:rFonts w:ascii="Arial" w:cs="Arial" w:eastAsia="Arial" w:hAnsi="Arial"/>
          <w:sz w:val="17"/>
          <w:szCs w:val="17"/>
          <w:color w:val="auto"/>
        </w:rPr>
      </w:pPr>
      <w:r>
        <w:rPr>
          <w:rFonts w:ascii="Arial" w:cs="Arial" w:eastAsia="Arial" w:hAnsi="Arial"/>
          <w:sz w:val="17"/>
          <w:szCs w:val="17"/>
          <w:color w:val="auto"/>
        </w:rPr>
        <w:t>I agree that this General Release does not waive or release any rights or claims that I may have under the Age Discrimination in Employment Act of 1967 which arise after the date I execute this General Release. I acknowledge and agree that my separation from employment with the Company in compliance with the terms of the Agreement shall not serve as the basis for any claim or action (including, without limitation, any claim under the Age Discrimination in Employment Act of 1967).</w:t>
      </w:r>
    </w:p>
    <w:p>
      <w:pPr>
        <w:spacing w:after="0" w:line="76" w:lineRule="exact"/>
        <w:rPr>
          <w:rFonts w:ascii="Arial" w:cs="Arial" w:eastAsia="Arial" w:hAnsi="Arial"/>
          <w:sz w:val="17"/>
          <w:szCs w:val="17"/>
          <w:color w:val="auto"/>
        </w:rPr>
      </w:pPr>
    </w:p>
    <w:p>
      <w:pPr>
        <w:ind w:left="544" w:hanging="544"/>
        <w:spacing w:after="0" w:line="283" w:lineRule="auto"/>
        <w:tabs>
          <w:tab w:leader="none" w:pos="544" w:val="left"/>
        </w:tabs>
        <w:numPr>
          <w:ilvl w:val="0"/>
          <w:numId w:val="32"/>
        </w:numPr>
        <w:rPr>
          <w:rFonts w:ascii="Arial" w:cs="Arial" w:eastAsia="Arial" w:hAnsi="Arial"/>
          <w:sz w:val="16"/>
          <w:szCs w:val="16"/>
          <w:color w:val="auto"/>
        </w:rPr>
      </w:pPr>
      <w:r>
        <w:rPr>
          <w:rFonts w:ascii="Arial" w:cs="Arial" w:eastAsia="Arial" w:hAnsi="Arial"/>
          <w:sz w:val="16"/>
          <w:szCs w:val="16"/>
          <w:color w:val="auto"/>
        </w:rPr>
        <w:t>I agree that I hereby waive all rights to sue or obtain equitable, remedial or punitive relief from any or all Released Parties of any kind whatsoever in respect of any Claim, including, without limitation, reinstatement, back pay, front pay, and any form of injunctive relief. Notwithstanding the above, I further acknowledge that I am not waiving and am not being required to waive any right that cannot be waived under law, including the right to file an administrative charge or participate in an administrative investigation or proceeding; provided, however, that I disclaim and waive any right to share or participate in any monetary award resulting from the prosecution of such charge or investigation or proceeding. Additionally, I am not waiving (and nothing set forth herein shall be deemed a release of) (a) any right to any earned and accrued salary, vacation, benefits, expense reimbursements, or any severance benefits to which I am entitled under the Agreement, (b) any claim relating to directors’ and officers’ liability insurance coverage or any right of indemnification under the Company’s organizational documents, applicable law or otherwise, including, without limitation, Sections 25 and 26 of the Agreement,</w:t>
      </w:r>
    </w:p>
    <w:p>
      <w:pPr>
        <w:spacing w:after="0" w:line="5" w:lineRule="exact"/>
        <w:rPr>
          <w:rFonts w:ascii="Arial" w:cs="Arial" w:eastAsia="Arial" w:hAnsi="Arial"/>
          <w:sz w:val="16"/>
          <w:szCs w:val="16"/>
          <w:color w:val="auto"/>
        </w:rPr>
      </w:pPr>
    </w:p>
    <w:p>
      <w:pPr>
        <w:ind w:left="544" w:right="120"/>
        <w:spacing w:after="0" w:line="255" w:lineRule="auto"/>
        <w:rPr>
          <w:rFonts w:ascii="Arial" w:cs="Arial" w:eastAsia="Arial" w:hAnsi="Arial"/>
          <w:sz w:val="16"/>
          <w:szCs w:val="16"/>
          <w:color w:val="auto"/>
        </w:rPr>
      </w:pPr>
      <w:r>
        <w:rPr>
          <w:rFonts w:ascii="Arial" w:cs="Arial" w:eastAsia="Arial" w:hAnsi="Arial"/>
          <w:sz w:val="18"/>
          <w:szCs w:val="18"/>
          <w:color w:val="auto"/>
        </w:rPr>
        <w:t>(c) claims for workers’ compensation benefits under any of the Company’s workers’ compensation insurance policies or funds, (d) claims related to my rights under the Consolidated Budget Reconciliation Act of 1985, as amended and/or (e) any obligations of the Company under this General Release, including my rights to enforce this General Release.</w:t>
      </w:r>
    </w:p>
    <w:p>
      <w:pPr>
        <w:spacing w:after="0" w:line="95" w:lineRule="exact"/>
        <w:rPr>
          <w:rFonts w:ascii="Arial" w:cs="Arial" w:eastAsia="Arial" w:hAnsi="Arial"/>
          <w:sz w:val="16"/>
          <w:szCs w:val="16"/>
          <w:color w:val="auto"/>
        </w:rPr>
      </w:pPr>
    </w:p>
    <w:p>
      <w:pPr>
        <w:ind w:left="544" w:right="100" w:hanging="544"/>
        <w:spacing w:after="0" w:line="275" w:lineRule="auto"/>
        <w:tabs>
          <w:tab w:leader="none" w:pos="544" w:val="left"/>
        </w:tabs>
        <w:numPr>
          <w:ilvl w:val="0"/>
          <w:numId w:val="32"/>
        </w:numPr>
        <w:rPr>
          <w:rFonts w:ascii="Arial" w:cs="Arial" w:eastAsia="Arial" w:hAnsi="Arial"/>
          <w:sz w:val="17"/>
          <w:szCs w:val="17"/>
          <w:color w:val="auto"/>
        </w:rPr>
      </w:pPr>
      <w:r>
        <w:rPr>
          <w:rFonts w:ascii="Arial" w:cs="Arial" w:eastAsia="Arial" w:hAnsi="Arial"/>
          <w:sz w:val="17"/>
          <w:szCs w:val="17"/>
          <w:color w:val="auto"/>
        </w:rPr>
        <w:t>In signing this General Release, I acknowledge and intend that it shall be effective as a bar to each and every one of the Claims hereinabove mentioned or implied. I expressly consent that this General Release shall be given full force and effect according to each and all of its express terms and provisions, including those relating to unknown and unsuspected Claims (notwithstanding any state or local statute that expressly limits the effectiveness of a general release of unknown, unsuspected and unanticipated Claims), if any, as well as those relating to any other Claims hereinabove mentioned or implied. I acknowledge and</w:t>
      </w:r>
    </w:p>
    <w:p>
      <w:pPr>
        <w:sectPr>
          <w:pgSz w:w="11900" w:h="16838" w:orient="portrait"/>
          <w:cols w:equalWidth="0" w:num="1">
            <w:col w:w="10564"/>
          </w:cols>
          <w:pgMar w:left="876" w:top="490" w:right="459" w:bottom="1440" w:gutter="0" w:footer="0" w:header="0"/>
        </w:sectPr>
      </w:pPr>
    </w:p>
    <w:bookmarkStart w:id="26" w:name="page27"/>
    <w:bookmarkEnd w:id="26"/>
    <w:p>
      <w:pPr>
        <w:ind w:left="544" w:right="12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74865" cy="50800"/>
                    </a:xfrm>
                    <a:prstGeom prst="rect">
                      <a:avLst/>
                    </a:prstGeom>
                    <a:noFill/>
                  </pic:spPr>
                </pic:pic>
              </a:graphicData>
            </a:graphic>
          </wp:anchor>
        </w:drawing>
        <w:t>agree that this waiver is an essential and material term of this General Release and that without such waiver the Company would not have agreed to the terms of the Agreement. I further agree that in the event I should bring a Claim seeking damages against the Company, or in the event I should seek to recover against the Company in any Claim brought by a governmental agency on my behalf, this General Release shall serve as a complete defense to such Claims to the maximum extent permitted by law. I further agree that I am not aware of any pending claim of the type described in paragraph 2 above as of the execution of this General Release.</w:t>
      </w:r>
    </w:p>
    <w:p>
      <w:pPr>
        <w:spacing w:after="0" w:line="67" w:lineRule="exact"/>
        <w:rPr>
          <w:sz w:val="20"/>
          <w:szCs w:val="20"/>
          <w:color w:val="auto"/>
        </w:rPr>
      </w:pPr>
    </w:p>
    <w:p>
      <w:pPr>
        <w:ind w:left="544" w:right="160" w:hanging="544"/>
        <w:spacing w:after="0" w:line="308" w:lineRule="auto"/>
        <w:tabs>
          <w:tab w:leader="none" w:pos="544" w:val="left"/>
        </w:tabs>
        <w:numPr>
          <w:ilvl w:val="0"/>
          <w:numId w:val="33"/>
        </w:numPr>
        <w:rPr>
          <w:rFonts w:ascii="Arial" w:cs="Arial" w:eastAsia="Arial" w:hAnsi="Arial"/>
          <w:sz w:val="17"/>
          <w:szCs w:val="17"/>
          <w:color w:val="auto"/>
        </w:rPr>
      </w:pPr>
      <w:r>
        <w:rPr>
          <w:rFonts w:ascii="Arial" w:cs="Arial" w:eastAsia="Arial" w:hAnsi="Arial"/>
          <w:sz w:val="17"/>
          <w:szCs w:val="17"/>
          <w:color w:val="auto"/>
        </w:rPr>
        <w:t>I agree that neither this General Release, nor the furnishing of the consideration for this General Release, shall be deemed or construed at any time to be an admission by the Company, any Released Party or myself of any improper or unlawful conduct.</w:t>
      </w:r>
    </w:p>
    <w:p>
      <w:pPr>
        <w:spacing w:after="0" w:line="51" w:lineRule="exact"/>
        <w:rPr>
          <w:rFonts w:ascii="Arial" w:cs="Arial" w:eastAsia="Arial" w:hAnsi="Arial"/>
          <w:sz w:val="17"/>
          <w:szCs w:val="17"/>
          <w:color w:val="auto"/>
        </w:rPr>
      </w:pPr>
    </w:p>
    <w:p>
      <w:pPr>
        <w:ind w:left="544" w:right="520" w:hanging="544"/>
        <w:spacing w:after="0" w:line="277" w:lineRule="auto"/>
        <w:tabs>
          <w:tab w:leader="none" w:pos="544"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agree that if I violate this General Release by suing the Company or the other Released Parties, I will pay all costs and expenses of defending against the suit incurred by the Released Parties, including reasonable attorneys’ fees.</w:t>
      </w:r>
    </w:p>
    <w:p>
      <w:pPr>
        <w:spacing w:after="0" w:line="75" w:lineRule="exact"/>
        <w:rPr>
          <w:rFonts w:ascii="Arial" w:cs="Arial" w:eastAsia="Arial" w:hAnsi="Arial"/>
          <w:sz w:val="18"/>
          <w:szCs w:val="18"/>
          <w:color w:val="auto"/>
        </w:rPr>
      </w:pPr>
    </w:p>
    <w:p>
      <w:pPr>
        <w:jc w:val="both"/>
        <w:ind w:left="544" w:right="340" w:hanging="544"/>
        <w:spacing w:after="0" w:line="286" w:lineRule="auto"/>
        <w:tabs>
          <w:tab w:leader="none" w:pos="544" w:val="left"/>
        </w:tabs>
        <w:numPr>
          <w:ilvl w:val="0"/>
          <w:numId w:val="33"/>
        </w:numPr>
        <w:rPr>
          <w:rFonts w:ascii="Arial" w:cs="Arial" w:eastAsia="Arial" w:hAnsi="Arial"/>
          <w:sz w:val="17"/>
          <w:szCs w:val="17"/>
          <w:color w:val="auto"/>
        </w:rPr>
      </w:pPr>
      <w:r>
        <w:rPr>
          <w:rFonts w:ascii="Arial" w:cs="Arial" w:eastAsia="Arial" w:hAnsi="Arial"/>
          <w:sz w:val="17"/>
          <w:szCs w:val="17"/>
          <w:color w:val="auto"/>
        </w:rPr>
        <w:t>Any non-disclosure provision in this General Release does not prohibit or restrict me (or my attorney) from responding to any inquiry about this General Release or its underlying facts and circumstances by the Securities and Exchange Commission (SEC), the Financial Industry Regulatory Authority (FINRA), any other self-regulatory organization or any governmental entity.</w:t>
      </w:r>
    </w:p>
    <w:p>
      <w:pPr>
        <w:spacing w:after="0" w:line="70" w:lineRule="exact"/>
        <w:rPr>
          <w:rFonts w:ascii="Arial" w:cs="Arial" w:eastAsia="Arial" w:hAnsi="Arial"/>
          <w:sz w:val="17"/>
          <w:szCs w:val="17"/>
          <w:color w:val="auto"/>
        </w:rPr>
      </w:pPr>
    </w:p>
    <w:p>
      <w:pPr>
        <w:ind w:left="544" w:right="420" w:hanging="544"/>
        <w:spacing w:after="0" w:line="277" w:lineRule="auto"/>
        <w:tabs>
          <w:tab w:leader="none" w:pos="544"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hereby acknowledge that Sections 4 through 27 (other than Section 22) of the Agreement shall survive my execution of this General Release.</w:t>
      </w:r>
    </w:p>
    <w:p>
      <w:pPr>
        <w:spacing w:after="0" w:line="75" w:lineRule="exact"/>
        <w:rPr>
          <w:rFonts w:ascii="Arial" w:cs="Arial" w:eastAsia="Arial" w:hAnsi="Arial"/>
          <w:sz w:val="18"/>
          <w:szCs w:val="18"/>
          <w:color w:val="auto"/>
        </w:rPr>
      </w:pPr>
    </w:p>
    <w:p>
      <w:pPr>
        <w:ind w:left="544" w:hanging="544"/>
        <w:spacing w:after="0" w:line="259" w:lineRule="auto"/>
        <w:tabs>
          <w:tab w:leader="none" w:pos="544"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represent that I am not aware of any claim by me other than the claims that are released by this General Release. I acknowledge that I may hereafter discover claims or facts in addition to or different than those which I now know or believe to exist with respect to the subject matter of the release set forth in paragraph 2 above and which, if known or suspected at the time of entering into this General Release, may have materially affected this General Release and my decision to enter into it.</w:t>
      </w:r>
    </w:p>
    <w:p>
      <w:pPr>
        <w:spacing w:after="0" w:line="92" w:lineRule="exact"/>
        <w:rPr>
          <w:rFonts w:ascii="Arial" w:cs="Arial" w:eastAsia="Arial" w:hAnsi="Arial"/>
          <w:sz w:val="18"/>
          <w:szCs w:val="18"/>
          <w:color w:val="auto"/>
        </w:rPr>
      </w:pPr>
    </w:p>
    <w:p>
      <w:pPr>
        <w:ind w:left="544" w:right="120" w:hanging="544"/>
        <w:spacing w:after="0" w:line="342" w:lineRule="auto"/>
        <w:tabs>
          <w:tab w:leader="none" w:pos="544" w:val="left"/>
        </w:tabs>
        <w:numPr>
          <w:ilvl w:val="0"/>
          <w:numId w:val="33"/>
        </w:numPr>
        <w:rPr>
          <w:rFonts w:ascii="Arial" w:cs="Arial" w:eastAsia="Arial" w:hAnsi="Arial"/>
          <w:sz w:val="16"/>
          <w:szCs w:val="16"/>
          <w:color w:val="auto"/>
        </w:rPr>
      </w:pPr>
      <w:r>
        <w:rPr>
          <w:rFonts w:ascii="Arial" w:cs="Arial" w:eastAsia="Arial" w:hAnsi="Arial"/>
          <w:sz w:val="16"/>
          <w:szCs w:val="16"/>
          <w:color w:val="auto"/>
        </w:rPr>
        <w:t>Notwithstanding anything in this General Release to the contrary, this General Release shall not relinquish, diminish, or in any way affect any rights or claims arising out of any breach by the Company or by any Released Party of the Agreement after the date hereof.</w:t>
      </w:r>
    </w:p>
    <w:p>
      <w:pPr>
        <w:spacing w:after="0" w:line="29" w:lineRule="exact"/>
        <w:rPr>
          <w:rFonts w:ascii="Arial" w:cs="Arial" w:eastAsia="Arial" w:hAnsi="Arial"/>
          <w:sz w:val="16"/>
          <w:szCs w:val="16"/>
          <w:color w:val="auto"/>
        </w:rPr>
      </w:pPr>
    </w:p>
    <w:p>
      <w:pPr>
        <w:ind w:left="544" w:right="360" w:hanging="544"/>
        <w:spacing w:after="0" w:line="257" w:lineRule="auto"/>
        <w:tabs>
          <w:tab w:leader="none" w:pos="544" w:val="left"/>
        </w:tabs>
        <w:numPr>
          <w:ilvl w:val="0"/>
          <w:numId w:val="33"/>
        </w:numPr>
        <w:rPr>
          <w:rFonts w:ascii="Arial" w:cs="Arial" w:eastAsia="Arial" w:hAnsi="Arial"/>
          <w:sz w:val="18"/>
          <w:szCs w:val="18"/>
          <w:color w:val="auto"/>
        </w:rPr>
      </w:pPr>
      <w:r>
        <w:rPr>
          <w:rFonts w:ascii="Arial" w:cs="Arial" w:eastAsia="Arial" w:hAnsi="Arial"/>
          <w:sz w:val="18"/>
          <w:szCs w:val="18"/>
          <w:color w:val="auto"/>
        </w:rPr>
        <w:t>Whenever possible, each provision of this General Release shall be interpreted in, such manner as to be effective and valid under applicable law, but if any provision of this General Release is held to be invalid, illegal or unenforceable in any respect under any applicable law or rule in any jurisdiction, such invalidity, illegality or unenforceability shall not affect any other provision or any other jurisdiction, but this General Release shall be reformed, construed and enforced in such jurisdiction as if such invalid, illegal or unenforceable provision had never been contained herein.</w:t>
      </w:r>
    </w:p>
    <w:p>
      <w:pPr>
        <w:sectPr>
          <w:pgSz w:w="11900" w:h="16838" w:orient="portrait"/>
          <w:cols w:equalWidth="0" w:num="1">
            <w:col w:w="10584"/>
          </w:cols>
          <w:pgMar w:left="876" w:top="490" w:right="43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74865" cy="50800"/>
                    </a:xfrm>
                    <a:prstGeom prst="rect">
                      <a:avLst/>
                    </a:prstGeom>
                    <a:noFill/>
                  </pic:spPr>
                </pic:pic>
              </a:graphicData>
            </a:graphic>
          </wp:anchor>
        </w:drawing>
        <w:t>BY SIGNING THIS GENERAL RELEASE, I REPRESENT AND AGREE THAT:</w:t>
      </w:r>
    </w:p>
    <w:p>
      <w:pPr>
        <w:spacing w:after="0" w:line="131" w:lineRule="exact"/>
        <w:rPr>
          <w:sz w:val="20"/>
          <w:szCs w:val="20"/>
          <w:color w:val="auto"/>
        </w:rPr>
      </w:pPr>
    </w:p>
    <w:p>
      <w:pPr>
        <w:ind w:left="980" w:hanging="54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READ IT CAREFULLY;</w:t>
      </w:r>
    </w:p>
    <w:p>
      <w:pPr>
        <w:spacing w:after="0" w:line="130" w:lineRule="exact"/>
        <w:rPr>
          <w:rFonts w:ascii="Arial" w:cs="Arial" w:eastAsia="Arial" w:hAnsi="Arial"/>
          <w:sz w:val="18"/>
          <w:szCs w:val="18"/>
          <w:color w:val="auto"/>
        </w:rPr>
      </w:pPr>
    </w:p>
    <w:p>
      <w:pPr>
        <w:ind w:left="980" w:right="160" w:hanging="544"/>
        <w:spacing w:after="0" w:line="279" w:lineRule="auto"/>
        <w:tabs>
          <w:tab w:leader="none" w:pos="9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I UNDERSTAND ALL OF ITS TERMS AND KNOW THAT I AM GIVING UP IMPORTANT RIGHTS, INCLUDING BUT NOT LIMITED TO, RIGHTS UNDER THE AGE DISCRIMINATION IN EMPLOYMENT ACT OF 1967, AS AMENDED; TITLE VII OF THE CIVIL RIGHTS ACT OF 1964, AS AMENDED; THE EQUAL PAY ACT OF 1963; THE AMERICANS WITH DISABILITIES ACT OF 1990; AND THE EMPLOYEE RETIREMENT INCOME SECURITY ACT OF 1974, AS AMENDED;</w:t>
      </w:r>
    </w:p>
    <w:p>
      <w:pPr>
        <w:spacing w:after="0" w:line="76" w:lineRule="exact"/>
        <w:rPr>
          <w:rFonts w:ascii="Arial" w:cs="Arial" w:eastAsia="Arial" w:hAnsi="Arial"/>
          <w:sz w:val="17"/>
          <w:szCs w:val="17"/>
          <w:color w:val="auto"/>
        </w:rPr>
      </w:pPr>
    </w:p>
    <w:p>
      <w:pPr>
        <w:ind w:left="980" w:hanging="54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VOLUNTARILY CONSENT TO EVERYTHING IN IT;</w:t>
      </w:r>
    </w:p>
    <w:p>
      <w:pPr>
        <w:spacing w:after="0" w:line="130" w:lineRule="exact"/>
        <w:rPr>
          <w:rFonts w:ascii="Arial" w:cs="Arial" w:eastAsia="Arial" w:hAnsi="Arial"/>
          <w:sz w:val="18"/>
          <w:szCs w:val="18"/>
          <w:color w:val="auto"/>
        </w:rPr>
      </w:pPr>
    </w:p>
    <w:p>
      <w:pPr>
        <w:ind w:left="980" w:right="240" w:hanging="544"/>
        <w:spacing w:after="0" w:line="277" w:lineRule="auto"/>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BEEN ADVISED TO CONSULT WITH AN ATTORNEY BEFORE EXECUTING IT AND I HAVE DONE SO OR, AFTER CAREFUL READING AND CONSIDERATION, I HAVE CHOSEN NOT TO DO SO OF MY OWN VOLITION;</w:t>
      </w:r>
    </w:p>
    <w:p>
      <w:pPr>
        <w:spacing w:after="0" w:line="71" w:lineRule="exact"/>
        <w:rPr>
          <w:rFonts w:ascii="Arial" w:cs="Arial" w:eastAsia="Arial" w:hAnsi="Arial"/>
          <w:sz w:val="18"/>
          <w:szCs w:val="18"/>
          <w:color w:val="auto"/>
        </w:rPr>
      </w:pPr>
    </w:p>
    <w:p>
      <w:pPr>
        <w:jc w:val="both"/>
        <w:ind w:left="980" w:right="220" w:hanging="544"/>
        <w:spacing w:after="0" w:line="266" w:lineRule="auto"/>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I HAVE HAD AT LEAST </w:t>
      </w:r>
      <w:r>
        <w:rPr>
          <w:rFonts w:ascii="Arial" w:cs="Arial" w:eastAsia="Arial" w:hAnsi="Arial"/>
          <w:sz w:val="18"/>
          <w:szCs w:val="18"/>
          <w:b w:val="1"/>
          <w:bCs w:val="1"/>
          <w:color w:val="auto"/>
        </w:rPr>
        <w:t>[21][45]</w:t>
      </w:r>
      <w:r>
        <w:rPr>
          <w:rFonts w:ascii="Arial" w:cs="Arial" w:eastAsia="Arial" w:hAnsi="Arial"/>
          <w:sz w:val="18"/>
          <w:szCs w:val="18"/>
          <w:color w:val="auto"/>
        </w:rPr>
        <w:t xml:space="preserve"> DAYS FROM THE DATE OF MY RECEIPT OF THIS RELEASE TO CONSIDER IT, AND THE CHANGES MADE SINCE MY RECEIPT OF THIS RELEASE ARE NOT MATERIAL OR WERE MADE AT MY REQUEST AND WILL NOT RESTART THE REQUIRED </w:t>
      </w:r>
      <w:r>
        <w:rPr>
          <w:rFonts w:ascii="Arial" w:cs="Arial" w:eastAsia="Arial" w:hAnsi="Arial"/>
          <w:sz w:val="18"/>
          <w:szCs w:val="18"/>
          <w:b w:val="1"/>
          <w:bCs w:val="1"/>
          <w:color w:val="auto"/>
        </w:rPr>
        <w:t>[21][45]</w:t>
      </w:r>
      <w:r>
        <w:rPr>
          <w:rFonts w:ascii="Arial" w:cs="Arial" w:eastAsia="Arial" w:hAnsi="Arial"/>
          <w:sz w:val="18"/>
          <w:szCs w:val="18"/>
          <w:color w:val="auto"/>
        </w:rPr>
        <w:t>-DAY PERIOD;</w:t>
      </w:r>
    </w:p>
    <w:p>
      <w:pPr>
        <w:spacing w:after="0" w:line="85" w:lineRule="exact"/>
        <w:rPr>
          <w:rFonts w:ascii="Arial" w:cs="Arial" w:eastAsia="Arial" w:hAnsi="Arial"/>
          <w:sz w:val="18"/>
          <w:szCs w:val="18"/>
          <w:color w:val="auto"/>
        </w:rPr>
      </w:pPr>
    </w:p>
    <w:p>
      <w:pPr>
        <w:ind w:left="980" w:right="120" w:hanging="544"/>
        <w:spacing w:after="0" w:line="308" w:lineRule="auto"/>
        <w:tabs>
          <w:tab w:leader="none" w:pos="9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I UNDERSTAND THAT I HAVE SEVEN (7) DAYS AFTER THE EXECUTION OF THIS RELEASE TO REVOKE IT AND THAT THIS RELEASE SHALL NOT BECOME EFFECTIVE OR ENFORCEABLE UNTIL THE REVOCATION PERIOD HAS EXPIRED;</w:t>
      </w:r>
    </w:p>
    <w:p>
      <w:pPr>
        <w:spacing w:after="0" w:line="51" w:lineRule="exact"/>
        <w:rPr>
          <w:rFonts w:ascii="Arial" w:cs="Arial" w:eastAsia="Arial" w:hAnsi="Arial"/>
          <w:sz w:val="17"/>
          <w:szCs w:val="17"/>
          <w:color w:val="auto"/>
        </w:rPr>
      </w:pPr>
    </w:p>
    <w:p>
      <w:pPr>
        <w:ind w:left="980" w:hanging="544"/>
        <w:spacing w:after="0" w:line="277" w:lineRule="auto"/>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SIGNED THIS GENERAL RELEASE KNOWINGLY AND VOLUNTARILY AND WITH THE ADVICE OF ANY COUNSEL RETAINED TO ADVISE ME WITH RESPECT TO IT; AND</w:t>
      </w:r>
    </w:p>
    <w:p>
      <w:pPr>
        <w:spacing w:after="0" w:line="75" w:lineRule="exact"/>
        <w:rPr>
          <w:rFonts w:ascii="Arial" w:cs="Arial" w:eastAsia="Arial" w:hAnsi="Arial"/>
          <w:sz w:val="18"/>
          <w:szCs w:val="18"/>
          <w:color w:val="auto"/>
        </w:rPr>
      </w:pPr>
    </w:p>
    <w:p>
      <w:pPr>
        <w:ind w:left="980" w:right="680" w:hanging="544"/>
        <w:spacing w:after="0" w:line="263" w:lineRule="auto"/>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AGREE THAT THE PROVISIONS OF THIS GENERAL RELEASE MAY NOT BE AMENDED, WAIVED, CHANGED OR MODIFIED EXCEPT BY AN INSTRUMENT IN WRITING SIGNED BY AN AUTHORIZED REPRESENTATIVE OF THE COMPANY AND BY ME.</w:t>
      </w:r>
    </w:p>
    <w:p>
      <w:pPr>
        <w:spacing w:after="0" w:line="211"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SIGNED: ____________________________</w:t>
      </w:r>
      <w:r>
        <w:rPr>
          <w:sz w:val="20"/>
          <w:szCs w:val="20"/>
          <w:color w:val="auto"/>
        </w:rPr>
        <w:tab/>
      </w:r>
      <w:r>
        <w:rPr>
          <w:rFonts w:ascii="Arial" w:cs="Arial" w:eastAsia="Arial" w:hAnsi="Arial"/>
          <w:sz w:val="16"/>
          <w:szCs w:val="16"/>
          <w:color w:val="auto"/>
        </w:rPr>
        <w:t>DATE: _____________________</w:t>
      </w:r>
    </w:p>
    <w:p>
      <w:pPr>
        <w:sectPr>
          <w:pgSz w:w="11900" w:h="16838" w:orient="portrait"/>
          <w:cols w:equalWidth="0" w:num="1">
            <w:col w:w="10900"/>
          </w:cols>
          <w:pgMar w:left="440" w:top="490" w:right="55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2320290</wp:posOffset>
            </wp:positionH>
            <wp:positionV relativeFrom="paragraph">
              <wp:posOffset>171450</wp:posOffset>
            </wp:positionV>
            <wp:extent cx="2357120" cy="7289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2357120" cy="72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Gretchen Hommrich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(615) 861-6000</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ACADIA HEALTHCARE APPOINTS HEATHER DIXON AS CHIEF FINANCIAL OFFICER</w:t>
      </w:r>
    </w:p>
    <w:p>
      <w:pPr>
        <w:spacing w:after="0" w:line="229" w:lineRule="exact"/>
        <w:rPr>
          <w:sz w:val="20"/>
          <w:szCs w:val="20"/>
          <w:color w:val="auto"/>
        </w:rPr>
      </w:pPr>
    </w:p>
    <w:p>
      <w:pPr>
        <w:jc w:val="center"/>
        <w:ind w:right="20"/>
        <w:spacing w:after="0" w:line="259" w:lineRule="auto"/>
        <w:rPr>
          <w:sz w:val="20"/>
          <w:szCs w:val="20"/>
          <w:color w:val="auto"/>
        </w:rPr>
      </w:pPr>
      <w:r>
        <w:rPr>
          <w:rFonts w:ascii="Arial" w:cs="Arial" w:eastAsia="Arial" w:hAnsi="Arial"/>
          <w:sz w:val="18"/>
          <w:szCs w:val="18"/>
          <w:i w:val="1"/>
          <w:iCs w:val="1"/>
          <w:color w:val="auto"/>
        </w:rPr>
        <w:t>Dixon Brings Over 25 Years of Financial and Healthcare Experience David Duckworth to Step Down After 12 Years as Acadia’s CFO Larry Harrod, EVP, Finance Announces Retirement; Tim Sides to Assume Responsibilities Company Reaffirms Full Year Fiscal 2023 Guidance</w:t>
      </w:r>
    </w:p>
    <w:p>
      <w:pPr>
        <w:spacing w:after="0" w:line="183"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b w:val="1"/>
          <w:bCs w:val="1"/>
          <w:color w:val="auto"/>
        </w:rPr>
        <w:t xml:space="preserve">FRANKLIN, Tenn. (June 1, 2023) — </w:t>
      </w:r>
      <w:r>
        <w:rPr>
          <w:rFonts w:ascii="Arial" w:cs="Arial" w:eastAsia="Arial" w:hAnsi="Arial"/>
          <w:sz w:val="18"/>
          <w:szCs w:val="18"/>
          <w:color w:val="auto"/>
        </w:rPr>
        <w:t>Acadia Healthcare Company, Inc. (NASDAQ: ACHC) (“Acadia” or the “Company”) today announced Heather</w:t>
      </w:r>
      <w:r>
        <w:rPr>
          <w:rFonts w:ascii="Arial" w:cs="Arial" w:eastAsia="Arial" w:hAnsi="Arial"/>
          <w:sz w:val="18"/>
          <w:szCs w:val="18"/>
          <w:b w:val="1"/>
          <w:bCs w:val="1"/>
          <w:color w:val="auto"/>
        </w:rPr>
        <w:t xml:space="preserve"> </w:t>
      </w:r>
      <w:r>
        <w:rPr>
          <w:rFonts w:ascii="Arial" w:cs="Arial" w:eastAsia="Arial" w:hAnsi="Arial"/>
          <w:sz w:val="18"/>
          <w:szCs w:val="18"/>
          <w:color w:val="auto"/>
        </w:rPr>
        <w:t>Dixon has been appointed Chief Financial Officer (CFO), effective July 10, 2023. Dixon succeeds David Duckworth, who has decided to step down after more than a decade as the Company’s CFO. Duckworth will work closely with Dixon in an advisory capacity to support a smooth transition of responsibilities.</w:t>
      </w:r>
    </w:p>
    <w:p>
      <w:pPr>
        <w:spacing w:after="0" w:line="184"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Dixon brings significant executive-level financial expertise, with substantial payer, provider and pharmacy experience across the healthcare landscape. She will join Acadia from Everside Health, where she serves as the CFO, providing strategic direction and oversight of company finances with a focus on growth and innovation within the direct primary and mental health care space. She also led Everside Health’s 385 health centers across 34 states, bringing extensive facility-based operational experience to the Company. Prior to that, she held senior leadership positions at Walgreens Boots Alliance, Inc., where she was the Senior Vice President, Global Controller and Chief Accounting Officer; as well as with Aetna, a CVS Health Company, where she was Vice President, Controller and Chief Accounting Officer. Dixon is an independent board member of Addus HomeCare and served on the board of Signify Health from 2021 through its recent acquisition by CVS Health.</w:t>
      </w:r>
    </w:p>
    <w:p>
      <w:pPr>
        <w:spacing w:after="0" w:line="177"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color w:val="auto"/>
        </w:rPr>
        <w:t>“The Board and I are thrilled to welcome Heather and believe her depth of experience and financial and business acumen make her a strong addition to the Acadia team,” said Chris Hunter, Chief Executive Officer of Acadia. “Heather is a highly respected senior executive who has a proven track record of strong financial leadership at companies across the healthcare ecosystem. Acadia is building significant momentum in our business, as we are advancing all five key areas of our long-term growth plan to meet the increasing demand for our diversified services across our network of behavioral healthcare facilities. We are confident that Heather’s experience and insights will be instrumental in executing our growth plans.”</w:t>
      </w:r>
    </w:p>
    <w:p>
      <w:pPr>
        <w:spacing w:after="0" w:line="161" w:lineRule="exact"/>
        <w:rPr>
          <w:sz w:val="20"/>
          <w:szCs w:val="20"/>
          <w:color w:val="auto"/>
        </w:rPr>
      </w:pPr>
    </w:p>
    <w:p>
      <w:pPr>
        <w:ind w:right="240"/>
        <w:spacing w:after="0" w:line="311" w:lineRule="auto"/>
        <w:rPr>
          <w:sz w:val="20"/>
          <w:szCs w:val="20"/>
          <w:color w:val="auto"/>
        </w:rPr>
      </w:pPr>
      <w:r>
        <w:rPr>
          <w:rFonts w:ascii="Arial" w:cs="Arial" w:eastAsia="Arial" w:hAnsi="Arial"/>
          <w:sz w:val="16"/>
          <w:szCs w:val="16"/>
          <w:color w:val="auto"/>
        </w:rPr>
        <w:t>Dixon said, “I am honored to be named Acadia’s next CFO and build on the Company’s strong financial foundation and leadership as the largest standalone behavioral health company in the nation. I look forward to working with Chris and the rest of the leadership team to ensure that we remain well positioned to create value for all our stakeholders while fulfilling our commitment to helping more patients and families in need.”</w:t>
      </w:r>
    </w:p>
    <w:p>
      <w:pPr>
        <w:spacing w:after="0" w:line="149"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Hunter also remarked, “David has been a valued member of the Acadia team, not only leading the Company’s finance function, but also playing an important role in the advancement and execution of Acadia’s strategy. We thank him for his contributions through multiple phases of the Company’s evolution, and we appreciate his continued support in facilitating a seamless transition.”</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ectPr>
          <w:pgSz w:w="11900" w:h="16838" w:orient="portrait"/>
          <w:cols w:equalWidth="0" w:num="1">
            <w:col w:w="11020"/>
          </w:cols>
          <w:pgMar w:left="440" w:top="121" w:right="439" w:bottom="1440" w:gutter="0" w:footer="0" w:header="0"/>
        </w:sectPr>
      </w:pPr>
    </w:p>
    <w:bookmarkStart w:id="29" w:name="page30"/>
    <w:bookmarkEnd w:id="29"/>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74865" cy="50800"/>
                    </a:xfrm>
                    <a:prstGeom prst="rect">
                      <a:avLst/>
                    </a:prstGeom>
                    <a:noFill/>
                  </pic:spPr>
                </pic:pic>
              </a:graphicData>
            </a:graphic>
          </wp:anchor>
        </w:drawing>
        <w:t>ACHC Appoints Heather Dixon as CFO</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2</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June 1, 2023</w:t>
      </w:r>
    </w:p>
    <w:p>
      <w:pPr>
        <w:spacing w:after="0" w:line="143" w:lineRule="exact"/>
        <w:rPr>
          <w:sz w:val="20"/>
          <w:szCs w:val="20"/>
          <w:color w:val="auto"/>
        </w:rPr>
      </w:pPr>
    </w:p>
    <w:p>
      <w:pPr>
        <w:ind w:left="4" w:right="40"/>
        <w:spacing w:after="0" w:line="259" w:lineRule="auto"/>
        <w:rPr>
          <w:sz w:val="20"/>
          <w:szCs w:val="20"/>
          <w:color w:val="auto"/>
        </w:rPr>
      </w:pPr>
      <w:r>
        <w:rPr>
          <w:rFonts w:ascii="Arial" w:cs="Arial" w:eastAsia="Arial" w:hAnsi="Arial"/>
          <w:sz w:val="18"/>
          <w:szCs w:val="18"/>
          <w:color w:val="auto"/>
        </w:rPr>
        <w:t>“It has been a privilege to be part of such an outstanding team over the past 12 years,” said Duckworth. “I am extremely proud of what we have accomplished, including building Acadia’s service line and geographic platforms that we have today, and I believe we are well positioned for continued growth with our strong balance sheet, favorable growth trajectory, and experienced facility and corporate leadership teams. I look forward to following Acadia’s continued success for years to come.”</w:t>
      </w:r>
    </w:p>
    <w:p>
      <w:pPr>
        <w:spacing w:after="0" w:line="187" w:lineRule="exact"/>
        <w:rPr>
          <w:sz w:val="20"/>
          <w:szCs w:val="20"/>
          <w:color w:val="auto"/>
        </w:rPr>
      </w:pPr>
    </w:p>
    <w:p>
      <w:pPr>
        <w:jc w:val="both"/>
        <w:ind w:left="4" w:right="140"/>
        <w:spacing w:after="0" w:line="296" w:lineRule="auto"/>
        <w:rPr>
          <w:sz w:val="20"/>
          <w:szCs w:val="20"/>
          <w:color w:val="auto"/>
        </w:rPr>
      </w:pPr>
      <w:r>
        <w:rPr>
          <w:rFonts w:ascii="Arial" w:cs="Arial" w:eastAsia="Arial" w:hAnsi="Arial"/>
          <w:sz w:val="16"/>
          <w:szCs w:val="16"/>
          <w:color w:val="auto"/>
        </w:rPr>
        <w:t>The Company also announced that Larry Harrod, Executive Vice President, Finance, intends to retire from Acadia, effective June 30, 2023. Following his retirement, his responsibilities will be assumed by Tim Sides, currently Group CFO of Acadia’s Specialty Group, who is being promoted to Senior Vice President Operations Finance. He will report to Dixon. Sides brings more than two decades of financial and industry experience to his new role, having served as Group CFO at Acadia since 2020 and having previously served as Regional Director of Finance at Universal Health Services, Inc. In his time at Acadia, Sides has been responsible for key aspects of the Company’s operational and financial processes and initiatives.</w:t>
      </w:r>
    </w:p>
    <w:p>
      <w:pPr>
        <w:spacing w:after="0" w:line="161" w:lineRule="exact"/>
        <w:rPr>
          <w:sz w:val="20"/>
          <w:szCs w:val="20"/>
          <w:color w:val="auto"/>
        </w:rPr>
      </w:pPr>
    </w:p>
    <w:p>
      <w:pPr>
        <w:ind w:left="4" w:right="60"/>
        <w:spacing w:after="0" w:line="258" w:lineRule="auto"/>
        <w:rPr>
          <w:sz w:val="20"/>
          <w:szCs w:val="20"/>
          <w:color w:val="auto"/>
        </w:rPr>
      </w:pPr>
      <w:r>
        <w:rPr>
          <w:rFonts w:ascii="Arial" w:cs="Arial" w:eastAsia="Arial" w:hAnsi="Arial"/>
          <w:sz w:val="18"/>
          <w:szCs w:val="18"/>
          <w:color w:val="auto"/>
        </w:rPr>
        <w:t>Hunter added, “We appreciate Larry’s many contributions to Acadia since he joined in 2019. After a successful career spanning more than 40 years, we congratulate him on his well-deserved retirement.</w:t>
      </w:r>
    </w:p>
    <w:p>
      <w:pPr>
        <w:spacing w:after="0" w:line="1" w:lineRule="exact"/>
        <w:rPr>
          <w:sz w:val="20"/>
          <w:szCs w:val="20"/>
          <w:color w:val="auto"/>
        </w:rPr>
      </w:pPr>
    </w:p>
    <w:p>
      <w:pPr>
        <w:ind w:left="4"/>
        <w:spacing w:after="0"/>
        <w:rPr>
          <w:sz w:val="20"/>
          <w:szCs w:val="20"/>
          <w:color w:val="auto"/>
        </w:rPr>
      </w:pPr>
      <w:r>
        <w:rPr>
          <w:rFonts w:ascii="Arial" w:cs="Arial" w:eastAsia="Arial" w:hAnsi="Arial"/>
          <w:sz w:val="17"/>
          <w:szCs w:val="17"/>
          <w:color w:val="auto"/>
        </w:rPr>
        <w:t>Tim is a valued and highly respected member of our team, and we are delighted for him to expand his responsibilities within our organization.”</w:t>
      </w:r>
    </w:p>
    <w:p>
      <w:pPr>
        <w:spacing w:after="0" w:line="222" w:lineRule="exact"/>
        <w:rPr>
          <w:sz w:val="20"/>
          <w:szCs w:val="20"/>
          <w:color w:val="auto"/>
        </w:rPr>
      </w:pPr>
    </w:p>
    <w:p>
      <w:pPr>
        <w:ind w:left="4"/>
        <w:spacing w:after="0"/>
        <w:rPr>
          <w:sz w:val="20"/>
          <w:szCs w:val="20"/>
          <w:color w:val="auto"/>
        </w:rPr>
      </w:pPr>
      <w:r>
        <w:rPr>
          <w:rFonts w:ascii="Arial" w:cs="Arial" w:eastAsia="Arial" w:hAnsi="Arial"/>
          <w:sz w:val="17"/>
          <w:szCs w:val="17"/>
          <w:color w:val="auto"/>
        </w:rPr>
        <w:t>Acadia also today reaffirmed its full year fiscal 2023 guidance, as initially provided on February 27, 2023, and reaffirmed on April 26, 2023.</w:t>
      </w:r>
    </w:p>
    <w:p>
      <w:pPr>
        <w:spacing w:after="0" w:line="34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About Acadia</w:t>
      </w:r>
    </w:p>
    <w:p>
      <w:pPr>
        <w:spacing w:after="0" w:line="121" w:lineRule="exact"/>
        <w:rPr>
          <w:sz w:val="20"/>
          <w:szCs w:val="20"/>
          <w:color w:val="auto"/>
        </w:rPr>
      </w:pPr>
    </w:p>
    <w:p>
      <w:pPr>
        <w:ind w:left="4" w:right="100"/>
        <w:spacing w:after="0" w:line="257" w:lineRule="auto"/>
        <w:rPr>
          <w:sz w:val="20"/>
          <w:szCs w:val="20"/>
          <w:color w:val="auto"/>
        </w:rPr>
      </w:pPr>
      <w:r>
        <w:rPr>
          <w:rFonts w:ascii="Arial" w:cs="Arial" w:eastAsia="Arial" w:hAnsi="Arial"/>
          <w:sz w:val="18"/>
          <w:szCs w:val="18"/>
          <w:color w:val="auto"/>
        </w:rPr>
        <w:t>Acadia is a leading provider of behavioral healthcare services across the United States. As of March 31, 2023, Acadia operated a network of 250 behavioral healthcare facilities with approximately 11,100 beds in 39 states and Puerto Rico. With approximately 23,000 employees serving more than 75,000 patients daily, Acadia is the largest stand-alone behavioral healthcare company in the U.S. Acadia provides behavioral healthcare services to its patients in a variety of settings, including inpatient psychiatric hospitals, specialty treatment facilities, residential treatment centers and outpatient clinics.</w:t>
      </w:r>
    </w:p>
    <w:p>
      <w:pPr>
        <w:spacing w:after="0" w:line="29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Forward-Looking Information</w:t>
      </w:r>
    </w:p>
    <w:p>
      <w:pPr>
        <w:spacing w:after="0" w:line="121" w:lineRule="exact"/>
        <w:rPr>
          <w:sz w:val="20"/>
          <w:szCs w:val="20"/>
          <w:color w:val="auto"/>
        </w:rPr>
      </w:pPr>
    </w:p>
    <w:p>
      <w:pPr>
        <w:ind w:left="4"/>
        <w:spacing w:after="0" w:line="284" w:lineRule="auto"/>
        <w:rPr>
          <w:sz w:val="20"/>
          <w:szCs w:val="20"/>
          <w:color w:val="auto"/>
        </w:rPr>
      </w:pPr>
      <w:r>
        <w:rPr>
          <w:rFonts w:ascii="Arial" w:cs="Arial" w:eastAsia="Arial" w:hAnsi="Arial"/>
          <w:sz w:val="16"/>
          <w:szCs w:val="16"/>
          <w:color w:val="auto"/>
        </w:rPr>
        <w:t>This press release contains forward-looking statements. Generally, words such as “may,” “will,” “should,” “could,” “anticipate,” “expect,” “intend,” “estimate,” “plan,” “continue,” and “believe” or the negative of or other variation on these and other similar expressions identify forward-looking statements. These forward-looking statements are made only as of the date of this press release. We do not undertake to update or revise the forward-looking statements, whether as a result of new information, future events or otherwise. Forward-looking statements are based on current expectations and involve risks and uncertainties and our future results could differ significantly from those expressed or implied by our forward-looking statements. Factors that may cause actual results to differ materially include, without limitation, (i) potential difficulties in successfully integrating the operations of acquired facilities or realizing the expected benefits and synergies of our facility expansions, acquisitions, joint ventures and de novo transactions;</w:t>
      </w:r>
    </w:p>
    <w:p>
      <w:pPr>
        <w:spacing w:after="0" w:line="2" w:lineRule="exact"/>
        <w:rPr>
          <w:sz w:val="20"/>
          <w:szCs w:val="20"/>
          <w:color w:val="auto"/>
        </w:rPr>
      </w:pPr>
    </w:p>
    <w:p>
      <w:pPr>
        <w:ind w:left="4" w:right="60" w:hanging="4"/>
        <w:spacing w:after="0" w:line="253" w:lineRule="auto"/>
        <w:tabs>
          <w:tab w:leader="none" w:pos="269" w:val="left"/>
        </w:tabs>
        <w:numPr>
          <w:ilvl w:val="0"/>
          <w:numId w:val="35"/>
        </w:numPr>
        <w:rPr>
          <w:rFonts w:ascii="Arial" w:cs="Arial" w:eastAsia="Arial" w:hAnsi="Arial"/>
          <w:sz w:val="18"/>
          <w:szCs w:val="18"/>
          <w:color w:val="auto"/>
        </w:rPr>
      </w:pPr>
      <w:r>
        <w:rPr>
          <w:rFonts w:ascii="Arial" w:cs="Arial" w:eastAsia="Arial" w:hAnsi="Arial"/>
          <w:sz w:val="18"/>
          <w:szCs w:val="18"/>
          <w:color w:val="auto"/>
        </w:rPr>
        <w:t>Acadia’s ability to add beds, expand services, enhance marketing programs and improve efficiencies at its facilities; (iii) potential reductions in payments received by Acadia from government and commercial payors; (iv) the occurrence of patient incidents, governmental investigations, litigation and adverse regulatory actions, which could adversely affect the price of our common stock and result in substantial payments and incremental regulatory burdens; (v) the risk that</w:t>
      </w:r>
    </w:p>
    <w:p>
      <w:pPr>
        <w:spacing w:after="0" w:line="125"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-MORE-</w:t>
      </w:r>
    </w:p>
    <w:p>
      <w:pPr>
        <w:sectPr>
          <w:pgSz w:w="11900" w:h="16838" w:orient="portrait"/>
          <w:cols w:equalWidth="0" w:num="1">
            <w:col w:w="10944"/>
          </w:cols>
          <w:pgMar w:left="436" w:top="490" w:right="519" w:bottom="1440" w:gutter="0" w:footer="0" w:header="0"/>
        </w:sectPr>
      </w:pPr>
    </w:p>
    <w:bookmarkStart w:id="30" w:name="page31"/>
    <w:bookmarkEnd w:id="30"/>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74865" cy="50800"/>
                    </a:xfrm>
                    <a:prstGeom prst="rect">
                      <a:avLst/>
                    </a:prstGeom>
                    <a:noFill/>
                  </pic:spPr>
                </pic:pic>
              </a:graphicData>
            </a:graphic>
          </wp:anchor>
        </w:drawing>
        <w:t>ACHC Appoints Heather Dixon as CFO</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3</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June 1, 2023</w:t>
      </w:r>
    </w:p>
    <w:p>
      <w:pPr>
        <w:spacing w:after="0" w:line="143" w:lineRule="exact"/>
        <w:rPr>
          <w:sz w:val="20"/>
          <w:szCs w:val="20"/>
          <w:color w:val="auto"/>
        </w:rPr>
      </w:pPr>
    </w:p>
    <w:p>
      <w:pPr>
        <w:ind w:left="4"/>
        <w:spacing w:after="0"/>
        <w:rPr>
          <w:sz w:val="20"/>
          <w:szCs w:val="20"/>
          <w:color w:val="auto"/>
        </w:rPr>
      </w:pPr>
      <w:r>
        <w:rPr>
          <w:rFonts w:ascii="Arial" w:cs="Arial" w:eastAsia="Arial" w:hAnsi="Arial"/>
          <w:sz w:val="17"/>
          <w:szCs w:val="17"/>
          <w:color w:val="auto"/>
        </w:rPr>
        <w:t>Acadia may not generate sufficient cash from operations to service its debt and meet its working capital and capital expenditure requirements;</w:t>
      </w:r>
    </w:p>
    <w:p>
      <w:pPr>
        <w:spacing w:after="0" w:line="35" w:lineRule="exact"/>
        <w:rPr>
          <w:sz w:val="20"/>
          <w:szCs w:val="20"/>
          <w:color w:val="auto"/>
        </w:rPr>
      </w:pPr>
    </w:p>
    <w:p>
      <w:pPr>
        <w:ind w:left="4" w:hanging="4"/>
        <w:spacing w:after="0" w:line="253" w:lineRule="auto"/>
        <w:tabs>
          <w:tab w:leader="none" w:pos="309" w:val="left"/>
        </w:tabs>
        <w:numPr>
          <w:ilvl w:val="0"/>
          <w:numId w:val="36"/>
        </w:numPr>
        <w:rPr>
          <w:rFonts w:ascii="Arial" w:cs="Arial" w:eastAsia="Arial" w:hAnsi="Arial"/>
          <w:sz w:val="18"/>
          <w:szCs w:val="18"/>
          <w:color w:val="auto"/>
        </w:rPr>
      </w:pPr>
      <w:r>
        <w:rPr>
          <w:rFonts w:ascii="Arial" w:cs="Arial" w:eastAsia="Arial" w:hAnsi="Arial"/>
          <w:sz w:val="18"/>
          <w:szCs w:val="18"/>
          <w:color w:val="auto"/>
        </w:rPr>
        <w:t>potential disruptions to our information technology systems or a cybersecurity incident; and (vii) potential operating difficulties, including, without limitation, disruption to the U.S. economy and financial markets; reduced admissions and patient volumes; increased costs relating to labor, supply chain and other expenditures; changes in competition and client preferences; and general economic or industry conditions that may prevent Acadia from realizing the expected benefits of its business strategies. These factors and others are more fully described in Acadia’s periodic reports and other filings with the SEC.</w:t>
      </w:r>
    </w:p>
    <w:p>
      <w:pPr>
        <w:spacing w:after="0" w:line="12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-END-</w:t>
      </w:r>
    </w:p>
    <w:sectPr>
      <w:pgSz w:w="11900" w:h="16838" w:orient="portrait"/>
      <w:cols w:equalWidth="0" w:num="1">
        <w:col w:w="11004"/>
      </w:cols>
      <w:pgMar w:left="436" w:top="49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1."/>
      <w:numFmt w:val="decimal"/>
      <w:start w:val="1"/>
    </w:lvl>
    <w:lvl w:ilvl="1">
      <w:lvlJc w:val="left"/>
      <w:lvlText w:val="(%2)"/>
      <w:numFmt w:val="lowerLetter"/>
      <w:start w:val="1"/>
    </w:lvl>
  </w:abstractNum>
  <w:abstractNum w:abstractNumId="2">
    <w:nsid w:val="257130A3"/>
    <w:multiLevelType w:val="hybridMultilevel"/>
    <w:lvl w:ilvl="0">
      <w:lvlJc w:val="left"/>
      <w:lvlText w:val="%1."/>
      <w:numFmt w:val="decimal"/>
      <w:start w:val="3"/>
    </w:lvl>
    <w:lvl w:ilvl="1">
      <w:lvlJc w:val="left"/>
      <w:lvlText w:val="(%2)"/>
      <w:numFmt w:val="lowerLetter"/>
      <w:start w:val="1"/>
    </w:lvl>
  </w:abstractNum>
  <w:abstractNum w:abstractNumId="3">
    <w:nsid w:val="62BBD95A"/>
    <w:multiLevelType w:val="hybridMultilevel"/>
    <w:lvl w:ilvl="0">
      <w:lvlJc w:val="left"/>
      <w:lvlText w:val="(%1)"/>
      <w:numFmt w:val="lowerLetter"/>
      <w:start w:val="3"/>
    </w:lvl>
    <w:lvl w:ilvl="1">
      <w:lvlJc w:val="left"/>
      <w:lvlText w:val="(%2)"/>
      <w:numFmt w:val="lowerLetter"/>
      <w:start w:val="9"/>
    </w:lvl>
  </w:abstractNum>
  <w:abstractNum w:abstractNumId="4">
    <w:nsid w:val="436C6125"/>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Letter"/>
      <w:start w:val="35"/>
    </w:lvl>
  </w:abstractNum>
  <w:abstractNum w:abstractNumId="5">
    <w:nsid w:val="628C895D"/>
    <w:multiLevelType w:val="hybridMultilevel"/>
    <w:lvl w:ilvl="0">
      <w:lvlJc w:val="left"/>
      <w:lvlText w:val="%1"/>
      <w:numFmt w:val="decimal"/>
      <w:start w:val="1"/>
    </w:lvl>
    <w:lvl w:ilvl="1">
      <w:lvlJc w:val="left"/>
      <w:lvlText w:val="%2"/>
      <w:numFmt w:val="decimal"/>
      <w:start w:val="1"/>
    </w:lvl>
    <w:lvl w:ilvl="2">
      <w:lvlJc w:val="left"/>
      <w:lvlText w:val="(%3)"/>
      <w:numFmt w:val="lowerLetter"/>
      <w:start w:val="5"/>
    </w:lvl>
    <w:lvl w:ilvl="3">
      <w:lvlJc w:val="left"/>
      <w:lvlText w:val="%4"/>
      <w:numFmt w:val="lowerLetter"/>
      <w:start w:val="1"/>
    </w:lvl>
  </w:abstractNum>
  <w:abstractNum w:abstractNumId="6">
    <w:nsid w:val="333AB105"/>
    <w:multiLevelType w:val="hybridMultilevel"/>
    <w:lvl w:ilvl="0">
      <w:lvlJc w:val="left"/>
      <w:lvlText w:val="(%1)"/>
      <w:numFmt w:val="decimal"/>
      <w:start w:val="30"/>
    </w:lvl>
    <w:lvl w:ilvl="1">
      <w:lvlJc w:val="left"/>
      <w:lvlText w:val="%2."/>
      <w:numFmt w:val="decimal"/>
      <w:start w:val="4"/>
    </w:lvl>
    <w:lvl w:ilvl="2">
      <w:lvlJc w:val="left"/>
      <w:lvlText w:val="(%3)"/>
      <w:numFmt w:val="lowerLetter"/>
      <w:start w:val="1"/>
    </w:lvl>
    <w:lvl w:ilvl="3">
      <w:lvlJc w:val="left"/>
      <w:lvlText w:val="%4"/>
      <w:numFmt w:val="lowerLetter"/>
      <w:start w:val="1"/>
    </w:lvl>
  </w:abstractNum>
  <w:abstractNum w:abstractNumId="7">
    <w:nsid w:val="721DA317"/>
    <w:multiLevelType w:val="hybridMultilevel"/>
    <w:lvl w:ilvl="0">
      <w:lvlJc w:val="left"/>
      <w:lvlText w:val="(%1)"/>
      <w:numFmt w:val="lowerLetter"/>
      <w:start w:val="2"/>
    </w:lvl>
    <w:lvl w:ilvl="1">
      <w:lvlJc w:val="left"/>
      <w:lvlText w:val="(%2)"/>
      <w:numFmt w:val="lowerRoman"/>
      <w:start w:val="1"/>
    </w:lvl>
  </w:abstractNum>
  <w:abstractNum w:abstractNumId="8">
    <w:nsid w:val="2443A858"/>
    <w:multiLevelType w:val="hybridMultilevel"/>
    <w:lvl w:ilvl="0">
      <w:lvlJc w:val="left"/>
      <w:lvlText w:val="(%1)"/>
      <w:numFmt w:val="lowerRoman"/>
      <w:start w:val="8"/>
    </w:lvl>
  </w:abstractNum>
  <w:abstractNum w:abstractNumId="9">
    <w:nsid w:val="2D1D5AE9"/>
    <w:multiLevelType w:val="hybridMultilevel"/>
    <w:lvl w:ilvl="0">
      <w:lvlJc w:val="left"/>
      <w:lvlText w:val="(%1)"/>
      <w:numFmt w:val="lowerLetter"/>
      <w:start w:val="3"/>
    </w:lvl>
    <w:lvl w:ilvl="1">
      <w:lvlJc w:val="left"/>
      <w:lvlText w:val="(%2)"/>
      <w:numFmt w:val="lowerRoman"/>
      <w:start w:val="1"/>
    </w:lvl>
  </w:abstractNum>
  <w:abstractNum w:abstractNumId="10">
    <w:nsid w:val="6763845E"/>
    <w:multiLevelType w:val="hybridMultilevel"/>
    <w:lvl w:ilvl="0">
      <w:lvlJc w:val="left"/>
      <w:lvlText w:val="(%1)"/>
      <w:numFmt w:val="decimal"/>
      <w:start w:val="6"/>
    </w:lvl>
    <w:lvl w:ilvl="1">
      <w:lvlJc w:val="left"/>
      <w:lvlText w:val="(%2)"/>
      <w:numFmt w:val="lowerRoman"/>
      <w:start w:val="5"/>
    </w:lvl>
  </w:abstractNum>
  <w:abstractNum w:abstractNumId="11">
    <w:nsid w:val="75A2A8D4"/>
    <w:multiLevelType w:val="hybridMultilevel"/>
    <w:lvl w:ilvl="0">
      <w:lvlJc w:val="left"/>
      <w:lvlText w:val="(%1)"/>
      <w:numFmt w:val="lowerLetter"/>
      <w:start w:val="4"/>
    </w:lvl>
  </w:abstractNum>
  <w:abstractNum w:abstractNumId="12">
    <w:nsid w:val="8EDBDAB"/>
    <w:multiLevelType w:val="hybridMultilevel"/>
    <w:lvl w:ilvl="0">
      <w:lvlJc w:val="left"/>
      <w:lvlText w:val="(%1)"/>
      <w:numFmt w:val="lowerLetter"/>
      <w:start w:val="7"/>
    </w:lvl>
    <w:lvl w:ilvl="1">
      <w:lvlJc w:val="left"/>
      <w:lvlText w:val="(%2)"/>
      <w:numFmt w:val="lowerRoman"/>
      <w:start w:val="1"/>
    </w:lvl>
  </w:abstractNum>
  <w:abstractNum w:abstractNumId="13">
    <w:nsid w:val="79838CB2"/>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lvl w:ilvl="3">
      <w:lvlJc w:val="left"/>
      <w:lvlText w:val="(%4)"/>
      <w:numFmt w:val="lowerRoman"/>
      <w:start w:val="6"/>
    </w:lvl>
  </w:abstractNum>
  <w:abstractNum w:abstractNumId="14">
    <w:nsid w:val="4353D0CD"/>
    <w:multiLevelType w:val="hybridMultilevel"/>
    <w:lvl w:ilvl="0">
      <w:lvlJc w:val="left"/>
      <w:lvlText w:val="%1"/>
      <w:numFmt w:val="upperLetter"/>
      <w:start w:val="1"/>
    </w:lvl>
    <w:lvl w:ilvl="1">
      <w:lvlJc w:val="left"/>
      <w:lvlText w:val="%2."/>
      <w:numFmt w:val="decimal"/>
      <w:start w:val="5"/>
    </w:lvl>
    <w:lvl w:ilvl="2">
      <w:lvlJc w:val="left"/>
      <w:lvlText w:val="(%3)"/>
      <w:numFmt w:val="lowerLetter"/>
      <w:start w:val="1"/>
    </w:lvl>
    <w:lvl w:ilvl="3">
      <w:lvlJc w:val="left"/>
      <w:lvlText w:val="%4"/>
      <w:numFmt w:val="lowerRoman"/>
      <w:start w:val="1"/>
    </w:lvl>
  </w:abstractNum>
  <w:abstractNum w:abstractNumId="15">
    <w:nsid w:val="B03E0C6"/>
    <w:multiLevelType w:val="hybridMultilevel"/>
    <w:lvl w:ilvl="0">
      <w:lvlJc w:val="left"/>
      <w:lvlText w:val="(%1)"/>
      <w:numFmt w:val="upperLetter"/>
      <w:start w:val="2"/>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16">
    <w:nsid w:val="189A769B"/>
    <w:multiLevelType w:val="hybridMultilevel"/>
    <w:lvl w:ilvl="0">
      <w:lvlJc w:val="left"/>
      <w:lvlText w:val="%1"/>
      <w:numFmt w:val="decimal"/>
      <w:start w:val="1"/>
    </w:lvl>
    <w:lvl w:ilvl="1">
      <w:lvlJc w:val="left"/>
      <w:lvlText w:val="(%2)"/>
      <w:numFmt w:val="lowerLetter"/>
      <w:start w:val="2"/>
    </w:lvl>
  </w:abstractNum>
  <w:abstractNum w:abstractNumId="17">
    <w:nsid w:val="54E49EB4"/>
    <w:multiLevelType w:val="hybridMultilevel"/>
    <w:lvl w:ilvl="0">
      <w:lvlJc w:val="left"/>
      <w:lvlText w:val="%1."/>
      <w:numFmt w:val="decimal"/>
      <w:start w:val="6"/>
    </w:lvl>
    <w:lvl w:ilvl="1">
      <w:lvlJc w:val="left"/>
      <w:lvlText w:val="%2"/>
      <w:numFmt w:val="lowerLetter"/>
      <w:start w:val="1"/>
    </w:lvl>
  </w:abstractNum>
  <w:abstractNum w:abstractNumId="18">
    <w:nsid w:val="71F32454"/>
    <w:multiLevelType w:val="hybridMultilevel"/>
    <w:lvl w:ilvl="0">
      <w:lvlJc w:val="left"/>
      <w:lvlText w:val="%1."/>
      <w:numFmt w:val="decimal"/>
      <w:start w:val="7"/>
    </w:lvl>
    <w:lvl w:ilvl="1">
      <w:lvlJc w:val="left"/>
      <w:lvlText w:val="(%2)"/>
      <w:numFmt w:val="lowerLetter"/>
      <w:start w:val="1"/>
    </w:lvl>
  </w:abstractNum>
  <w:abstractNum w:abstractNumId="19">
    <w:nsid w:val="2CA88611"/>
    <w:multiLevelType w:val="hybridMultilevel"/>
    <w:lvl w:ilvl="0">
      <w:lvlJc w:val="left"/>
      <w:lvlText w:val="(%1)"/>
      <w:numFmt w:val="lowerLetter"/>
      <w:start w:val="2"/>
    </w:lvl>
  </w:abstractNum>
  <w:abstractNum w:abstractNumId="20">
    <w:nsid w:val="836C40E"/>
    <w:multiLevelType w:val="hybridMultilevel"/>
    <w:lvl w:ilvl="0">
      <w:lvlJc w:val="left"/>
      <w:lvlText w:val="%1"/>
      <w:numFmt w:val="decimal"/>
      <w:start w:val="1"/>
    </w:lvl>
    <w:lvl w:ilvl="1">
      <w:lvlJc w:val="left"/>
      <w:lvlText w:val="(%2)"/>
      <w:numFmt w:val="lowerLetter"/>
      <w:start w:val="6"/>
    </w:lvl>
  </w:abstractNum>
  <w:abstractNum w:abstractNumId="21">
    <w:nsid w:val="2901D82"/>
    <w:multiLevelType w:val="hybridMultilevel"/>
    <w:lvl w:ilvl="0">
      <w:lvlJc w:val="left"/>
      <w:lvlText w:val="%1."/>
      <w:numFmt w:val="decimal"/>
      <w:start w:val="8"/>
    </w:lvl>
    <w:lvl w:ilvl="1">
      <w:lvlJc w:val="left"/>
      <w:lvlText w:val="%2"/>
      <w:numFmt w:val="lowerLetter"/>
      <w:start w:val="1"/>
    </w:lvl>
  </w:abstractNum>
  <w:abstractNum w:abstractNumId="22">
    <w:nsid w:val="3A95F874"/>
    <w:multiLevelType w:val="hybridMultilevel"/>
    <w:lvl w:ilvl="0">
      <w:lvlJc w:val="left"/>
      <w:lvlText w:val="(%1)"/>
      <w:numFmt w:val="upperLetter"/>
      <w:start w:val="1"/>
    </w:lvl>
  </w:abstractNum>
  <w:abstractNum w:abstractNumId="23">
    <w:nsid w:val="8138641"/>
    <w:multiLevelType w:val="hybridMultilevel"/>
    <w:lvl w:ilvl="0">
      <w:lvlJc w:val="left"/>
      <w:lvlText w:val="%1."/>
      <w:numFmt w:val="decimal"/>
      <w:start w:val="10"/>
    </w:lvl>
  </w:abstractNum>
  <w:abstractNum w:abstractNumId="24">
    <w:nsid w:val="1E7FF521"/>
    <w:multiLevelType w:val="hybridMultilevel"/>
    <w:lvl w:ilvl="0">
      <w:lvlJc w:val="left"/>
      <w:lvlText w:val="%1."/>
      <w:numFmt w:val="decimal"/>
      <w:start w:val="12"/>
    </w:lvl>
  </w:abstractNum>
  <w:abstractNum w:abstractNumId="25">
    <w:nsid w:val="7C3DBD3D"/>
    <w:multiLevelType w:val="hybridMultilevel"/>
    <w:lvl w:ilvl="0">
      <w:lvlJc w:val="left"/>
      <w:lvlText w:val="%1."/>
      <w:numFmt w:val="decimal"/>
      <w:start w:val="13"/>
    </w:lvl>
  </w:abstractNum>
  <w:abstractNum w:abstractNumId="26">
    <w:nsid w:val="737B8DDC"/>
    <w:multiLevelType w:val="hybridMultilevel"/>
    <w:lvl w:ilvl="0">
      <w:lvlJc w:val="left"/>
      <w:lvlText w:val="%1."/>
      <w:numFmt w:val="decimal"/>
      <w:start w:val="19"/>
    </w:lvl>
  </w:abstractNum>
  <w:abstractNum w:abstractNumId="27">
    <w:nsid w:val="6CEAF087"/>
    <w:multiLevelType w:val="hybridMultilevel"/>
    <w:lvl w:ilvl="0">
      <w:lvlJc w:val="left"/>
      <w:lvlText w:val="%1."/>
      <w:numFmt w:val="decimal"/>
      <w:start w:val="24"/>
    </w:lvl>
    <w:lvl w:ilvl="1">
      <w:lvlJc w:val="left"/>
      <w:lvlText w:val="(%2)"/>
      <w:numFmt w:val="lowerLetter"/>
      <w:start w:val="1"/>
    </w:lvl>
  </w:abstractNum>
  <w:abstractNum w:abstractNumId="28">
    <w:nsid w:val="22221A70"/>
    <w:multiLevelType w:val="hybridMultilevel"/>
    <w:lvl w:ilvl="0">
      <w:lvlJc w:val="left"/>
      <w:lvlText w:val="%1."/>
      <w:numFmt w:val="decimal"/>
      <w:start w:val="26"/>
    </w:lvl>
  </w:abstractNum>
  <w:abstractNum w:abstractNumId="29">
    <w:nsid w:val="4516DDE9"/>
    <w:multiLevelType w:val="hybridMultilevel"/>
    <w:lvl w:ilvl="0">
      <w:lvlJc w:val="left"/>
      <w:lvlText w:val="%1."/>
      <w:numFmt w:val="decimal"/>
      <w:start w:val="1"/>
    </w:lvl>
  </w:abstractNum>
  <w:abstractNum w:abstractNumId="30">
    <w:nsid w:val="3006C83E"/>
    <w:multiLevelType w:val="hybridMultilevel"/>
    <w:lvl w:ilvl="0">
      <w:lvlJc w:val="left"/>
      <w:lvlText w:val="1"/>
      <w:numFmt w:val="bullet"/>
      <w:start w:val="1"/>
    </w:lvl>
  </w:abstractNum>
  <w:abstractNum w:abstractNumId="31">
    <w:nsid w:val="614FD4A1"/>
    <w:multiLevelType w:val="hybridMultilevel"/>
    <w:lvl w:ilvl="0">
      <w:lvlJc w:val="left"/>
      <w:lvlText w:val="%1."/>
      <w:numFmt w:val="decimal"/>
      <w:start w:val="3"/>
    </w:lvl>
  </w:abstractNum>
  <w:abstractNum w:abstractNumId="32">
    <w:nsid w:val="419AC241"/>
    <w:multiLevelType w:val="hybridMultilevel"/>
    <w:lvl w:ilvl="0">
      <w:lvlJc w:val="left"/>
      <w:lvlText w:val="%1."/>
      <w:numFmt w:val="decimal"/>
      <w:start w:val="8"/>
    </w:lvl>
  </w:abstractNum>
  <w:abstractNum w:abstractNumId="33">
    <w:nsid w:val="5577F8E1"/>
    <w:multiLevelType w:val="hybridMultilevel"/>
    <w:lvl w:ilvl="0">
      <w:lvlJc w:val="left"/>
      <w:lvlText w:val="(%1)"/>
      <w:numFmt w:val="lowerLetter"/>
      <w:start w:val="1"/>
    </w:lvl>
  </w:abstractNum>
  <w:abstractNum w:abstractNumId="34">
    <w:nsid w:val="440BADFC"/>
    <w:multiLevelType w:val="hybridMultilevel"/>
    <w:lvl w:ilvl="0">
      <w:lvlJc w:val="left"/>
      <w:lvlText w:val="(%1)"/>
      <w:numFmt w:val="lowerRoman"/>
      <w:start w:val="2"/>
    </w:lvl>
  </w:abstractNum>
  <w:abstractNum w:abstractNumId="35">
    <w:nsid w:val="5072367"/>
    <w:multiLevelType w:val="hybridMultilevel"/>
    <w:lvl w:ilvl="0">
      <w:lvlJc w:val="left"/>
      <w:lvlText w:val="(%1)"/>
      <w:numFmt w:val="lowerRoman"/>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jpeg"/><Relationship Id="rId50" Type="http://schemas.openxmlformats.org/officeDocument/2006/relationships/image" Target="media/image42.png"/><Relationship Id="rId51" Type="http://schemas.openxmlformats.org/officeDocument/2006/relationships/image" Target="media/image43.png"/><Relationship Id="rId19" Type="http://schemas.openxmlformats.org/officeDocument/2006/relationships/hyperlink" Target="http://www.sec.gov/Archives/edgar/data/1520697/000119312511290928/d251019dex1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2023-06-02T16:08:49Z</dcterms:created>
  <dcterms:modified xsi:type="dcterms:W3CDTF">2023-06-02T16:08:49Z</dcterms:modified>
</cp:coreProperties>
</file>