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728980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46990</wp:posOffset>
            </wp:positionV>
            <wp:extent cx="1433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68580</wp:posOffset>
            </wp:positionV>
            <wp:extent cx="1433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3"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6"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386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3655695</wp:posOffset>
            </wp:positionH>
            <wp:positionV relativeFrom="paragraph">
              <wp:posOffset>-635</wp:posOffset>
            </wp:positionV>
            <wp:extent cx="454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001-35331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58420</wp:posOffset>
            </wp:positionV>
            <wp:extent cx="1433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ACADIA HEALTHCARE COMPANY,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38735</wp:posOffset>
            </wp:positionV>
            <wp:extent cx="1433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jc w:val="center"/>
              <w:ind w:left="179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00" w:type="dxa"/>
            <w:vAlign w:val="bottom"/>
          </w:tcPr>
          <w:p>
            <w:pPr>
              <w:jc w:val="center"/>
              <w:ind w:right="2132"/>
              <w:spacing w:after="0"/>
              <w:rPr>
                <w:sz w:val="20"/>
                <w:szCs w:val="20"/>
                <w:color w:val="auto"/>
              </w:rPr>
            </w:pPr>
            <w:r>
              <w:rPr>
                <w:rFonts w:ascii="Times New Roman" w:cs="Times New Roman" w:eastAsia="Times New Roman" w:hAnsi="Times New Roman"/>
                <w:sz w:val="14"/>
                <w:szCs w:val="14"/>
                <w:b w:val="1"/>
                <w:bCs w:val="1"/>
                <w:color w:val="auto"/>
              </w:rPr>
              <w:t>45-2492228</w:t>
            </w:r>
          </w:p>
        </w:tc>
        <w:tc>
          <w:tcPr>
            <w:tcW w:w="0" w:type="dxa"/>
            <w:vAlign w:val="bottom"/>
          </w:tcPr>
          <w:p>
            <w:pPr>
              <w:spacing w:after="0"/>
              <w:rPr>
                <w:sz w:val="1"/>
                <w:szCs w:val="1"/>
                <w:color w:val="auto"/>
              </w:rPr>
            </w:pPr>
          </w:p>
        </w:tc>
      </w:tr>
      <w:tr>
        <w:trPr>
          <w:trHeight w:val="134"/>
        </w:trPr>
        <w:tc>
          <w:tcPr>
            <w:tcW w:w="3640" w:type="dxa"/>
            <w:vAlign w:val="bottom"/>
          </w:tcPr>
          <w:p>
            <w:pPr>
              <w:jc w:val="center"/>
              <w:ind w:left="1812"/>
              <w:spacing w:after="0" w:line="134"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300" w:type="dxa"/>
            <w:vAlign w:val="bottom"/>
          </w:tcPr>
          <w:p>
            <w:pPr>
              <w:jc w:val="center"/>
              <w:ind w:right="2132"/>
              <w:spacing w:after="0" w:line="134"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640" w:type="dxa"/>
            <w:vAlign w:val="bottom"/>
          </w:tcPr>
          <w:p>
            <w:pPr>
              <w:jc w:val="center"/>
              <w:ind w:left="181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00" w:type="dxa"/>
            <w:vAlign w:val="bottom"/>
          </w:tcPr>
          <w:p>
            <w:pPr>
              <w:jc w:val="center"/>
              <w:ind w:right="213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67"/>
        </w:trPr>
        <w:tc>
          <w:tcPr>
            <w:tcW w:w="3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4020 Aspen Grove Drive, Suite 900</w:t>
            </w:r>
          </w:p>
        </w:tc>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
          </w:tcPr>
          <w:p>
            <w:pPr>
              <w:jc w:val="center"/>
              <w:ind w:right="640"/>
              <w:spacing w:after="0" w:line="153" w:lineRule="exact"/>
              <w:rPr>
                <w:sz w:val="20"/>
                <w:szCs w:val="20"/>
                <w:color w:val="auto"/>
              </w:rPr>
            </w:pPr>
            <w:r>
              <w:rPr>
                <w:rFonts w:ascii="Times New Roman" w:cs="Times New Roman" w:eastAsia="Times New Roman" w:hAnsi="Times New Roman"/>
                <w:sz w:val="14"/>
                <w:szCs w:val="14"/>
                <w:b w:val="1"/>
                <w:bCs w:val="1"/>
                <w:color w:val="auto"/>
              </w:rPr>
              <w:t>Franklin, Tennessee 37067</w:t>
            </w:r>
          </w:p>
        </w:tc>
        <w:tc>
          <w:tcPr>
            <w:tcW w:w="5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4300" w:type="dxa"/>
            <w:vAlign w:val="bottom"/>
            <w:gridSpan w:val="7"/>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of registrant’s principal executive offices)</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3120" w:type="dxa"/>
            <w:vAlign w:val="bottom"/>
            <w:gridSpan w:val="4"/>
          </w:tcPr>
          <w:p>
            <w:pPr>
              <w:jc w:val="center"/>
              <w:ind w:left="792"/>
              <w:spacing w:after="0"/>
              <w:rPr>
                <w:sz w:val="20"/>
                <w:szCs w:val="20"/>
                <w:color w:val="auto"/>
              </w:rPr>
            </w:pPr>
            <w:r>
              <w:rPr>
                <w:rFonts w:ascii="Times New Roman" w:cs="Times New Roman" w:eastAsia="Times New Roman" w:hAnsi="Times New Roman"/>
                <w:sz w:val="14"/>
                <w:szCs w:val="14"/>
                <w:b w:val="1"/>
                <w:bCs w:val="1"/>
                <w:color w:val="auto"/>
              </w:rPr>
              <w:t>(615) 861-6000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3740" w:type="dxa"/>
            <w:vAlign w:val="bottom"/>
            <w:gridSpan w:val="6"/>
          </w:tcPr>
          <w:p>
            <w:pPr>
              <w:jc w:val="center"/>
              <w:ind w:left="152"/>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640" w:type="dxa"/>
            <w:vAlign w:val="bottom"/>
          </w:tcPr>
          <w:p>
            <w:pPr>
              <w:spacing w:after="0"/>
              <w:rPr>
                <w:sz w:val="17"/>
                <w:szCs w:val="17"/>
                <w:color w:val="auto"/>
              </w:rPr>
            </w:pPr>
          </w:p>
        </w:tc>
        <w:tc>
          <w:tcPr>
            <w:tcW w:w="3740" w:type="dxa"/>
            <w:vAlign w:val="bottom"/>
            <w:gridSpan w:val="6"/>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jc w:val="center"/>
              <w:ind w:left="712"/>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56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Name of exchange on which registered</w:t>
            </w:r>
          </w:p>
        </w:tc>
        <w:tc>
          <w:tcPr>
            <w:tcW w:w="0" w:type="dxa"/>
            <w:vAlign w:val="bottom"/>
          </w:tcPr>
          <w:p>
            <w:pPr>
              <w:spacing w:after="0"/>
              <w:rPr>
                <w:sz w:val="1"/>
                <w:szCs w:val="1"/>
                <w:color w:val="auto"/>
              </w:rPr>
            </w:pPr>
          </w:p>
        </w:tc>
      </w:tr>
      <w:tr>
        <w:trPr>
          <w:trHeight w:val="183"/>
        </w:trPr>
        <w:tc>
          <w:tcPr>
            <w:tcW w:w="3640" w:type="dxa"/>
            <w:vAlign w:val="bottom"/>
            <w:tcBorders>
              <w:top w:val="single" w:sz="8" w:color="auto"/>
            </w:tcBorders>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Common Stock, $.01 par value</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3"/>
                <w:szCs w:val="13"/>
                <w:b w:val="1"/>
                <w:bCs w:val="1"/>
                <w:color w:val="auto"/>
              </w:rPr>
              <w:t>ACHC</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300" w:type="dxa"/>
            <w:vAlign w:val="bottom"/>
            <w:gridSpan w:val="7"/>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500" w:type="dxa"/>
            <w:vAlign w:val="bottom"/>
            <w:gridSpan w:val="3"/>
          </w:tcPr>
          <w:p>
            <w:pPr>
              <w:spacing w:after="0"/>
              <w:rPr>
                <w:sz w:val="4"/>
                <w:szCs w:val="4"/>
                <w:color w:val="auto"/>
              </w:rPr>
            </w:pPr>
          </w:p>
        </w:tc>
        <w:tc>
          <w:tcPr>
            <w:tcW w:w="2260" w:type="dxa"/>
            <w:vAlign w:val="bottom"/>
            <w:tcBorders>
              <w:bottom w:val="single" w:sz="8" w:color="auto"/>
            </w:tcBorders>
            <w:gridSpan w:val="2"/>
          </w:tcPr>
          <w:p>
            <w:pPr>
              <w:spacing w:after="0"/>
              <w:rPr>
                <w:sz w:val="4"/>
                <w:szCs w:val="4"/>
                <w:color w:val="auto"/>
              </w:rPr>
            </w:pPr>
          </w:p>
        </w:tc>
        <w:tc>
          <w:tcPr>
            <w:tcW w:w="620" w:type="dxa"/>
            <w:vAlign w:val="bottom"/>
            <w:gridSpan w:val="2"/>
          </w:tcPr>
          <w:p>
            <w:pPr>
              <w:spacing w:after="0"/>
              <w:rPr>
                <w:sz w:val="4"/>
                <w:szCs w:val="4"/>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0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5"/>
        </w:trPr>
        <w:tc>
          <w:tcPr>
            <w:tcW w:w="738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8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0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1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80" w:firstLine="509"/>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1440" w:gutter="0" w:footer="0" w:header="0"/>
        </w:sectPr>
      </w:pPr>
    </w:p>
    <w:p>
      <w:pPr>
        <w:spacing w:after="0" w:line="4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301" w:lineRule="exact"/>
        <w:rPr>
          <w:sz w:val="24"/>
          <w:szCs w:val="24"/>
          <w:color w:val="auto"/>
        </w:rPr>
      </w:pPr>
    </w:p>
    <w:p>
      <w:pPr>
        <w:sectPr>
          <w:pgSz w:w="11900" w:h="16838" w:orient="portrait"/>
          <w:cols w:equalWidth="0" w:num="6">
            <w:col w:w="2440" w:space="720"/>
            <w:col w:w="120" w:space="340"/>
            <w:col w:w="1860" w:space="720"/>
            <w:col w:w="120" w:space="320"/>
            <w:col w:w="1740" w:space="720"/>
            <w:col w:w="2140"/>
          </w:cols>
          <w:pgMar w:left="320" w:top="1187" w:right="339" w:bottom="1440" w:gutter="0" w:footer="0" w:header="0"/>
          <w:type w:val="continuous"/>
        </w:sect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4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40" w:val="left"/>
          <w:tab w:leader="none" w:pos="7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right="220" w:firstLine="509"/>
        <w:spacing w:after="0" w:line="257" w:lineRule="auto"/>
        <w:rPr>
          <w:sz w:val="20"/>
          <w:szCs w:val="20"/>
          <w:color w:val="auto"/>
        </w:rPr>
      </w:pPr>
      <w:r>
        <w:rPr>
          <w:rFonts w:ascii="Times New Roman" w:cs="Times New Roman" w:eastAsia="Times New Roman" w:hAnsi="Times New Roman"/>
          <w:sz w:val="14"/>
          <w:szCs w:val="14"/>
          <w:color w:val="auto"/>
        </w:rPr>
        <w:t>As of June 30, 2025, the aggregate market value of the shares of common stock of the registrant held by non-affiliates was approximately $2.1 billion, based on the closing price of the registrant’s common stock reported on the NASDAQ Global Select Market of $22.69 per share.</w:t>
      </w:r>
    </w:p>
    <w:p>
      <w:pPr>
        <w:spacing w:after="0" w:line="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25, 2026, there were 92,211,777 shares of the registrant’s common stock outstanding.</w:t>
      </w:r>
    </w:p>
    <w:p>
      <w:pPr>
        <w:spacing w:after="0" w:line="20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to be held on May 6, 2026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795655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gridSpan w:val="11"/>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ACADIA HEALTHCARE COMPANY, INC.</w:t>
            </w:r>
          </w:p>
        </w:tc>
        <w:tc>
          <w:tcPr>
            <w:tcW w:w="1180" w:type="dxa"/>
            <w:vAlign w:val="bottom"/>
          </w:tcPr>
          <w:p>
            <w:pPr>
              <w:spacing w:after="0"/>
              <w:rPr>
                <w:sz w:val="18"/>
                <w:szCs w:val="18"/>
                <w:color w:val="auto"/>
              </w:rPr>
            </w:pPr>
          </w:p>
        </w:tc>
      </w:tr>
      <w:tr>
        <w:trPr>
          <w:trHeight w:val="215"/>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gridSpan w:val="10"/>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8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80" w:type="dxa"/>
            <w:vAlign w:val="bottom"/>
          </w:tcPr>
          <w:p>
            <w:pPr>
              <w:spacing w:after="0"/>
              <w:rPr>
                <w:sz w:val="20"/>
                <w:szCs w:val="20"/>
                <w:color w:val="auto"/>
              </w:rPr>
            </w:pPr>
          </w:p>
        </w:tc>
      </w:tr>
      <w:tr>
        <w:trPr>
          <w:trHeight w:val="389"/>
        </w:trPr>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18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200" w:type="dxa"/>
            <w:vAlign w:val="bottom"/>
            <w:tcBorders>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8"/>
              </w:rPr>
              <w:t>Item 1. Business</w:t>
            </w:r>
          </w:p>
        </w:tc>
        <w:tc>
          <w:tcPr>
            <w:tcW w:w="20" w:type="dxa"/>
            <w:vAlign w:val="bottom"/>
            <w:tcBorders>
              <w:bottom w:val="single" w:sz="8" w:color="0000EE"/>
            </w:tcBorders>
          </w:tcPr>
          <w:p>
            <w:pPr>
              <w:spacing w:after="0"/>
              <w:rPr>
                <w:sz w:val="16"/>
                <w:szCs w:val="16"/>
                <w:color w:val="auto"/>
              </w:rPr>
            </w:pPr>
          </w:p>
        </w:tc>
        <w:tc>
          <w:tcPr>
            <w:tcW w:w="8380" w:type="dxa"/>
            <w:vAlign w:val="bottom"/>
            <w:gridSpan w:val="22"/>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1A. Risk Factors</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4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2720" w:type="dxa"/>
            <w:vAlign w:val="bottom"/>
            <w:tcBorders>
              <w:bottom w:val="single" w:sz="8" w:color="0000FF"/>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6880" w:type="dxa"/>
            <w:vAlign w:val="bottom"/>
            <w:gridSpan w:val="11"/>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33</w:t>
            </w: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1C. Cybersecurity</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33</w:t>
            </w:r>
          </w:p>
        </w:tc>
      </w:tr>
      <w:tr>
        <w:trPr>
          <w:trHeight w:val="195"/>
        </w:trPr>
        <w:tc>
          <w:tcPr>
            <w:tcW w:w="460" w:type="dxa"/>
            <w:vAlign w:val="bottom"/>
          </w:tcPr>
          <w:p>
            <w:pPr>
              <w:spacing w:after="0"/>
              <w:rPr>
                <w:sz w:val="16"/>
                <w:szCs w:val="16"/>
                <w:color w:val="auto"/>
              </w:rPr>
            </w:pPr>
          </w:p>
        </w:tc>
        <w:tc>
          <w:tcPr>
            <w:tcW w:w="1680" w:type="dxa"/>
            <w:vAlign w:val="bottom"/>
            <w:tcBorders>
              <w:top w:val="single" w:sz="8" w:color="0000FF"/>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Item 2. Properties</w:t>
            </w:r>
          </w:p>
        </w:tc>
        <w:tc>
          <w:tcPr>
            <w:tcW w:w="7920" w:type="dxa"/>
            <w:vAlign w:val="bottom"/>
            <w:gridSpan w:val="18"/>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4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3. Legal Proceedings</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4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2320" w:type="dxa"/>
            <w:vAlign w:val="bottom"/>
            <w:tcBorders>
              <w:bottom w:val="single" w:sz="8" w:color="0000FF"/>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FF"/>
                <w:w w:val="98"/>
              </w:rPr>
              <w:t>Item 4. Mine Safety Disclosures</w:t>
            </w:r>
          </w:p>
        </w:tc>
        <w:tc>
          <w:tcPr>
            <w:tcW w:w="7280" w:type="dxa"/>
            <w:vAlign w:val="bottom"/>
            <w:gridSpan w:val="14"/>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w:t>
            </w:r>
          </w:p>
        </w:tc>
      </w:tr>
      <w:tr>
        <w:trPr>
          <w:trHeight w:val="195"/>
        </w:trPr>
        <w:tc>
          <w:tcPr>
            <w:tcW w:w="68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20" w:type="dxa"/>
            <w:vAlign w:val="bottom"/>
            <w:tcBorders>
              <w:bottom w:val="single" w:sz="8" w:color="0000EE"/>
            </w:tcBorders>
          </w:tcPr>
          <w:p>
            <w:pPr>
              <w:spacing w:after="0"/>
              <w:rPr>
                <w:sz w:val="16"/>
                <w:szCs w:val="16"/>
                <w:color w:val="auto"/>
              </w:rPr>
            </w:pPr>
          </w:p>
        </w:tc>
        <w:tc>
          <w:tcPr>
            <w:tcW w:w="9360" w:type="dxa"/>
            <w:vAlign w:val="bottom"/>
            <w:gridSpan w:val="28"/>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460" w:type="dxa"/>
            <w:vAlign w:val="bottom"/>
          </w:tcPr>
          <w:p>
            <w:pPr>
              <w:spacing w:after="0"/>
              <w:rPr>
                <w:sz w:val="16"/>
                <w:szCs w:val="16"/>
                <w:color w:val="auto"/>
              </w:rPr>
            </w:pPr>
          </w:p>
        </w:tc>
        <w:tc>
          <w:tcPr>
            <w:tcW w:w="8620" w:type="dxa"/>
            <w:vAlign w:val="bottom"/>
            <w:tcBorders>
              <w:bottom w:val="single" w:sz="8" w:color="0000FF"/>
            </w:tcBorders>
            <w:gridSpan w:val="30"/>
          </w:tcPr>
          <w:p>
            <w:pPr>
              <w:spacing w:after="0" w:line="195" w:lineRule="exact"/>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98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37</w:t>
            </w: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6. [Reserved]</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4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7000" w:type="dxa"/>
            <w:vAlign w:val="bottom"/>
            <w:tcBorders>
              <w:bottom w:val="single" w:sz="8" w:color="0000FF"/>
            </w:tcBorders>
            <w:gridSpan w:val="28"/>
          </w:tcPr>
          <w:p>
            <w:pPr>
              <w:spacing w:after="0" w:line="195" w:lineRule="exact"/>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2600" w:type="dxa"/>
            <w:vAlign w:val="bottom"/>
            <w:gridSpan w:val="3"/>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w:t>
            </w: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53</w:t>
            </w:r>
          </w:p>
        </w:tc>
      </w:tr>
      <w:tr>
        <w:trPr>
          <w:trHeight w:val="195"/>
        </w:trPr>
        <w:tc>
          <w:tcPr>
            <w:tcW w:w="460" w:type="dxa"/>
            <w:vAlign w:val="bottom"/>
          </w:tcPr>
          <w:p>
            <w:pPr>
              <w:spacing w:after="0"/>
              <w:rPr>
                <w:sz w:val="16"/>
                <w:szCs w:val="16"/>
                <w:color w:val="auto"/>
              </w:rPr>
            </w:pPr>
          </w:p>
        </w:tc>
        <w:tc>
          <w:tcPr>
            <w:tcW w:w="5020" w:type="dxa"/>
            <w:vAlign w:val="bottom"/>
            <w:tcBorders>
              <w:top w:val="single" w:sz="8" w:color="0000FF"/>
            </w:tcBorders>
            <w:gridSpan w:val="25"/>
          </w:tcPr>
          <w:p>
            <w:pPr>
              <w:spacing w:after="0" w:line="195"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580" w:type="dxa"/>
            <w:vAlign w:val="bottom"/>
            <w:gridSpan w:val="6"/>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4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53</w:t>
            </w:r>
          </w:p>
        </w:tc>
      </w:tr>
      <w:tr>
        <w:trPr>
          <w:trHeight w:val="195"/>
        </w:trPr>
        <w:tc>
          <w:tcPr>
            <w:tcW w:w="460" w:type="dxa"/>
            <w:vAlign w:val="bottom"/>
          </w:tcPr>
          <w:p>
            <w:pPr>
              <w:spacing w:after="0"/>
              <w:rPr>
                <w:sz w:val="16"/>
                <w:szCs w:val="16"/>
                <w:color w:val="auto"/>
              </w:rPr>
            </w:pPr>
          </w:p>
        </w:tc>
        <w:tc>
          <w:tcPr>
            <w:tcW w:w="2480" w:type="dxa"/>
            <w:vAlign w:val="bottom"/>
            <w:tcBorders>
              <w:top w:val="single" w:sz="8" w:color="0000FF"/>
              <w:bottom w:val="single" w:sz="8" w:color="0000FF"/>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4520" w:type="dxa"/>
            <w:vAlign w:val="bottom"/>
            <w:tcBorders>
              <w:top w:val="single" w:sz="8" w:color="0000FF"/>
            </w:tcBorders>
            <w:gridSpan w:val="9"/>
          </w:tcPr>
          <w:p>
            <w:pPr>
              <w:spacing w:after="0"/>
              <w:rPr>
                <w:sz w:val="16"/>
                <w:szCs w:val="16"/>
                <w:color w:val="auto"/>
              </w:rPr>
            </w:pPr>
          </w:p>
        </w:tc>
        <w:tc>
          <w:tcPr>
            <w:tcW w:w="2600" w:type="dxa"/>
            <w:vAlign w:val="bottom"/>
            <w:gridSpan w:val="3"/>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54</w:t>
            </w: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9B. Other Information</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4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5560" w:type="dxa"/>
            <w:vAlign w:val="bottom"/>
            <w:tcBorders>
              <w:bottom w:val="single" w:sz="8" w:color="0000FF"/>
            </w:tcBorders>
            <w:gridSpan w:val="26"/>
          </w:tcPr>
          <w:p>
            <w:pPr>
              <w:spacing w:after="0" w:line="195" w:lineRule="exact"/>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040" w:type="dxa"/>
            <w:vAlign w:val="bottom"/>
            <w:gridSpan w:val="5"/>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54</w:t>
            </w:r>
          </w:p>
        </w:tc>
      </w:tr>
      <w:tr>
        <w:trPr>
          <w:trHeight w:val="195"/>
        </w:trPr>
        <w:tc>
          <w:tcPr>
            <w:tcW w:w="78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9280" w:type="dxa"/>
            <w:vAlign w:val="bottom"/>
            <w:gridSpan w:val="25"/>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55</w:t>
            </w:r>
          </w:p>
        </w:tc>
      </w:tr>
      <w:tr>
        <w:trPr>
          <w:trHeight w:val="195"/>
        </w:trPr>
        <w:tc>
          <w:tcPr>
            <w:tcW w:w="460" w:type="dxa"/>
            <w:vAlign w:val="bottom"/>
          </w:tcPr>
          <w:p>
            <w:pPr>
              <w:spacing w:after="0"/>
              <w:rPr>
                <w:sz w:val="16"/>
                <w:szCs w:val="16"/>
                <w:color w:val="auto"/>
              </w:rPr>
            </w:pPr>
          </w:p>
        </w:tc>
        <w:tc>
          <w:tcPr>
            <w:tcW w:w="4720" w:type="dxa"/>
            <w:vAlign w:val="bottom"/>
            <w:tcBorders>
              <w:top w:val="single" w:sz="8" w:color="0000FF"/>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4880" w:type="dxa"/>
            <w:vAlign w:val="bottom"/>
            <w:gridSpan w:val="7"/>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4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w:t>
            </w:r>
          </w:p>
        </w:tc>
      </w:tr>
      <w:tr>
        <w:trPr>
          <w:trHeight w:val="195"/>
        </w:trPr>
        <w:tc>
          <w:tcPr>
            <w:tcW w:w="460" w:type="dxa"/>
            <w:vAlign w:val="bottom"/>
          </w:tcPr>
          <w:p>
            <w:pPr>
              <w:spacing w:after="0"/>
              <w:rPr>
                <w:sz w:val="16"/>
                <w:szCs w:val="16"/>
                <w:color w:val="auto"/>
              </w:rPr>
            </w:pPr>
          </w:p>
        </w:tc>
        <w:tc>
          <w:tcPr>
            <w:tcW w:w="6080" w:type="dxa"/>
            <w:vAlign w:val="bottom"/>
            <w:tcBorders>
              <w:top w:val="single" w:sz="8" w:color="0000FF"/>
              <w:bottom w:val="single" w:sz="8" w:color="0000FF"/>
            </w:tcBorders>
            <w:gridSpan w:val="27"/>
          </w:tcPr>
          <w:p>
            <w:pPr>
              <w:spacing w:after="0" w:line="195" w:lineRule="exact"/>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20" w:type="dxa"/>
            <w:vAlign w:val="bottom"/>
            <w:tcBorders>
              <w:top w:val="single" w:sz="8" w:color="0000FF"/>
            </w:tcBorders>
            <w:gridSpan w:val="2"/>
          </w:tcPr>
          <w:p>
            <w:pPr>
              <w:spacing w:after="0"/>
              <w:rPr>
                <w:sz w:val="16"/>
                <w:szCs w:val="16"/>
                <w:color w:val="auto"/>
              </w:rPr>
            </w:pPr>
          </w:p>
        </w:tc>
        <w:tc>
          <w:tcPr>
            <w:tcW w:w="1700" w:type="dxa"/>
            <w:vAlign w:val="bottom"/>
            <w:gridSpan w:val="2"/>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w:t>
            </w:r>
          </w:p>
        </w:tc>
      </w:tr>
      <w:tr>
        <w:trPr>
          <w:trHeight w:val="195"/>
        </w:trPr>
        <w:tc>
          <w:tcPr>
            <w:tcW w:w="460" w:type="dxa"/>
            <w:vAlign w:val="bottom"/>
          </w:tcPr>
          <w:p>
            <w:pPr>
              <w:spacing w:after="0"/>
              <w:rPr>
                <w:sz w:val="16"/>
                <w:szCs w:val="16"/>
                <w:color w:val="auto"/>
              </w:rPr>
            </w:pPr>
          </w:p>
        </w:tc>
        <w:tc>
          <w:tcPr>
            <w:tcW w:w="350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FF"/>
                <w:w w:val="99"/>
              </w:rPr>
              <w:t>Item 14. Principal Accountant Fees and Services</w:t>
            </w:r>
          </w:p>
        </w:tc>
        <w:tc>
          <w:tcPr>
            <w:tcW w:w="6100" w:type="dxa"/>
            <w:vAlign w:val="bottom"/>
            <w:gridSpan w:val="10"/>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w:t>
            </w:r>
          </w:p>
        </w:tc>
      </w:tr>
      <w:tr>
        <w:trPr>
          <w:trHeight w:val="195"/>
        </w:trPr>
        <w:tc>
          <w:tcPr>
            <w:tcW w:w="74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20" w:type="dxa"/>
            <w:vAlign w:val="bottom"/>
            <w:tcBorders>
              <w:bottom w:val="single" w:sz="8" w:color="0000EE"/>
            </w:tcBorders>
          </w:tcPr>
          <w:p>
            <w:pPr>
              <w:spacing w:after="0"/>
              <w:rPr>
                <w:sz w:val="16"/>
                <w:szCs w:val="16"/>
                <w:color w:val="auto"/>
              </w:rPr>
            </w:pPr>
          </w:p>
        </w:tc>
        <w:tc>
          <w:tcPr>
            <w:tcW w:w="9300" w:type="dxa"/>
            <w:vAlign w:val="bottom"/>
            <w:gridSpan w:val="26"/>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460" w:type="dxa"/>
            <w:vAlign w:val="bottom"/>
          </w:tcPr>
          <w:p>
            <w:pPr>
              <w:spacing w:after="0"/>
              <w:rPr>
                <w:sz w:val="16"/>
                <w:szCs w:val="16"/>
                <w:color w:val="auto"/>
              </w:rPr>
            </w:pPr>
          </w:p>
        </w:tc>
        <w:tc>
          <w:tcPr>
            <w:tcW w:w="9600" w:type="dxa"/>
            <w:vAlign w:val="bottom"/>
            <w:gridSpan w:val="31"/>
          </w:tcPr>
          <w:p>
            <w:pPr>
              <w:spacing w:after="0" w:line="195"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w:t>
            </w:r>
          </w:p>
        </w:tc>
      </w:tr>
      <w:tr>
        <w:trPr>
          <w:trHeight w:val="195"/>
        </w:trPr>
        <w:tc>
          <w:tcPr>
            <w:tcW w:w="460" w:type="dxa"/>
            <w:vAlign w:val="bottom"/>
          </w:tcPr>
          <w:p>
            <w:pPr>
              <w:spacing w:after="0"/>
              <w:rPr>
                <w:sz w:val="16"/>
                <w:szCs w:val="16"/>
                <w:color w:val="auto"/>
              </w:rPr>
            </w:pPr>
          </w:p>
        </w:tc>
        <w:tc>
          <w:tcPr>
            <w:tcW w:w="3780" w:type="dxa"/>
            <w:vAlign w:val="bottom"/>
            <w:tcBorders>
              <w:top w:val="single" w:sz="8" w:color="0000FF"/>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Item 16. Form 10-K Summary</w:t>
            </w:r>
          </w:p>
        </w:tc>
        <w:tc>
          <w:tcPr>
            <w:tcW w:w="5820" w:type="dxa"/>
            <w:vAlign w:val="bottom"/>
            <w:gridSpan w:val="9"/>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60</w:t>
            </w:r>
          </w:p>
        </w:tc>
      </w:tr>
      <w:tr>
        <w:trPr>
          <w:trHeight w:val="195"/>
        </w:trPr>
        <w:tc>
          <w:tcPr>
            <w:tcW w:w="460" w:type="dxa"/>
            <w:vAlign w:val="bottom"/>
          </w:tcPr>
          <w:p>
            <w:pPr>
              <w:spacing w:after="0"/>
              <w:rPr>
                <w:sz w:val="16"/>
                <w:szCs w:val="16"/>
                <w:color w:val="auto"/>
              </w:rPr>
            </w:pPr>
          </w:p>
        </w:tc>
        <w:tc>
          <w:tcPr>
            <w:tcW w:w="2180" w:type="dxa"/>
            <w:vAlign w:val="bottom"/>
            <w:tcBorders>
              <w:top w:val="single" w:sz="8" w:color="0000FF"/>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7420" w:type="dxa"/>
            <w:vAlign w:val="bottom"/>
            <w:gridSpan w:val="15"/>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61</w:t>
            </w:r>
          </w:p>
        </w:tc>
      </w:tr>
      <w:tr>
        <w:trPr>
          <w:trHeight w:val="1425"/>
        </w:trPr>
        <w:tc>
          <w:tcPr>
            <w:tcW w:w="46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comprehensive treatment centers (“CTCs”), residential treatment centers and facilities providing outpatient behavioral healthcare services to serve the behavioral healthcare and recovery needs of communities throughout the United States (the “U.S.”) and Puerto Rico. The terms “facilities,” “centers,” “clinics,” and “hospitals” refer to entities owned, operated, or managed by subsidiaries of Acadia Healthcare Company, Inc. References herein to “employees” refer to employees of subsidiaries of Acadia Healthcare Company,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7"/>
          <w:szCs w:val="17"/>
          <w:color w:val="auto"/>
        </w:rPr>
        <w:t>Our business strategy is to become the indispensable behavioral healthcare provider for the high-acuity and complex needs patient population. We are committed to providing the communities we serve with high-quality, cost-effective behavioral healthcare services, while growing our business, increasing profitability and creating long-term value for our stockholders. This strategy includes five growth pathways: expansions of existing facilities, joint venture partnerships, de novo facilities, acquisitions and expansion across our continuum of care. At December 31, 2025, we operated 277 behavioral healthcare facilities with over 12,500 beds in 40 states and Puerto Rico. During the year ended December 31, 2025, we added 1,089 beds, consisting of 311 added to existing facilities and 778 added through the opening of one wholly-owned facility and five joint venture facilities, and we closed five facilities totaling 382 beds. The five joint venture facilities opened during the year ended December 31, 2025, were through partnerships with Henry Ford Health, Geisinger Health, Ascension Seton, Fairview Health Services, and ECU Health. During the year ended December 31, 2025, we opened 15 CTCs.</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the leading publicly traded pure-play provider of behavioral healthcare services in the U.S. Management believes that we are positioned as a leading platform in a highly fragmented industry under the direction of an experienced management team that has significant industry expertise. Management expects to take advantage of several strategies that are more accessible as a result of 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 through acquisitions, wholly-owned de novo facilities, joint ventures and bed additions in existing facilities.</w:t>
      </w:r>
    </w:p>
    <w:p>
      <w:pPr>
        <w:spacing w:after="0" w:line="78" w:lineRule="exact"/>
        <w:rPr>
          <w:sz w:val="20"/>
          <w:szCs w:val="20"/>
          <w:color w:val="auto"/>
        </w:rPr>
      </w:pPr>
    </w:p>
    <w:p>
      <w:pPr>
        <w:ind w:right="460" w:firstLine="509"/>
        <w:spacing w:after="0" w:line="280" w:lineRule="auto"/>
        <w:rPr>
          <w:sz w:val="20"/>
          <w:szCs w:val="20"/>
          <w:color w:val="auto"/>
        </w:rPr>
      </w:pPr>
      <w:r>
        <w:rPr>
          <w:rFonts w:ascii="Times New Roman" w:cs="Times New Roman" w:eastAsia="Times New Roman" w:hAnsi="Times New Roman"/>
          <w:sz w:val="18"/>
          <w:szCs w:val="18"/>
          <w:color w:val="auto"/>
        </w:rPr>
        <w:t>Our common stock is listed for trading on The NASDAQ Global Select Market under the symbol “ACHC.” Our principal executive offices are located at 4020 Aspen Grove Drive, Suite 900, Franklin, Tennessee 37067, and our telephone number is (615) 861-6000.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9"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color w:val="auto"/>
        </w:rPr>
        <w:t>On February 28, 2025 (the “Credit Facility Closing Date”), we entered into a new credit agreement (the “Credit Agreement”), which provides for a $1.0 billion senior secured revolving credit facility (including a $50.0 million sublimit for the issuance of letters of credit and a $50.0 million swingline subfacility) (the “Revolving Facility”) and a $650.0 million senior secured term loan facility (the “Term Loan Facility,” and together with the Revolving Facility, the “Credit Facility”), each maturing on February 28, 2030.</w:t>
      </w:r>
    </w:p>
    <w:p>
      <w:pPr>
        <w:spacing w:after="0" w:line="114"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8"/>
          <w:szCs w:val="18"/>
          <w:color w:val="auto"/>
        </w:rPr>
        <w:t>On the Credit Facility Closing Date, the full $650.0 million amount of the Term Loan Facility was funded, and $550.0 million was funded under the Revolving Facility, which amounts were used, among other things, to refinance the outstanding obligations under the Prior Credit Facility (as defined below).</w:t>
      </w:r>
    </w:p>
    <w:p>
      <w:pPr>
        <w:spacing w:after="0" w:line="96" w:lineRule="exact"/>
        <w:rPr>
          <w:sz w:val="20"/>
          <w:szCs w:val="20"/>
          <w:color w:val="auto"/>
        </w:rPr>
      </w:pPr>
    </w:p>
    <w:p>
      <w:pPr>
        <w:ind w:right="60" w:firstLine="554"/>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equal to, at our option, either (i) a Secured Overnight Financing Rate (“SOFR”) -based rate plus a margin ranging from 1.375% to 2.250% or (ii) a base rate plus a margin ranging from 0.375% to 1.250%, in each case, depending on our Consolidated Total Net Leverage Ratio (as defined in the Credit Agreement). In addition, an unused fee that varies according to our Consolidated Total Net Leverage Ratio ranging from 0.200% to 0.350% is payable quarterly in arrears based on the average daily undrawn portion of the commitments in respect of the Revolving Facility. The Term Loan Facility requires quarterly principal repayments of $4.1 million through March 31, 2026, $8.1 million from June 30, 2026 to March 31, 2028, $12.2 million from June 30, 2028 to March 31, 2029 and $16.3 million from June 30, 2029 to December 31, 2029, with the remaining outstanding principal balance of the Term Loan Facility due on the maturity date of February 28, 2030.</w:t>
      </w:r>
    </w:p>
    <w:p>
      <w:pPr>
        <w:spacing w:after="0" w:line="119" w:lineRule="exact"/>
        <w:rPr>
          <w:sz w:val="20"/>
          <w:szCs w:val="20"/>
          <w:color w:val="auto"/>
        </w:rPr>
      </w:pPr>
    </w:p>
    <w:p>
      <w:pPr>
        <w:jc w:val="both"/>
        <w:ind w:right="180" w:firstLine="509"/>
        <w:spacing w:after="0" w:line="264" w:lineRule="auto"/>
        <w:rPr>
          <w:sz w:val="20"/>
          <w:szCs w:val="20"/>
          <w:color w:val="auto"/>
        </w:rPr>
      </w:pPr>
      <w:r>
        <w:rPr>
          <w:rFonts w:ascii="Times New Roman" w:cs="Times New Roman" w:eastAsia="Times New Roman" w:hAnsi="Times New Roman"/>
          <w:sz w:val="18"/>
          <w:szCs w:val="18"/>
          <w:color w:val="auto"/>
        </w:rPr>
        <w:t>We have the ability to increase the amount of the Credit Facility, which may take the form of increases to the Revolving Facility or the Term Loan Facility or the issuance of one or more incremental term loan facilities (collectively, the “Incremental Facilities”), upon obtaining additional commitments from new or existing lenders and the satisfaction of certain customary conditions precedent</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ind w:right="80"/>
        <w:spacing w:after="0" w:line="264" w:lineRule="auto"/>
        <w:rPr>
          <w:sz w:val="20"/>
          <w:szCs w:val="20"/>
          <w:color w:val="auto"/>
        </w:rPr>
      </w:pPr>
      <w:r>
        <w:rPr>
          <w:rFonts w:ascii="Times New Roman" w:cs="Times New Roman" w:eastAsia="Times New Roman" w:hAnsi="Times New Roman"/>
          <w:sz w:val="18"/>
          <w:szCs w:val="18"/>
          <w:color w:val="auto"/>
        </w:rPr>
        <w:t>for such Incremental Facilities. Such Incremental Facilities may not exceed the sum of (i) the greater of $710.0 million and an amount equal to 100% of the LTM Consolidated EBITDA (as defined in the Credit Agreement) of the Company at the time of determination and (ii) additional amounts that would not cause our Consolidated Senior Secured Net Leverage Ratio (as defined in the Credit Agreement) to exceed 4.0 to 1.0.</w:t>
      </w:r>
    </w:p>
    <w:p>
      <w:pPr>
        <w:spacing w:after="0" w:line="110" w:lineRule="exact"/>
        <w:rPr>
          <w:sz w:val="20"/>
          <w:szCs w:val="20"/>
          <w:color w:val="auto"/>
        </w:rPr>
      </w:pPr>
    </w:p>
    <w:p>
      <w:pPr>
        <w:ind w:right="360" w:firstLine="509"/>
        <w:spacing w:after="0" w:line="259" w:lineRule="auto"/>
        <w:rPr>
          <w:sz w:val="20"/>
          <w:szCs w:val="20"/>
          <w:color w:val="auto"/>
        </w:rPr>
      </w:pPr>
      <w:r>
        <w:rPr>
          <w:rFonts w:ascii="Times New Roman" w:cs="Times New Roman" w:eastAsia="Times New Roman" w:hAnsi="Times New Roman"/>
          <w:sz w:val="18"/>
          <w:szCs w:val="18"/>
          <w:color w:val="auto"/>
        </w:rPr>
        <w:t>Subject to certain exceptions, substantially all of our existing and subsequently acquired or organized direct and indirect wholly-owned U.S. subsidiaries are required to guarantee the repayment of our obligations under the Credit Agreement. Our obligations and such guarantor subsidiaries are secured by a pledge of substantially all of our assets and such guarantor subsidiaries (excluding all real property and certain other customarily excluded assets).</w:t>
      </w:r>
    </w:p>
    <w:p>
      <w:pPr>
        <w:spacing w:after="0" w:line="10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and negative covenants, including limitations on our ability and subsidiaries to: (i) incur debt; (ii) permit additional liens; (iii) make investments and acquisitions; (iv) merge or consolidate with others; (v) dispose of assets; (vi) pay dividends and distributions; (vii) pay junior indebtedness; and (viii) enter into affiliate transactions, in each case, subject to customary exceptions. In addition, the Credit Agreement contains financial covenants requiring us to maintain, on a consolidated basis as of the last day of each quarterly period, a Consolidated Total Net Leverage Ratio of not more than 5.0 to 1.0 (which may be increased in connection with a material acquisition to 5.5 to 1.0 for a four quarter period up to three times during the term of the Credit Agreement) and a Consolidated Interest Coverage Ratio (as defined in the Credit Agreement) of at least 3.0 to 1.0. The Credit Agreement also includes events of default customary for facilities of this type and upon the occurrence of such events of default, among other things, all outstanding loans under the Credit Agreement may be accelerated, lenders commitments terminated, and/or the lenders may exercise collateral remedies. At December 31, 2025, we were in compliance with all financial covenants.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we borrowed $954.0 million on the Revolving Facility and repaid $550.0 million of the balance outstanding.</w:t>
      </w:r>
    </w:p>
    <w:p>
      <w:pPr>
        <w:spacing w:after="0" w:line="156" w:lineRule="exact"/>
        <w:rPr>
          <w:sz w:val="20"/>
          <w:szCs w:val="20"/>
          <w:color w:val="auto"/>
        </w:rPr>
      </w:pPr>
    </w:p>
    <w:p>
      <w:pPr>
        <w:ind w:right="480" w:firstLine="509"/>
        <w:spacing w:after="0" w:line="280" w:lineRule="auto"/>
        <w:rPr>
          <w:sz w:val="20"/>
          <w:szCs w:val="20"/>
          <w:color w:val="auto"/>
        </w:rPr>
      </w:pPr>
      <w:r>
        <w:rPr>
          <w:rFonts w:ascii="Times New Roman" w:cs="Times New Roman" w:eastAsia="Times New Roman" w:hAnsi="Times New Roman"/>
          <w:sz w:val="18"/>
          <w:szCs w:val="18"/>
          <w:color w:val="auto"/>
        </w:rPr>
        <w:t>At December 31, 2025, we had $594.8 million of availability under the Revolving Facility and had standby letters of credit outstanding of $1.2 million related to security for multiple development projects.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Facility</w:t>
      </w:r>
    </w:p>
    <w:p>
      <w:pPr>
        <w:spacing w:after="0" w:line="11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On March 17, 2021, we entered into a credit agreement (as amended, the “Prior Credit Facility”), which provided for a $600.0 million senior secured revolving credit facility (the “Prior Revolving Facility”) and a senior secured term loan facility in an initial principal amount of $425.0 million, which amount was later increased by $350.0 million (as increased, the “Prior Term Loan Facility”), each of which was scheduled to mature on March 17, 2026. The Prior Revolving Facility further provided for a $20.0 million subfacility for the issuance of letters of credit.</w:t>
      </w:r>
    </w:p>
    <w:p>
      <w:pPr>
        <w:spacing w:after="0" w:line="74"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2025, we borrowed $115.0 million on the Prior Revolving Facility and repaid $485.0 million of the balance outstanding prior to February 28, 2025, when the Prior Credit Facility was refinanced with the Credit Facility. For the year ended December 31, 2024, we borrowed $305.0 million on the Prior Revolving Facility and repaid $15.0 million of the balance outstanding.</w:t>
      </w:r>
    </w:p>
    <w:p>
      <w:pPr>
        <w:spacing w:after="0" w:line="69"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8"/>
          <w:szCs w:val="18"/>
          <w:color w:val="auto"/>
        </w:rPr>
        <w:t>On February 28, 2025, we refinanced the Prior Credit Facility by using the proceeds of the Credit Facility to repay the outstanding balances of the Prior Term Loan Facility and the Prior Revolving Facility, which totaled $670.9 million and $485.0 million, respectively. In connection therewith, we recorded a loss on extinguishment of $1.3 million, which is included in debt extinguishment costs in the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7.375% Senior Notes due 2033</w:t>
      </w:r>
    </w:p>
    <w:p>
      <w:pPr>
        <w:spacing w:after="0" w:line="11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March 10, 2025, we issued $550.0 million of 7.375% Senior Notes due 2033 (the “7.375% Senior Notes”). The 7.375% Senior Notes mature on March 15, 2033 and bear interest at a rate of 7.375% per annum, payable semi-annually in arrears on March 15 and September 15 of each year, commencing on September 15, 2025. The net proceeds from the issuance and sale of the 7.375% Senior Notes, together with cash on hand, were used to pay down $550.0 million of outstanding borrowings under the Revolving Facility.</w:t>
      </w:r>
    </w:p>
    <w:p>
      <w:pPr>
        <w:spacing w:after="0" w:line="74"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color w:val="auto"/>
        </w:rPr>
        <w:t>The indenture governing the 7.375% Senior Notes contains covenants that, among other things, limit our ability and the ability of our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our assets; and (vii) create liens on assets.</w:t>
      </w:r>
    </w:p>
    <w:p>
      <w:pPr>
        <w:spacing w:after="0" w:line="74"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The Senior Notes issued by us are guaranteed by each of our subsidiaries that guarantee our obligations under the Credit Facility. The guarantees are full and unconditional and joint and several.</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redeem the 7.375% Senior Notes at our option, in whole or part, at the dates and amounts set forth in the indenture.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believes the following strengths differentiate us from other providers of behavioral healthcare services:</w:t>
      </w:r>
    </w:p>
    <w:p>
      <w:pPr>
        <w:spacing w:after="0" w:line="2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Executive management team with track record of success</w:t>
      </w:r>
      <w:r>
        <w:rPr>
          <w:rFonts w:ascii="Times New Roman" w:cs="Times New Roman" w:eastAsia="Times New Roman" w:hAnsi="Times New Roman"/>
          <w:sz w:val="18"/>
          <w:szCs w:val="18"/>
          <w:color w:val="auto"/>
        </w:rPr>
        <w:t>. Our executive management team brings decades of combined leadership in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clinical operations. The extensive national background and operational expertise of our management team provide what management believes to be a strong foundation in the behavioral healthcare industry. Our management team strives to use its history of operating behavioral healthcare facilities to generate strong cash flow and grow a profitable business.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Legislative and favorable industry trends. </w:t>
      </w:r>
      <w:r>
        <w:rPr>
          <w:rFonts w:ascii="Times New Roman" w:cs="Times New Roman" w:eastAsia="Times New Roman" w:hAnsi="Times New Roman"/>
          <w:sz w:val="18"/>
          <w:szCs w:val="18"/>
          <w:color w:val="auto"/>
        </w:rPr>
        <w:t>According to a 2024 survey by the Substance Abuse and Mental Health Services Administration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(“SAMHSA”) of the U.S. Department of Health and Human Services (the “HHS”), mental illness or substance use disorder prevalence represents more than one in four U.S. adults. In 2024, 61.5 million adults in the U.S. aged 18 years or older suffered from a mental illness in the prior year and 14.6 million suffered from a serious mental illness. Further, 21.2 million adults had co-occurring serious mental illness and substance use disorder in 2024. Approximately 52.6 million people aged 12 or older in 2024 needed substance use treatment in the past year, but only 10.2 million of those received substance use treatment. According to a study by the Centers for Disease Control and Prevention (“CDC”) made available in 2024, youth mental health continues to reach all-time highs, and nearly all indicators of poor mental health and suicidal thoughts and behaviors worsened from 2013 to 2023. In 2023, 40% of high school students reported persistent feelings of sadness or hopelessness, compared to 30% in 2013. Further, in 2023, 20% of high school students seriously considered attempting suicide and 9% of high school students attempted suicide one or more times. Management believes the market for behavioral healthcare services will continue to grow due to increased awareness of mental health and substance abuse conditions and treatment options.</w:t>
      </w:r>
    </w:p>
    <w:p>
      <w:pPr>
        <w:spacing w:after="0" w:line="7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While the growing awareness of mental health and substance abuse conditions is expected to accelerate demand for services, evolving healthcare legislation in the U.S. has increased, and is expected to further increase, access to industry services as more people obtain insurance coverage. A key aspect of reform legislation was the extension of mental health parity protections established into law by the Paul Wellstone and Pete Domenici Mental Health Parity and Addiction Equity Act of 2008 (the “MHPAEA”). The MHPAEA requires employers who provide behavioral healthcare and addiction benefits to provide such coverage to the same extent as other medical conditions. On December 13, 2016, President Obama signed the 21st Century Cures Act. The 21st Century Cures Act appropriates substantial resources for the treatment of behavioral healthcare and substance abuse disorders and contains measures intended to strengthen the MHPAEA. On October 21, 2018, the Substance Use-Disorder Prevention that Promotes Opioid Recovery and Treatment for Patients and Communities Act (the “SUPPORT Act”) was signed into law. The SUPPORT Act expands Medicare coverage to include Opioid Treatment Programs for services provided on or after January 2, 2020. It also includes ‘The Individuals in Medicaid Deserve Care that is Appropriate and Responsible in its Execution Act’, which suspends the prohibition on using federal Medicaid funds to pay for substance use disorder treatment at inpatient treatment facilities with more than 16 beds and limits beneficiaries to no more than 30 days of inpatient treatment per 12-month period.</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National footprint and scale with regional density and presence across multiple service lines</w:t>
      </w:r>
      <w:r>
        <w:rPr>
          <w:rFonts w:ascii="Times New Roman" w:cs="Times New Roman" w:eastAsia="Times New Roman" w:hAnsi="Times New Roman"/>
          <w:sz w:val="18"/>
          <w:szCs w:val="18"/>
          <w:color w:val="auto"/>
        </w:rPr>
        <w:t>. We are a leading behavioral healthcare platform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that is undergoing consolidation in an effort to better serve the growing need for acute behavioral healthcare services. Management expects to take advantage of several strategies that are more accessible as a result of our increased size and geographic scale, including continuing a national marketing strategy to attract new patients and referral sources, providing a broader range of services to new and existing patients and clients and selectively pursuing opportunities to expand our facility and bed count.</w:t>
      </w:r>
    </w:p>
    <w:p>
      <w:pPr>
        <w:spacing w:after="0" w:line="17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Diversified revenue and payor bases</w:t>
      </w:r>
      <w:r>
        <w:rPr>
          <w:rFonts w:ascii="Times New Roman" w:cs="Times New Roman" w:eastAsia="Times New Roman" w:hAnsi="Times New Roman"/>
          <w:sz w:val="18"/>
          <w:szCs w:val="18"/>
          <w:color w:val="auto"/>
        </w:rPr>
        <w:t>. At December 31, 2025, we operated 277 behavioral healthcare facilities in 40 states and Puerto Rico.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payor, patient and geographic diversity mitigates the potential risk associated with any single facility. For the year ended December 31, 2025, we received 57.7% of our revenue from Medicaid, 24.6% from commercial payors, 14.3% from Medicare and 3.4% from other payors. As we receive Medicaid payments from 46 states, the District of Columbia and Puerto Rico, management does not believe that we are significantly affected by changes in reimbursement policies in any one state or territory. No facility accounted for more than 4% of revenue for the year ended December 31, 2025, and no state or U.S. territory accounted for more than 14% of revenue for the year ended December 31, 2025. We believe that our increased geographic diversity will mitigate the impact of any financial or budgetary pressure that may arise in a particular state or market where we operate.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position to execute our strategy. </w:t>
      </w:r>
      <w:r>
        <w:rPr>
          <w:rFonts w:ascii="Times New Roman" w:cs="Times New Roman" w:eastAsia="Times New Roman" w:hAnsi="Times New Roman"/>
          <w:sz w:val="18"/>
          <w:szCs w:val="18"/>
          <w:color w:val="auto"/>
        </w:rPr>
        <w:t>Management believes we continue to be well positioned for investments in our facilities, expansion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and existing markets and enhancement of our capabilities and infrastructure. We generate strong returns by profitably operating our business and by actively managing our working capital. Moreover, as the behavioral healthcare business does not typically require the procurement and replacement of expensive medical equipment, our maintenance capital expenditure requirements are generally less than that of other facility-based healthcare providers. For the year ended December 31, 2025, our maintenance capital expenditures amounted to approximately 3% of our revenue.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19"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Our strategy is to become the indispensable behavioral healthcare provider for the high-acuity and complex-needs patient population. We are committed to providing the communities we serve high-quality, cost-effective behavioral healthcare services, while growing our business and creating long-term value for our stockholders. This strategy includes five growth pathways: expansions of existing facilities, joint venture partnerships, de novo facilities, acquisitions and expansion across our continuum of care. Our core strategic priorities include:</w:t>
      </w:r>
    </w:p>
    <w:p>
      <w:pPr>
        <w:spacing w:after="0" w:line="17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Drive organic growth of existing facilities. </w:t>
      </w:r>
      <w:r>
        <w:rPr>
          <w:rFonts w:ascii="Times New Roman" w:cs="Times New Roman" w:eastAsia="Times New Roman" w:hAnsi="Times New Roman"/>
          <w:sz w:val="18"/>
          <w:szCs w:val="18"/>
          <w:color w:val="auto"/>
        </w:rPr>
        <w:t>We seek to increase revenue at our facilities by providing a broader range of services to new and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and clients. In addition, management intends to increase bed counts in our existing facilities. We added 311 beds to existing facilities during the year ended December 31, 2025.</w:t>
      </w:r>
    </w:p>
    <w:p>
      <w:pPr>
        <w:spacing w:after="0" w:line="66"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7"/>
          <w:szCs w:val="17"/>
          <w:color w:val="auto"/>
        </w:rPr>
        <w:t>Management believes we can improve efficiencies and increase operating margins by utilizing our management’s expertise and experience within existing programs and their expertise in improving performance at underperforming facilities. Management believes the efficiencies can be realized by investing in growth in strong markets, addressing capital-constrained facilities that have underperformed and improving management systems.</w:t>
      </w:r>
    </w:p>
    <w:p>
      <w:pPr>
        <w:spacing w:after="0" w:line="15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Fuel facility growth through accelerated joint venture partnerships and de novo builds and pursuing programmatic mergers and acquisitions. </w:t>
      </w:r>
      <w:r>
        <w:rPr>
          <w:rFonts w:ascii="Times New Roman" w:cs="Times New Roman" w:eastAsia="Times New Roman" w:hAnsi="Times New Roman"/>
          <w:sz w:val="18"/>
          <w:szCs w:val="18"/>
          <w:color w:val="auto"/>
        </w:rPr>
        <w:t>We are a leading provider of behavioral healthcare services in the U.S. The behavioral healthcare industry in the U.S. is highly fragmented, and we selectively seek opportunities to expand and diversify our base of operations by acquiring additional facilities, entering into partnerships with healthcare providers to develop additional facilities and developing wholly-owned de novo facilities in attractive markets. We have a number of potential acquisitions, joint ventures and wholly-owned de novo facilities in various stages of development and consideration. To achieve success in these endeavors, we have comprehensive post-acquisition strategic plans to improve facility operations, retain and recruit psychiatrists and other healthcare professionals and expand the breadth of services offered by our facilities to advance clinical and operating excellence.</w:t>
      </w:r>
    </w:p>
    <w:p>
      <w:pPr>
        <w:spacing w:after="0" w:line="77"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8"/>
          <w:szCs w:val="18"/>
          <w:color w:val="auto"/>
        </w:rPr>
        <w:t>During the year ended December 31, 2025, we added 778 beds through the opening of one wholly-owned facility and five joint venture facilities, and we opened 15 CTCs.</w:t>
      </w:r>
    </w:p>
    <w:p>
      <w:pPr>
        <w:spacing w:after="0" w:line="55" w:lineRule="exact"/>
        <w:rPr>
          <w:sz w:val="20"/>
          <w:szCs w:val="20"/>
          <w:color w:val="auto"/>
        </w:rPr>
      </w:pPr>
    </w:p>
    <w:p>
      <w:pPr>
        <w:jc w:val="both"/>
        <w:ind w:right="140" w:firstLine="509"/>
        <w:spacing w:after="0" w:line="264" w:lineRule="auto"/>
        <w:rPr>
          <w:sz w:val="20"/>
          <w:szCs w:val="20"/>
          <w:color w:val="auto"/>
        </w:rPr>
      </w:pPr>
      <w:r>
        <w:rPr>
          <w:rFonts w:ascii="Times New Roman" w:cs="Times New Roman" w:eastAsia="Times New Roman" w:hAnsi="Times New Roman"/>
          <w:sz w:val="18"/>
          <w:szCs w:val="18"/>
          <w:color w:val="auto"/>
        </w:rPr>
        <w:t>Management believes our focus on behavioral healthcare and history of completing acquisitions provides us with a strategic advantage in sourcing, evaluating and closing acquisitions. We leverage our management team’s expertise to identify and integrate acquisitions based on a disciplined acquisition strategy that focuses on quality of service, return on investment and strategic benefits.</w:t>
      </w:r>
    </w:p>
    <w:p>
      <w:pPr>
        <w:spacing w:after="0" w:line="6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Accelerate expansion across the care continuum, particularly for patients with opioid use and other substance use disorders. </w:t>
      </w:r>
      <w:r>
        <w:rPr>
          <w:rFonts w:ascii="Times New Roman" w:cs="Times New Roman" w:eastAsia="Times New Roman" w:hAnsi="Times New Roman"/>
          <w:sz w:val="18"/>
          <w:szCs w:val="18"/>
          <w:color w:val="auto"/>
        </w:rPr>
        <w:t>Our growth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a patient-centric approach covering the full continuum of care for behavioral healthcare services. By providing cohesive care across sites and levels of care, we are able to best serve the most complex patient populations. We are working to reach underserved patient populations by expanding our breadth of services and increasing access points.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8"/>
          <w:szCs w:val="18"/>
          <w:color w:val="auto"/>
        </w:rPr>
        <w:t>Our facilities and services can generally be classified into the following categories: acute inpatient psychiatric facilities; specialty treatment facilities; CTCs; and residential treatment centers. Outpatient programs associated with our facilities are included within each respective service line. The table below presents the percentage of our total revenue attributed to each category for the year ended December 31, 2025:</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20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Revenue for the</w:t>
            </w:r>
          </w:p>
        </w:tc>
      </w:tr>
      <w:tr>
        <w:trPr>
          <w:trHeight w:val="17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Facility/Service</w:t>
            </w:r>
          </w:p>
        </w:tc>
        <w:tc>
          <w:tcPr>
            <w:tcW w:w="32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0"/>
        </w:trPr>
        <w:tc>
          <w:tcPr>
            <w:tcW w:w="9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Acute inpatient psychiatric facilities</w:t>
            </w:r>
          </w:p>
        </w:tc>
        <w:tc>
          <w:tcPr>
            <w:tcW w:w="3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5"/>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treatment facilities</w:t>
            </w:r>
          </w:p>
        </w:tc>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5"/>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treatment centers</w:t>
            </w:r>
          </w:p>
        </w:tc>
        <w:tc>
          <w:tcPr>
            <w:tcW w:w="3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treatment centers</w:t>
            </w:r>
          </w:p>
        </w:tc>
        <w:tc>
          <w:tcPr>
            <w:tcW w:w="3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8"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color w:val="auto"/>
        </w:rPr>
        <w:t>We receive payments from the following sources for services rendered in our facilities: (i) state governments under their respective Medicaid and other programs; (ii) commercial insurers; (iii) the federal government under the Medicare program administered by the Centers for Medicare and Medicaid Services (“CMS”) and other programs; and (iv) individual patients and clients. For the year ended December 31, 2025, we received 57.7% of our revenue from Medicaid, 24.6% from commercial payors, 14.3% from Medicare and 3.4% from other payors.</w:t>
      </w:r>
    </w:p>
    <w:p>
      <w:pPr>
        <w:spacing w:after="0" w:line="74"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At December 31, 2025, we operated 277 behavioral healthcare facilities with over 12,500 beds in 40 states and Puerto Rico. Of our facilities, excluding CTCs, approximately 60% are acute inpatient psychiatric facilities, approximately 31% are specialty treatment facilities and approximately 9% are residential treatment centers at December 31, 2025. We operate 178 CTCs, 25 of which are owned properties and 153 of which are leased properties. Of our facilities that are not CTCs, 91% of our beds are at owned properties and 9%</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6" w:name="page7"/>
    <w:bookmarkEnd w:id="6"/>
    <w:p>
      <w:pPr>
        <w:ind w:right="460"/>
        <w:spacing w:after="0" w:line="280" w:lineRule="auto"/>
        <w:rPr>
          <w:sz w:val="20"/>
          <w:szCs w:val="20"/>
          <w:color w:val="auto"/>
        </w:rPr>
      </w:pPr>
      <w:r>
        <w:rPr>
          <w:rFonts w:ascii="Times New Roman" w:cs="Times New Roman" w:eastAsia="Times New Roman" w:hAnsi="Times New Roman"/>
          <w:sz w:val="18"/>
          <w:szCs w:val="18"/>
          <w:color w:val="auto"/>
        </w:rPr>
        <w:t>are at leased properties. For the years ended December 31, 2025 and 2024, our operations generated revenue of $3,312.8 million and $3,154.0 million, respectively.</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Acute Inpatient Psychiatric Facilities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Acute inpatient psychiatric facilities provide a high level of care in order to stabilize patients that are either a threat to themselves or to others. The acute setting provides 24-hour observation, daily intervention and monitoring by psychiatrists. Our facilities that offer acute care services provide evaluation and crisis stabilization of patients with severe psychiatric diagnoses through a medical delivery model that incorporates structured and intensive medical and behavioral therapies with 24-hour monitoring by a psychiatrist, psychiatric trained nurses, therapists and other direct care staff. Typical lengths of stay for crisis stabilization and acute care range from three to five days and from five to twelve days, respectively.</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Specialty Treatment Facilities</w:t>
      </w:r>
    </w:p>
    <w:p>
      <w:pPr>
        <w:spacing w:after="0" w:line="119"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color w:val="auto"/>
        </w:rPr>
        <w:t>Our specialty treatment facilities primarily consist of residential recovery facilities. We provide a comprehensive continuum of care for adults with addictive disorders and co-occurring mental disorders. Our detoxification, inpatient, partial hospitalization and outpatient treatment programs are cost-effective and give patients access to the least restrictive level of care. All programs offer individualized treatment in a supportive and nurturing environment.</w:t>
      </w:r>
    </w:p>
    <w:p>
      <w:pPr>
        <w:spacing w:after="0" w:line="7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majority of our specialty treatment services are provided to patients who abuse addictive substances such as alcohol, illicit drugs or opiates, including prescription drugs. Some of our facilities also treat other addictions and behavioral disorders such as chronic pain, sexual compulsivity, compulsive gambling, mood disorders, emotional trauma and abuse. The goal of our treatment facilities is to provide the appropriate level of treatment to an individual no matter where they are in the lifecycle of their disease in order to restore the individual to a healthier, more productive life, free from dependence on illicit substances and destructive behaviors. Our treatment facilities provide a number of different treatment services such as assessment, detoxification, medication-assisted treatment, counseling, education, lectures and group therapy. We assess and evaluate the medical, psychological and emotional needs of the patient and address these needs in the treatment process. Following this assessment, an individualized treatment program is designed to provide a foundation for a lifelong recovery process. Many modalities are used in our treatment programs to support the individual, including the twelve-step philosophy, cognitive/behavioral therapies, supportive therapies and continuing care.</w:t>
      </w:r>
    </w:p>
    <w:p>
      <w:pPr>
        <w:spacing w:after="0" w:line="1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residential recovery facilities house and care for patients over an extended period and typically treat patients from a broadly defined regional market. We provide three basic levels of residential treatment depending on the severity of the patient’s addiction and/or behavioral disorder. Patients with the most severe dependencies are typically placed into inpatient treatment, in which the patient resides at a treatment facility. If a patient’s condition is less severe, he or she will be offered day treatment, which allows the patient to return home in the evening. The least intensive service is where the patient visits the facility for just a few hours per week to attend counseling/group sessions.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Following primary treatment, our extended care programs typically offer residential care, which allows patients to develop healthy and appropriate living skills while remaining in a safe and nurturing setting. Patients are supported in their recovery by a semi-structured living environment that allows them to begin the process of employment or to pursue educational goals and to take personal responsibility for their recovery. The structure of this treatment phase is monitored by a primary therapist who works with each patient to integrate recovery skills and build a foundation of sobriety with a strong support system. Length of stay will vary depending on the patient’s needs.</w:t>
      </w:r>
    </w:p>
    <w:p>
      <w:pPr>
        <w:spacing w:after="0" w:line="79" w:lineRule="exact"/>
        <w:rPr>
          <w:sz w:val="20"/>
          <w:szCs w:val="20"/>
          <w:color w:val="auto"/>
        </w:rPr>
      </w:pPr>
    </w:p>
    <w:p>
      <w:pPr>
        <w:ind w:right="160" w:firstLine="509"/>
        <w:spacing w:after="0" w:line="280" w:lineRule="auto"/>
        <w:rPr>
          <w:sz w:val="20"/>
          <w:szCs w:val="20"/>
          <w:color w:val="auto"/>
        </w:rPr>
      </w:pPr>
      <w:r>
        <w:rPr>
          <w:rFonts w:ascii="Times New Roman" w:cs="Times New Roman" w:eastAsia="Times New Roman" w:hAnsi="Times New Roman"/>
          <w:sz w:val="18"/>
          <w:szCs w:val="18"/>
          <w:color w:val="auto"/>
        </w:rPr>
        <w:t>Our outpatient clinics serve patients that do not require inpatient treatment or are transitioning from an acute treatment program; have employment, family or school commitments; and have stabilized in their recovery practices and are seeking ongoing continuing care.</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Treatment Centers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CTCs specialize in providing medication-assisted treatment in an outpatient setting. Medication-assisted treatment combines behavioral therapy and medication to treat substance use disorders. CTCs primarily utilize medication-assisted treatment to individuals addicted to opiates such as opioid analgesics (prescription pain medications). Our professional staff can provide a broad range of patient services, including personalized treatment plans, medication management, medication dispensing, individual therapy, group therapy, peer support, vocational training and social support services. Medication is used to normalize brain chemistry to block the euphoric effects of opioids allowing our professional staff to provide behavioral therapy. The length of treatment differs from patient to patient, but typically lasts longer than one year.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Residential Treatment Centers</w:t>
      </w:r>
    </w:p>
    <w:p>
      <w:pPr>
        <w:spacing w:after="0" w:line="119"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Residential treatment centers treat patients with behavioral disorders in a non-hospital setting. The facilities balance therapy activities with social, academic and other activities. Because the setting is less intensive, demands on staffing, security and oversight are generally lower than inpatient psychiatric facilities. Over time, however, residential treatment centers have continued to serve increasingly severe patients who would have been treated in acute care facilities in earlier years.</w:t>
      </w:r>
    </w:p>
    <w:p>
      <w:pPr>
        <w:spacing w:after="0" w:line="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provide residential treatment care through a medical model residential treatment facility, which offers intensive, medically-driven interventions and individualized treatment regimens designed to deal with moderate to high level patient acuity. Children and adolescents admitted to these facilities typically have had multiple prior failed treatment plans, severe physical, sexual and emotional abuse, termination of parental custody, substance abuse, marked deficiencies in social, interpersonal and academic skills and a wide range of psychiatric disorders. Treatment typically is provided by an interdisciplinary team coordinating psychopharmacological, individual, group and family therapy, along with specialized accredited educational programs in both secure and unlocked environments. Lengths of stay range from three months to several years.</w:t>
      </w:r>
    </w:p>
    <w:p>
      <w:pPr>
        <w:spacing w:after="0" w:line="7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Certain of our residential treatment centers provide group home and therapeutic group home programs. Our group home programs provide family-style living for youths in a single house or apartment within residential communities where 24-hour staff provide supervision and support. The goal of a group home program is to teach family living and social skills through individual and group counseling sessions within a real-life environment. The residents are encouraged to take responsibility for the home and their health as well as actively take part in community functions. Most attend an accredited and licensed on-premises school or a local public school. We also operate therapeutic group homes that provide comprehensive treatment services for seriously, emotionally disturbed adolescents. The ultimate goal is to reunite or place these children with their families or prepare them, when appropriate, for permanent placement with a relative or an adoptive family.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19" w:lineRule="exact"/>
        <w:rPr>
          <w:sz w:val="20"/>
          <w:szCs w:val="20"/>
          <w:color w:val="auto"/>
        </w:rPr>
      </w:pPr>
    </w:p>
    <w:p>
      <w:pPr>
        <w:jc w:val="both"/>
        <w:ind w:right="40" w:firstLine="554"/>
        <w:spacing w:after="0" w:line="268" w:lineRule="auto"/>
        <w:rPr>
          <w:sz w:val="20"/>
          <w:szCs w:val="20"/>
          <w:color w:val="auto"/>
        </w:rPr>
      </w:pPr>
      <w:r>
        <w:rPr>
          <w:rFonts w:ascii="Times New Roman" w:cs="Times New Roman" w:eastAsia="Times New Roman" w:hAnsi="Times New Roman"/>
          <w:sz w:val="17"/>
          <w:szCs w:val="17"/>
          <w:color w:val="auto"/>
        </w:rPr>
        <w:t>As of December 31, 2025, we received payments from the following sources for services rendered in our facilities: (i) state governments under their respective Medicaid and other programs; (ii) commercial insurers; (iii) the federal government under the Medicare program administered by CMS and other programs; and (iv) individual patients and clients.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See “Item 7.</w:t>
      </w:r>
    </w:p>
    <w:p>
      <w:pPr>
        <w:spacing w:after="0" w:line="2"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 Critical Accounting Policies — Revenue and Accounts Receivable” for additional disclosure. Other information related to our revenue, income and other operating information is provided in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healthcare industry is subject to numerous laws, regulations and rules including, among others, those related to government healthcare program participation requirements, various licensure and accreditation standards, reimbursement for patient services from government healthcare programs and private payors, health information privacy and security rules, and government healthcare program fraud and abuse provisions. Providers that are found to have violated any of these laws and regulations may be suspended, terminated or excluded from participating in government healthcare programs, subjected to loss or limitation of licenses to operate, subjected to significant fines or penalties, subjected to corporate integrity agreements, deferred prosecution agreements, or other agreements that could subject providers to ongoing compliance obligations, and/or required to repay amounts received from the government for previously billed patient services.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Licensing, Certification and Accreditation</w:t>
      </w:r>
    </w:p>
    <w:p>
      <w:pPr>
        <w:spacing w:after="0" w:line="11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All of our facilities must comply with various federal, state and local licensing and certification regulations and undergo periodic inspection by licensing agencies to certify compliance with such regulations. The initial and continued licensure of our facilities and certification to participate in government healthcare programs depends upon many factors including various state licensure regulations relating to quality of care, environment of care, equipment, services, staff training, personnel and the existence of adequate policies, procedures and controls. Federal, state and local agencies survey our facilities on a regular basis to determine whether the facilities are in compliance with regulatory operating and health standards and conditions for participating in government healthcare programs.</w:t>
      </w:r>
    </w:p>
    <w:p>
      <w:pPr>
        <w:spacing w:after="0" w:line="7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Most of our inpatient and residential facilities maintain accreditation from private entities, such as The Joint Commission or the Commission on Accreditation of Rehabilitation Facilities (“CARF”). The Joint Commission and CARF are private organizations that have accreditation programs for a broad spectrum of healthcare facilities. The Joint Commission accredits a broad variety of healthcare organizations, including hospitals and behavioral healthcare organizations. CARF accredits behavioral healthcare organizations providing mental health and alcohol and drug use and addiction services, as well as opiate treatment programs, and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t>many other types of healthcare programs. These accreditation programs are intended generally to improve the quality, safety, outcomes and value of healthcare services provided by accredited facilities. Certain federal and state licensing agencies as well as many government and private healthcare payment programs require that providers be accredited as a condition of licensure, certification or participation. Accreditation is typically granted for a specified period, ranging from one to three years, and renewals of accreditation generally require completion of a renewal application and an on-site renewal survey.</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Certificates of Need</w:t>
      </w:r>
    </w:p>
    <w:p>
      <w:pPr>
        <w:spacing w:after="0" w:line="11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Many of the states in which we operate facilities have enacted certificate of need (“CON”) laws that regulate the construction or expansion of certain healthcare facilities, certain capital expenditures or changes in services or bed capacity. Failure to obtain CON approval of certain activities can result in: our inability to complete an acquisition, expansion or replacement; the imposition of civil penalties; the inability to receive Medicare or Medicaid reimbursement; or the revocation of a facility’s license, any of which could harm our business.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Audits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Our facilities are routinely subjected to claims audits in the ordinary course of business. While no such audit has identified any material overpayment liability, should a potential material overpayment liability arise from a future audit, such overpayment liability may ultimately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Anti-Kickback Statute, the Stark Law and the Eliminating Kickbacks in Recovery Act</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Anti-Kickback Statute prohibits healthcare providers and others from directly or indirectly soliciting, receiving, offering or paying any remuneration, in cash or in kind, as an inducement or reward for using, referring, ordering, recommending or arranging for referrals or orders of services or other items paid for by a government healthcare program. The Anti-Kickback Statute may be found to have been violated if at least one purpose of the remuneration is to induce or reward referrals. A provider is not required to have actual knowledge or specific intent to commit a violation of the Anti-Kickback Statute to be found guilty of violating the law.</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Office of Inspector General of the HHS (the “OIG”) has issued safe harbor regulations that protect certain types of common arrangements from prosecution or sanction under the Anti-Kickback Statute. The fact that conduct or a business arrangement does not fall within a safe harbor does not automatically render the conduct or business arrangement illegal under the Anti-Kickback Statute. However, conduct and business arrangements falling outside the safe harbors may lead to increased scrutiny by government enforcement authorities. In December of 2020, the OIG finalized revisions to the Anti-Kickback Statute safe harbors and created new safe harbors for value-based care that became effective January 19, 2021. The new regulations are intended to improve patient care and foster innovative care models by easing regulatory burdens to coordinated and value-based care.</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management believes that our arrangements with physicians and other referral sources comply with current law and available interpretative guidance, as a practical matter it is not always possible to structure our arrangements so as to fall squarely within an available safe harbor. Where that is the case, we cannot guarantee that applicable regulatory authorities will determine these financial arrangements do not violate the Anti-Kickback Statute or other applicable laws, including state anti-kickback laws, although we do structure such arrangements to meet as many of the safe harbor requirements as possible.</w:t>
      </w:r>
    </w:p>
    <w:p>
      <w:pPr>
        <w:spacing w:after="0" w:line="79"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In addition to the Anti-Kickback Statute, the federal Physician Self-Referral Law, also known as the Stark Law, prohibits physicians from referring Medicare patients to healthcare entities with which they or any of their immediate family members have a financial relationship for the furnishing of any “designated health services” unless certain exceptions apply. A violation of the Stark Law may result in a denial of payment, required refunds to the Medicare program, the imposition of statutory civil monetary penalties of up to $15,000 for each prohibited claim and up to $100,000 for circumvention schemes, exclusion from government healthcare programs and liability under the False Claims Act. There are ownership and compensation arrangement exceptions for many customary financial arrangements between physicians and facilities, including the employment exception, personal services exception, lease exception and certain recruitment exceptions. As part of CMS’s “regulatory sprint to coordinated care”, CMS finalized revisions to the exceptions and created new exceptions for value-based care that became effective on January 19, 2021. As with the changes made to the Anti-Kickback Statute, the new Stark exceptions are intended to improve patient care and foster innovative care models by easing regulatory burdens to coordinated and value-based care.</w:t>
      </w:r>
    </w:p>
    <w:p>
      <w:pPr>
        <w:spacing w:after="0" w:line="70" w:lineRule="exact"/>
        <w:rPr>
          <w:sz w:val="20"/>
          <w:szCs w:val="20"/>
          <w:color w:val="auto"/>
        </w:rPr>
      </w:pPr>
    </w:p>
    <w:p>
      <w:pPr>
        <w:ind w:right="420" w:firstLine="509"/>
        <w:spacing w:after="0" w:line="264" w:lineRule="auto"/>
        <w:rPr>
          <w:sz w:val="20"/>
          <w:szCs w:val="20"/>
          <w:color w:val="auto"/>
        </w:rPr>
      </w:pPr>
      <w:r>
        <w:rPr>
          <w:rFonts w:ascii="Times New Roman" w:cs="Times New Roman" w:eastAsia="Times New Roman" w:hAnsi="Times New Roman"/>
          <w:sz w:val="18"/>
          <w:szCs w:val="18"/>
          <w:color w:val="auto"/>
        </w:rPr>
        <w:t>Management believes that our financial arrangements with physicians are structured to comply with the regulatory exceptions to the Stark Law. However, the Stark Law is a strict liability statute, meaning that no intent is required to violate the law, and even a technical violation may lead to significant penalties.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 not have the benefit of regulatory or judicial interpretation. It is possible that different interpretations or enforcement of these laws and regulations could subject our current or past practices to allegations of impropriety or illegality or could require us to make changes in our arrangements relating to facilities, equipment, personnel, services, capital expenditure programs and operating expenses. A determination that we have violated one or more of these laws, or the public announcement that we are being investigated for possible violations of one or more of these laws, could have a material adverse effect on our business, financial condition or results of operations. In addition, we cannot predict whether other federal or state legislation or regulations will be adopted, what form such legislation or regulations may take or what their impact on us may be.</w:t>
      </w:r>
    </w:p>
    <w:p>
      <w:pPr>
        <w:spacing w:after="0" w:line="79" w:lineRule="exact"/>
        <w:rPr>
          <w:sz w:val="20"/>
          <w:szCs w:val="20"/>
          <w:color w:val="auto"/>
        </w:rPr>
      </w:pPr>
    </w:p>
    <w:p>
      <w:pPr>
        <w:jc w:val="both"/>
        <w:ind w:right="240" w:firstLine="509"/>
        <w:spacing w:after="0" w:line="264" w:lineRule="auto"/>
        <w:rPr>
          <w:sz w:val="20"/>
          <w:szCs w:val="20"/>
          <w:color w:val="auto"/>
        </w:rPr>
      </w:pPr>
      <w:r>
        <w:rPr>
          <w:rFonts w:ascii="Times New Roman" w:cs="Times New Roman" w:eastAsia="Times New Roman" w:hAnsi="Times New Roman"/>
          <w:sz w:val="18"/>
          <w:szCs w:val="18"/>
          <w:color w:val="auto"/>
        </w:rPr>
        <w:t>The SUPPORT Act contains a number of provisions aimed at identifying at-risk individuals, increasing access to opioid abuse treatment, reducing overprescribing and promoting data sharing with the primary goal of reducing the use and abuse of opioids. Additionally, the SUPPORT Act attempts to address the problem of “patient brokering” in the context of addiction treatment facilities and sober living homes.</w:t>
      </w:r>
    </w:p>
    <w:p>
      <w:pPr>
        <w:spacing w:after="0" w:line="69"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One section of the SUPPORT Act, the Eliminating Kickbacks in Recovery Act (“EKRA”), makes it a federal crime to knowingly and willfully: (1) solicit or receive any remuneration in return for referring a patient to a recovery home, clinical treatment facility or laboratory; or (2) pay or offer any remuneration to induce such a referral or in exchange for an individual using the services of a recovery home, clinical treatment facility, or laboratory. Each conviction under EKRA is punishable by up to $200,000 in monetary damages, imprisonment for up to ten (10) years, or both. Unlike the Anti-Kickback Statute, EKRA is not limited to services reimbursable under a government healthcare program. EKRA also contains exceptions similar to the Anti-Kickback Statute safe harbors, but those exceptions are narrower than the Anti-Kickback Statute safe harbors such that practices that would be permissible under the Anti-Kickback Statute may violate EKRA.</w:t>
      </w:r>
    </w:p>
    <w:p>
      <w:pPr>
        <w:spacing w:after="0" w:line="7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EKRA or other applicable laws and regulations, we could be subjected to liabilities, including criminal penalties, civil penalties and exclusion of one or more facilities from participation in the government healthcare programs. The imposition of such penalties could have a material adverse effect on our business, financial condition or results of operations.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Federal False Claims Act and Other Fraud and Abuse Provisions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federal False Claims Act provides the government with a tool to pursue healthcare providers for submitting false claims or requests for payment for healthcare items or services. Under the False Claims Act, the government may fine any person or entity that, among other things, knowingly submits, or causes the submission of, false or fraudulent claims for payment to the federal government or knowingly and improperly avoids or decreases an obligation to pay money to the federal government. The federal government has widely used the False Claims Act to prosecute Medicare and other federal healthcare program fraud such as coding errors, billing for services not provided, submitting false cost reports and providing care that is not medically necessary or that is substandard in quality. Claims for services or items rendered in violation of the Anti-Kickback Statute or the Stark Law can provide a basis for liability under the False Claims Act as well. The False Claims Act is also implicated by the knowing failure to report and return an overpayment within 60 days of identifying the overpayment or by the date a corresponding cost report is due, whichever is later.</w:t>
      </w:r>
    </w:p>
    <w:p>
      <w:pPr>
        <w:spacing w:after="0" w:line="8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Violations of the False Claims Act are punishable by significant penalties totaling $14,308 to $28,619 for each fraudulent claim plus three times the amount of damages sustained by the government. In addition, under the qui tam, or whistleblower, provisions of the False Claims Act, private parties may bring actions under the False Claims Act on behalf of the federal government. These private parties, known as relators, are entitled to share in any amounts recovered by the government, and, as a result, whistleblower lawsuits have increased significantly in recent years. Many states have similar false claims statutes that impose liability for the types of acts prohibited by the False Claims Act or that otherwise prohibit the submission of false or fraudulent claims to the state government or Medicaid program.</w:t>
      </w:r>
    </w:p>
    <w:p>
      <w:pPr>
        <w:spacing w:after="0" w:line="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False Claims Act, the federal government may use several criminal laws, such as the federal mail fraud, wire fraud or healthcare fraud statutes, to prosecute the submission of false or fraudulent claims for payment to the federal government. A determination that activities resulted in the submission of false claims could result in monetary liability, prison sentences, and/or exclusion from participation in any healthcare program funded in whole or in part by the U.S. government, including Medicare, Medicaid and TRICARE, as well as state healthcare programs. Any allegations or findings that we have violated the False Claims Act and criminal laws could have a material adverse impact on our reputation, business, results of operations, and financial condition.</w:t>
      </w:r>
    </w:p>
    <w:p>
      <w:pPr>
        <w:spacing w:after="0" w:line="7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Most states have also adopted generally applicable insurance fraud statutes and regulations that prohibit healthcare providers from submitting inaccurate, incorrect or misleading claims to private insurance companies. Management believes our healthcare facilities have implemented appropriate safeguards and procedures to complete claim forms and requests for payment in an accurate manner and to operate in compliance with applicable laws. However, the possibility of billing or other errors can never be completely eliminated, and we cannot guarantee that the government or a qui tam plaintiff, upon audit or review, would not take the position that billing, the quality of patient care or other deficiencies or errors, should they occur, are violations of the False Claims Act or other criminal laws.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HIPAA and Other Privacy Regulations</w:t>
      </w:r>
    </w:p>
    <w:p>
      <w:pPr>
        <w:spacing w:after="0" w:line="119"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The administrative simplification provisions of the Health Insurance Portability and Accountability Act (“HIPAA”), as amended by the Health Information Technology for Economic and Clinical Health Act (“HITECH”), require the use of uniform electronic data transmission standards for healthcare claims and payment transactions submitted or received electronically. These provisions are intended to encourage electronic commerce in the healthcare industry. HIPAA also established federal rules protecting the privacy and security of individually identifiable protected health information (“PHI”). 42 C.F.R. Part 2 (“Part 2”) is similar to HIPAA but provides stricter, specific confidentiality for substance use disorder records (“SUD Records”). These privacy and security regulations control the use and disclosure of PHI and SUD Records and the rights of patients to be informed about and control how such PHI and SUD Records will be used and disclosed. Violations of HIPAA and Part 2 can result in both criminal and civil fines and penalties. On August 25, 2025, the HHS delegated authority to the Federal HHS Office of Civil Rights (“OCR”) to enforce Part 2 compliance similar to HIPAA. As a result, the OCR may investigate potential Part 2 violations, make determinations regarding enforcement actions and impose civil monetary penalties for non-compliance.</w:t>
      </w:r>
    </w:p>
    <w:p>
      <w:pPr>
        <w:spacing w:after="0" w:line="84"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7"/>
          <w:szCs w:val="17"/>
          <w:color w:val="auto"/>
        </w:rPr>
        <w:t>HIPAA and Part 2 require healthcare providers to implement security measures for protecting PHI and SUD Records. The HIPAA security regulations specifically require healthcare providers to implement administrative, physical and technical safeguards to protect the confidentiality, integrity and availability of PHI. HITECH has strengthened certain HIPAA rules regarding the use and disclosure of PHI, extended certain HIPAA provisions to business associates and created security breach notification requirements including notifications to the individuals affected by the breach, the HHS, and in certain cases, the media. HITECH has also increased maximum penalties for violations of HIPAA privacy rules. Part 2 providers are similarly subject to HITECH rules related to breach notifications and enforcement penalties. Management believes that we have been in material compliance with HIPAA and Part 2 regulations and have developed our policies and procedures to ensure ongoing compliance, although we cannot guarantee that our facilities will not be subject to security incidents or breaches which could have a material adverse effect on our business, financial condition or results of operations.</w:t>
      </w:r>
    </w:p>
    <w:p>
      <w:pPr>
        <w:spacing w:after="0" w:line="68"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Moreover, in response to the increasing number of cyberattacks targeting the healthcare sector, the HHS issued a Notice of Proposed Rulemaking on January 6, 2025, aimed at enhancing HIPAA security regulations. Should these proposed regulatory changes be enacted, our facilities will need to comply with the new security standards, potentially incurring significant costs associated with compliance. The OCR has included a review of the proposed changes in its official regulatory update for May 2026.</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Emergency Medical Treatment &amp; Labor Act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Emergency Medical Treatment &amp; Labor Act (“EMTALA”) is intended to ensure public access to emergency services regardless of ability to pay. Section 1867 of the Social Security Act imposes specific obligations on Medicare-participating hospitals that offer emergency services to provide a medical screening examination when a request is made for examination or treatment for an emergency medical condition regardless of an individual’s ability to pay. Hospitals are then required to provide stabilizing treatment for patients with emergency medical conditions. If a hospital is unable to stabilize a patient within its capability, or if the patient requests, an appropriate transfer must be implemented. EMTALA imposes additional obligations on hospitals with specialized capabilities, such as ours, to accept the transfer of patients in need of such specialized capabilities if those patients present in the emergency room of a hospital that does not possess the specialized capabilities.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Mental Health Parity Legislation</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MHPAEA was signed into law in October 2008 and requires health insurance plans that offer mental health and addiction coverage to provide that coverage on par with financial and treatment coverage offered for other illnesses. The MHPAEA has some limitations because health plans that do not already cover mental health treatments are not required to do so, and health plans are not required to provide coverage for every mental health condition published in the Diagnostic and Statistical Manual of Mental Disorders by the American Psychiatric Association. The MHPAEA also contains a cost exemption which operates to exempt a group health plan from the MHPAEA’s requirements if compliance with the MHPAEA becomes too costly.</w:t>
      </w:r>
    </w:p>
    <w:p>
      <w:pPr>
        <w:spacing w:after="0" w:line="85" w:lineRule="exact"/>
        <w:rPr>
          <w:sz w:val="20"/>
          <w:szCs w:val="20"/>
          <w:color w:val="auto"/>
        </w:rPr>
      </w:pPr>
    </w:p>
    <w:p>
      <w:pPr>
        <w:ind w:right="180" w:firstLine="509"/>
        <w:spacing w:after="0" w:line="231" w:lineRule="auto"/>
        <w:rPr>
          <w:sz w:val="20"/>
          <w:szCs w:val="20"/>
          <w:color w:val="auto"/>
        </w:rPr>
      </w:pPr>
      <w:r>
        <w:rPr>
          <w:rFonts w:ascii="Times New Roman" w:cs="Times New Roman" w:eastAsia="Times New Roman" w:hAnsi="Times New Roman"/>
          <w:sz w:val="18"/>
          <w:szCs w:val="18"/>
          <w:color w:val="auto"/>
        </w:rPr>
        <w:t>On December 13, 2016, President Obama signed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appropriated substantial resources for the treatment of behavioral healthcare and substance abuse disorders and contained measures intended to strengthen the MHPAEA.</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119"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On July 4, 2025, Congress passed the One Big Beautiful Bill Act (the “OBBBA”), its budget reconciliation act for fiscal year 2025. The OBBBA includes provisions that may impact our financial performance and may substantially modify certain state and federal statutes and regulations to which our operations are subject. The OBBBA provisions that may impact us have varying effective dates. We are unable to predict whether or how future legislation, rulemaking, or judicial action will impact implementation of the OBBBA. Of particular relevance to us, the OBBBA reduces the federal government’s overall Medicaid expenditures and tightens Medicaid eligibility requirements. The law limits eligibility for Medicaid by imposing work or community engagement requirements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1" w:name="page12"/>
    <w:bookmarkEnd w:id="11"/>
    <w:p>
      <w:pPr>
        <w:ind w:right="120"/>
        <w:spacing w:after="0" w:line="255" w:lineRule="auto"/>
        <w:rPr>
          <w:sz w:val="20"/>
          <w:szCs w:val="20"/>
          <w:color w:val="auto"/>
        </w:rPr>
      </w:pPr>
      <w:r>
        <w:rPr>
          <w:rFonts w:ascii="Times New Roman" w:cs="Times New Roman" w:eastAsia="Times New Roman" w:hAnsi="Times New Roman"/>
          <w:sz w:val="18"/>
          <w:szCs w:val="18"/>
          <w:color w:val="auto"/>
        </w:rPr>
        <w:t>for adults under 65 years old in Medicaid expansion states, including states with waiver-based expansions, subject to limited exceptions, and requires eligibility redeterminations at least every six months for the Medicaid expansion state population. The potential for mid-year loss of coverage increases financial uncertainty and may disrupt ongoing treatment services, complicate eligibility and coverage verification, prior authorization processes, and exposure to uncompensated care or bad debt on patient accounts. State compliance is required by December 31, 2026. We do not expect a material impact on our operations as these requirements begin to be phased in during 2026, primarily due to exemptions for the populations we serve, including individuals with chronic substance use disorders and those with serious and complex medical conditions.</w:t>
      </w:r>
    </w:p>
    <w:p>
      <w:pPr>
        <w:spacing w:after="0" w:line="78"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In addition, the OBBBA includes significant changes to Medicaid funding mechanisms by restricting federal matching funds received by state Medicaid programs. The law prohibits states from establishing new provider assessments or taxes, or increasing the rates of existing provider assessments, for state fiscal years beginning after October 1, 2026, while also limiting the structure and application of such assessments. Pursuant to the OBBBA, the HHS revised regulations governing state directed payment program arrangements to cap total payment rates paid by Medicaid managed care organizations for certain services at Medicare payment rates instead of average commercial rates and imposed lower caps in Medicaid expansion states, which impacts Medicaid payment rates for services rendered in our hospital facilities. The revised regulations apply to state directed payment programs established on or after July 4, 2025 unless the program meets certain grandfathering criteria. The OBBBA provides that payments under grandfathered programs will be reduced beginning January 1, 2028.</w:t>
      </w:r>
    </w:p>
    <w:p>
      <w:pPr>
        <w:spacing w:after="0" w:line="82" w:lineRule="exact"/>
        <w:rPr>
          <w:sz w:val="20"/>
          <w:szCs w:val="20"/>
          <w:color w:val="auto"/>
        </w:rPr>
      </w:pPr>
    </w:p>
    <w:p>
      <w:pPr>
        <w:ind w:right="380" w:firstLine="509"/>
        <w:spacing w:after="0" w:line="264" w:lineRule="auto"/>
        <w:rPr>
          <w:sz w:val="20"/>
          <w:szCs w:val="20"/>
          <w:color w:val="auto"/>
        </w:rPr>
      </w:pPr>
      <w:r>
        <w:rPr>
          <w:rFonts w:ascii="Times New Roman" w:cs="Times New Roman" w:eastAsia="Times New Roman" w:hAnsi="Times New Roman"/>
          <w:sz w:val="18"/>
          <w:szCs w:val="18"/>
          <w:color w:val="auto"/>
        </w:rPr>
        <w:t>Because our facilities rely in part on reimbursement from federal health care programs, including Medicaid, for the reimbursement of services rendered, these changes may have a negative impact on our financial performance. Ongoing budgetary uncertainties and continued efforts to reduce the federal deficit may result in further payment reductions to both Medicaid and Medicare programs.</w:t>
      </w:r>
    </w:p>
    <w:p>
      <w:pPr>
        <w:spacing w:after="0" w:line="6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In addition to changes made to federal healthcare programs, the OBBBA contains policy changes that have decreased the number of individuals who obtain health insurance from Affordable Care Act (“ACA”) marketplace exchanges. For example, the OBBBA effectively ends automatic renewals of coverage by requiring pre-enrollment verification of eligibility. In addition to ending automatic renewals of ACA plans, the OBBBA eliminates federal enhanced subsidies of ACA marketplace exchange-based plans, which has resulted in significant cost increases for ACA plans.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Expiration of Enhanced ACA Premium Tax Credits</w:t>
      </w:r>
    </w:p>
    <w:p>
      <w:pPr>
        <w:spacing w:after="0" w:line="119"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The affordability of marketplace health plans and the corresponding enrollment levels could impact our financial performance. The enhanced premium tax credits, originally enacted under the American Rescue Plan Act of 2021, expired on December 31, 2025. These subsidies had expanded eligibility for financial assistance to individuals with household incomes above 400% of the federal poverty line and increased the subsidy amounts for all eligible individuals. Since expiration of these subsidies, premiums for marketplace plans has increased for millions of enrollees beginning in 2026. There has been a significant reduction in enrollees for the marketplace 2026 plan year as a result. Higher premiums and loss of subsidized coverage may cause individuals to delay or forgo outpatient therapies, and step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levels of care, potentially reducing admissions and visits. Delays or disruption in care plans for uninsured or under-insured individuals could lead to an increase in emergency psychiatric care needs. This could result in an increase of uncompensated care for services rendered in our psychiatric hospital facilities, which are subject to EMTALA obligations.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CARES Act and Other Regulatory Matters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part of the Coronavirus Aid, Relief and Economic Security Act (the “CARES Act”), the U.S. government announced it would offer $100 billion of relief to eligible healthcare providers. We account for government grants by analogizing to the grant model in accordance with International Accounting Standard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and as such, have recognized income from grants in line with the recognition of expenses or the loss of revenues for which the grants are intended to compensate. We recognize grants once both of the following conditions are met: (i) we are able to comply with the relevant terms and conditions of the grant and (ii) the grant will be received.</w:t>
      </w:r>
    </w:p>
    <w:p>
      <w:pPr>
        <w:spacing w:after="0" w:line="79"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color w:val="auto"/>
        </w:rPr>
        <w:t>We have participated in certain relief programs offered through the CARES Act, including receipt of funds relating to the Public Health and Social Services Emergency Fund (“PHSSE Fund”), also known as the Provider Relief Fund, and the American Rescue Plan (“ARP”) Rural Payments for Hospitals. During the year ended December 31, 2023, we recorded $6.4 million of income from provider relief fund related to ARP funds received and repaid the remaining balance of ARP funds to eliminate the liability.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Healthcare providers were required to sign an attestation confirming receipt of the PHSSE Fund amounts and agree to the terms and conditions of payment. Under the terms and conditions for receipt of the payment, we were allowed to use the funds to cover lost revenues and healthcare costs related to the novel coronavirus known as COVID-19 (“COVID-19”), and we were required to properly and fully document the use of these funds to the HHS. The reporting of these funds is subject to future audit for compliance with such terms and conditions. We recognized PHSSE Fund amounts to the extent we had qualifying COVID-19 expenses or lost revenues as permitted under such terms and conditions.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healthcare industry in general continues to experience an increase in the frequency and severity of litigation and claims. As is typical in the healthcare industry, we are subject to claims that our services have resulted in injury to our patients or clients or other adverse effects. In addition, resident, visitor and employee injuries also subject us to the risk of litigation. While management believes that quality care is provided to patients and clients in our facilities and that we substantially comply with all applicable regulatory requirements, an adverse settlement determination in a legal proceeding or government investigation could have a material adverse effect on our business, financial condition or results of operations.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statutory workers’ compensation program is fully insured with a $0.5 million deductible per accident. A portion of our professional liability risks are insured through a wholly-owned insurance subsidiary providing coverage for up to $10.0 million per claim, $15.0 million for certain other claims and $25.0 million for certain batched claims through August 31, 2025 and $15.0 million per claim, and $25.0 million for certain batched claims thereafter. We have obtained reinsurance coverage from a third-party to cover claims in excess of those limits. The reinsurance policy has a coverage limit of $80.0 million or $75.0 million in the aggregate for certain other claims through August 31, 2025 and $75.0 million in the aggregate for claims thereafter, with exclusions for certain types of incidents. Our reinsurance receivables are recognized consistent with the related liabilities, and include known claims and any incurred but not reported claims that are covered by current insurance policies in place.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that: (i) regulate certain activities and operations that may have environmental or health and safety effects, such as the handling, storage, transportation, treatment and disposal of medical waste products generated at our facilities, the identification and warning of the presence of asbestos-containing materials in buildings, as well as the removal of such materials, the presence of other hazardous substances in the indoor environment and protection of the environment and natural resources in connection with the development or construction of our facilities; (ii) impose liability for costs of cleaning up, and damages to natural resources from, past spills, waste disposals on and off-site, or other releases of hazardous materials or regulated substances; and (iii) regulate workplace safety. Some of our facilities generate infectious or other hazardous medical waste due to the illness or physical condition of our patients. The management of infectious medical waste is subject to regulation under various federal, state and local environmental laws, which establish management requirements for such waste. These requirements include record-keeping, notice and reporting obligations. Each of our facilities has an agreement with a waste management company for the disposal of medical waste. The use of such companies, however, does not completely protect us from violations of medical waste laws or from related third-party claims for clean-up costs.</w:t>
      </w:r>
    </w:p>
    <w:p>
      <w:pPr>
        <w:spacing w:after="0" w:line="8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From time to time, our operations have resulted in, or may result in, non-compliance with, or liability pursuant to, environmental or health and safety laws or regulations. Management believes that our operations are generally in compliance with environmental and health and safety regulatory requirements, including legal requirements relating to climate change, or that any non-compliance will not result in a material liability or cost to achieve compliance. Historically, the costs of achieving and maintaining compliance with environmental laws and regulations at our facilities have not been material. However, we cannot assure you that future costs and expenses required for us to comply with any new or changes in existing environmental and health and safety laws and regulations or new or discovered environmental conditions will not have a material adverse effect on our business, financial condition or results of operations. In addition, we could be affected by climate change to the extent that climate change results in severe weather conditions or other disruptions impacting the communities in which our facilities are located. For more information regarding climate change and its possible adverse impact on us, see “Item 1A. Risk Factors — Operational Risks — Our business and operations are subject to risks related to natural disasters and climate change”.</w:t>
      </w:r>
    </w:p>
    <w:p>
      <w:pPr>
        <w:spacing w:after="0" w:line="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not been notified of and management is otherwise currently not aware of any contamination at our currently or formerly operated facilities that could result in material liability or cost to us under environmental laws or regulations for the investigation and remediation of such contamination, and we currently are not undertaking any remediation or investigation activities in connection with any such contamination conditions. There may, however, be environmental conditions currently unknown to us relating to our prior, existing or future sites or operations or those of predecessor companies whose liabilities we may have assumed or acquired which could have a material adverse effect on our business.</w:t>
      </w:r>
    </w:p>
    <w:p>
      <w:pPr>
        <w:spacing w:after="0" w:line="79"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8"/>
          <w:szCs w:val="18"/>
          <w:color w:val="auto"/>
        </w:rPr>
        <w:t>New laws, regulations or policies or changes in existing laws, regulations or policies or their enforcement, future spills or accidents or the discovery of currently unknown conditions or non-compliances may give rise to investigation and remediation liabilities, compliance costs, fines and penalties, or liability and claims for alleged personal injury or property damage due 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substances or materials used in our operations, any of which may have a material adverse effect on our business, financial condition or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healthcare industry is highly competitive. Our principal competitors include other behavioral healthcare service companies, such as Universal Health Services, Inc. (NYSE: UHS) and other acute inpatient psychiatric hospitals, other residential behavioral healthcare providers, other outpatient opioid treatment providers and general healthcare facilities that provide mental health services. An important part of our business strategy is to continue making targeted acquisitions of other behavioral healthcare facilities. However, the passage of mental healthcare parity legislation and increased demand for mental health services are likely to attract other potential buyers, including diversified healthcare companies, other pure-play behavioral healthcare companies and private equity firms.</w:t>
      </w:r>
    </w:p>
    <w:p>
      <w:pPr>
        <w:spacing w:after="0" w:line="7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competition we face for acquisitions, we must also compete for patients. Patients are referred to our behavioral healthcare facilities through a number of different sources, including healthcare practitioners, public programs, other treatment facilities, managed care organizations, unions, emergency departments, judicial officials, social workers, police departments and word of mouth from previously treated patients and their families, among others. These referral sources may instead refer patients to hospitals that are able to provide a full suite of medical services or to other behavioral healthcare centers.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9" w:lineRule="exact"/>
        <w:rPr>
          <w:sz w:val="20"/>
          <w:szCs w:val="20"/>
          <w:color w:val="auto"/>
        </w:rPr>
      </w:pPr>
    </w:p>
    <w:p>
      <w:pPr>
        <w:jc w:val="both"/>
        <w:ind w:right="120" w:firstLine="509"/>
        <w:spacing w:after="0" w:line="264" w:lineRule="auto"/>
        <w:rPr>
          <w:sz w:val="20"/>
          <w:szCs w:val="20"/>
          <w:color w:val="auto"/>
        </w:rPr>
      </w:pPr>
      <w:r>
        <w:rPr>
          <w:rFonts w:ascii="Times New Roman" w:cs="Times New Roman" w:eastAsia="Times New Roman" w:hAnsi="Times New Roman"/>
          <w:sz w:val="18"/>
          <w:szCs w:val="18"/>
          <w:color w:val="auto"/>
        </w:rPr>
        <w:t>At December 31, 2025, we had approximately 25,000 employees, of which approximately 19,000 were employed full-time. At December 31, 2025, we had one facility with a labor union, which represented approximately 130 of our full-time employees. Organizing activities by labor unions and certain potential changes in federal labor laws and regulations could increase the likelihood of employee unionization in the future.</w:t>
      </w:r>
    </w:p>
    <w:p>
      <w:pPr>
        <w:spacing w:after="0" w:line="69"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8"/>
          <w:szCs w:val="18"/>
          <w:color w:val="auto"/>
        </w:rPr>
        <w:t>Typically, our inpatient facilities are staffed by a chief executive officer, medical director, director of nursing, chief financial officer, clinical director and director of performance improvement. Psychiatrists and other physicians working in our facilities are licensed medical professionals who are generally not employed by us and work in our facilities as independent contractors or medical staff members.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 and Values</w:t>
      </w:r>
    </w:p>
    <w:p>
      <w:pPr>
        <w:spacing w:after="0" w:line="119"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8"/>
          <w:szCs w:val="18"/>
          <w:color w:val="auto"/>
        </w:rPr>
        <w:t>We are committed to maintaining a welcoming and inclusive environment that treats everyone with dignity and respect. Approximately 74% of our employees are women and approximately 51% are people of color. We have policies that strictly prohibit any discrimination on the basis of race, color, national origin, age, religion, disability, gender, marital status, veteran status or any other basis prohibited by federal, state or local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Acquisition, Development and Retention</w:t>
      </w:r>
    </w:p>
    <w:p>
      <w:pPr>
        <w:spacing w:after="0" w:line="119"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Our success is dependent on our ability to attract, develop and retain talented, dedicated employees. We are committed to being an employer of choice and offer a compelling total rewards program. In addition to base salaries, we offer our employees a full spectrum of benefits, including medical, dental, vision and disability plans, health savings and flexible spending accounts, a 401(k) retirement savings plan that includes a matching contribution, paid time off and employee assistance programs. We also conduct comprehensive employee satisfaction surveys to assess and ensure that we are responsive to the desires and concerns of our employees.</w:t>
      </w:r>
    </w:p>
    <w:p>
      <w:pPr>
        <w:spacing w:after="0" w:line="7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Like most healthcare providers, our facilities have experienced rising labor costs and turnover, and we have resorted to using more expensive contract labor at certain of our facilities. In some markets, the availability and retention of qualified medical personnel have become significant operating issues to healthcare providers, including at certain of our facilities. Shortages of nurses, qualified addiction counselors and other medical and care support personnel could result in a number of adverse impacts to our business, including capacity and growth constraints, reduced patient satisfaction, reduced employee satisfaction, impact on services offered, and increased costs, among others. For more information regarding risks of rising labor costs and its possible adverse impact on us, see “Item 1A. Risk Factors — Human Capital Risks — Our facilities face competition for staffing, labor shortages and higher turnover rates that may increase our labor costs and reduce our profitability”.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19" w:lineRule="exact"/>
        <w:rPr>
          <w:sz w:val="20"/>
          <w:szCs w:val="20"/>
          <w:color w:val="auto"/>
        </w:rPr>
      </w:pPr>
    </w:p>
    <w:p>
      <w:pPr>
        <w:ind w:right="80" w:firstLine="469"/>
        <w:spacing w:after="0" w:line="310" w:lineRule="auto"/>
        <w:rPr>
          <w:sz w:val="20"/>
          <w:szCs w:val="20"/>
          <w:color w:val="auto"/>
        </w:rPr>
      </w:pPr>
      <w:r>
        <w:rPr>
          <w:rFonts w:ascii="Times New Roman" w:cs="Times New Roman" w:eastAsia="Times New Roman" w:hAnsi="Times New Roman"/>
          <w:sz w:val="17"/>
          <w:szCs w:val="17"/>
          <w:color w:val="auto"/>
        </w:rPr>
        <w:t>We are committed to providing care to our patients in a safe, therapeutic environment. In furtherance of this commitment, we provide our employees with access to a variety of workplace safety training programs and continually evaluate our policies promoting patient safety and employee wellbeing.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Seasonality of Demand for Services</w:t>
      </w:r>
    </w:p>
    <w:p>
      <w:pPr>
        <w:spacing w:after="0" w:line="11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8"/>
          <w:szCs w:val="18"/>
          <w:color w:val="auto"/>
        </w:rPr>
        <w:t>Our residential recovery and other inpatient facilities typically experience lower patient volumes and revenue during the holidays, and our child and adolescent facilities typically experience lower patient volumes and revenue during the summer months, holidays and other periods when school is out of session.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Internet website address is www.acadiahealthcare.com. We make available our annual reports on Form 10-K, quarterly reports on Form 10-Q, current reports on Form 8-K and all amendments to those reports free of charge on our website on the “Investors” webpage under the caption “SEC Filings” as soon as reasonably practicable after such material is electronically filed with, or furnished to, the United States Securities and Exchange Commission (the “SEC”). The SEC maintains an internet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which contains reports, proxy and information statements, and other information we file. Except as expressly incorporated by reference herein, information contained on or accessible through our website does not constitute a part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7" w:lineRule="exact"/>
        <w:rPr>
          <w:sz w:val="20"/>
          <w:szCs w:val="20"/>
          <w:color w:val="auto"/>
        </w:rPr>
      </w:pPr>
    </w:p>
    <w:p>
      <w:pPr>
        <w:ind w:right="340" w:firstLine="569"/>
        <w:spacing w:after="0" w:line="264"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financial risks, operational risks, human capital risks, legal proceedings and regulatory risks and certain general risks, which could have a material adverse effect on our business, financial condition, results of operations and cash flows. Risks that we deem material are described under “Risk Factors” below and include, but are not limited to, the following:</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 and Regulatory Risks</w:t>
      </w:r>
    </w:p>
    <w:p>
      <w:pPr>
        <w:spacing w:after="0" w:line="119" w:lineRule="exact"/>
        <w:rPr>
          <w:sz w:val="20"/>
          <w:szCs w:val="20"/>
          <w:color w:val="auto"/>
        </w:rPr>
      </w:pPr>
    </w:p>
    <w:p>
      <w:pPr>
        <w:ind w:left="1140" w:hanging="384"/>
        <w:spacing w:after="0" w:line="280"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in the future could become the subject of governmental investigations, regulatory actions, whistleblower lawsuits and other legal proceedings.</w:t>
      </w:r>
    </w:p>
    <w:p>
      <w:pPr>
        <w:spacing w:after="0" w:line="54" w:lineRule="exact"/>
        <w:rPr>
          <w:rFonts w:ascii="Times New Roman" w:cs="Times New Roman" w:eastAsia="Times New Roman" w:hAnsi="Times New Roman"/>
          <w:sz w:val="18"/>
          <w:szCs w:val="18"/>
          <w:color w:val="auto"/>
        </w:rPr>
      </w:pPr>
    </w:p>
    <w:p>
      <w:pPr>
        <w:ind w:left="1140" w:right="240" w:hanging="384"/>
        <w:spacing w:after="0" w:line="280"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in the future may become involved in legal proceedings based on negligence or breach of a contractual or statutory duty from service users or their family members or from employees or former employees.</w:t>
      </w:r>
    </w:p>
    <w:p>
      <w:pPr>
        <w:spacing w:after="0" w:line="54" w:lineRule="exact"/>
        <w:rPr>
          <w:rFonts w:ascii="Times New Roman" w:cs="Times New Roman" w:eastAsia="Times New Roman" w:hAnsi="Times New Roman"/>
          <w:sz w:val="18"/>
          <w:szCs w:val="18"/>
          <w:color w:val="auto"/>
        </w:rPr>
      </w:pPr>
    </w:p>
    <w:p>
      <w:pPr>
        <w:ind w:left="1140" w:hanging="384"/>
        <w:spacing w:after="0" w:line="280"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extensive laws and government regulations, we could suffer penalties or be required to make significant changes to our operations.</w:t>
      </w:r>
    </w:p>
    <w:p>
      <w:pPr>
        <w:spacing w:after="0" w:line="54" w:lineRule="exact"/>
        <w:rPr>
          <w:rFonts w:ascii="Times New Roman" w:cs="Times New Roman" w:eastAsia="Times New Roman" w:hAnsi="Times New Roman"/>
          <w:sz w:val="18"/>
          <w:szCs w:val="18"/>
          <w:color w:val="auto"/>
        </w:rPr>
      </w:pPr>
    </w:p>
    <w:p>
      <w:pPr>
        <w:ind w:left="1140" w:right="240" w:hanging="384"/>
        <w:spacing w:after="0" w:line="280"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risks associated with, or arising out of changing laws and regulations, including those involving environmental, health and safety laws and regulations.</w:t>
      </w:r>
    </w:p>
    <w:p>
      <w:pPr>
        <w:spacing w:after="0" w:line="54" w:lineRule="exact"/>
        <w:rPr>
          <w:rFonts w:ascii="Times New Roman" w:cs="Times New Roman" w:eastAsia="Times New Roman" w:hAnsi="Times New Roman"/>
          <w:sz w:val="18"/>
          <w:szCs w:val="18"/>
          <w:color w:val="auto"/>
        </w:rPr>
      </w:pPr>
    </w:p>
    <w:p>
      <w:pPr>
        <w:ind w:left="1140" w:right="460" w:hanging="384"/>
        <w:spacing w:after="0" w:line="264"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investors and their actions threatened or commenced against us could cause us to incur substantial costs, divert management’s attention and resources, cause uncertainty about the strategic direction of our business and adversely impact our business, financial condition, results of operations and stock price.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9" w:lineRule="exact"/>
        <w:rPr>
          <w:sz w:val="20"/>
          <w:szCs w:val="20"/>
          <w:color w:val="auto"/>
        </w:rPr>
      </w:pPr>
    </w:p>
    <w:p>
      <w:pPr>
        <w:ind w:left="1140" w:hanging="3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results of operations are significantly affected by payments received from the government and third-party payors.</w:t>
      </w:r>
    </w:p>
    <w:p>
      <w:pPr>
        <w:spacing w:after="0" w:line="115"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could adversely affect our financial health and prevent us from fulfilling our obligations under our financing arrangements.</w:t>
      </w:r>
    </w:p>
    <w:p>
      <w:pPr>
        <w:spacing w:after="0" w:line="115" w:lineRule="exact"/>
        <w:rPr>
          <w:rFonts w:ascii="Times New Roman" w:cs="Times New Roman" w:eastAsia="Times New Roman" w:hAnsi="Times New Roman"/>
          <w:sz w:val="18"/>
          <w:szCs w:val="18"/>
          <w:color w:val="auto"/>
        </w:rPr>
      </w:pPr>
    </w:p>
    <w:p>
      <w:pPr>
        <w:ind w:left="1140" w:right="80" w:hanging="384"/>
        <w:spacing w:after="0" w:line="28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Our ability to generate sufficient cash to service our debt depends on many factors beyond our control.</w:t>
      </w:r>
    </w:p>
    <w:p>
      <w:pPr>
        <w:spacing w:after="0" w:line="54"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restrictive covenants, which may restrict our business and financing activities.</w:t>
      </w:r>
    </w:p>
    <w:p>
      <w:pPr>
        <w:spacing w:after="0" w:line="115" w:lineRule="exact"/>
        <w:rPr>
          <w:rFonts w:ascii="Times New Roman" w:cs="Times New Roman" w:eastAsia="Times New Roman" w:hAnsi="Times New Roman"/>
          <w:sz w:val="18"/>
          <w:szCs w:val="18"/>
          <w:color w:val="auto"/>
        </w:rPr>
      </w:pPr>
    </w:p>
    <w:p>
      <w:pPr>
        <w:ind w:left="1140" w:right="40" w:hanging="384"/>
        <w:spacing w:after="0" w:line="28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current debt level, we may incur significant additional amounts of debt, which could further exacerbate the risks associated with our debt.</w:t>
      </w:r>
    </w:p>
    <w:p>
      <w:pPr>
        <w:spacing w:after="0" w:line="54"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default on our obligations to pay our debt, we may not be able to make payments on our financing arrangements.</w:t>
      </w:r>
    </w:p>
    <w:p>
      <w:pPr>
        <w:spacing w:after="0" w:line="115" w:lineRule="exact"/>
        <w:rPr>
          <w:rFonts w:ascii="Times New Roman" w:cs="Times New Roman" w:eastAsia="Times New Roman" w:hAnsi="Times New Roman"/>
          <w:sz w:val="18"/>
          <w:szCs w:val="18"/>
          <w:color w:val="auto"/>
        </w:rPr>
      </w:pPr>
    </w:p>
    <w:p>
      <w:pPr>
        <w:ind w:left="1140" w:right="60" w:hanging="384"/>
        <w:spacing w:after="0" w:line="264"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volatility in the global capital and credit markets as well as significant developments in macroeconomic and political conditions that are out of our control, including any effects that a U.S. government shutdown, tariffs or trade disputes may have on financial markets and macroeconomic conditions.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5" w:name="page16"/>
    <w:bookmarkEnd w:id="15"/>
    <w:p>
      <w:pPr>
        <w:ind w:left="860" w:hanging="38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 may adversely impact our business, financial condition and results of operations.</w:t>
      </w:r>
    </w:p>
    <w:p>
      <w:pPr>
        <w:spacing w:after="0" w:line="115"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trend on value-based purchasing may negatively impact our revenue.</w:t>
      </w:r>
    </w:p>
    <w:p>
      <w:pPr>
        <w:spacing w:after="0" w:line="115" w:lineRule="exact"/>
        <w:rPr>
          <w:rFonts w:ascii="Times New Roman" w:cs="Times New Roman" w:eastAsia="Times New Roman" w:hAnsi="Times New Roman"/>
          <w:sz w:val="18"/>
          <w:szCs w:val="18"/>
          <w:color w:val="auto"/>
        </w:rPr>
      </w:pPr>
    </w:p>
    <w:p>
      <w:pPr>
        <w:ind w:left="860" w:right="460" w:hanging="384"/>
        <w:spacing w:after="0" w:line="28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by insurance companies and managed care organizations to enter into sole-source contracts may limit our ability to obtain patients.</w:t>
      </w:r>
    </w:p>
    <w:p>
      <w:pPr>
        <w:spacing w:after="0" w:line="54" w:lineRule="exact"/>
        <w:rPr>
          <w:rFonts w:ascii="Times New Roman" w:cs="Times New Roman" w:eastAsia="Times New Roman" w:hAnsi="Times New Roman"/>
          <w:sz w:val="18"/>
          <w:szCs w:val="18"/>
          <w:color w:val="auto"/>
        </w:rPr>
      </w:pPr>
    </w:p>
    <w:p>
      <w:pPr>
        <w:ind w:left="860" w:right="20" w:hanging="384"/>
        <w:spacing w:after="0" w:line="28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uninsured or underinsured patients, from healthcare policy changes or otherwise, or the deterioration in the collectability of patient accounts receivables could harm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19" w:lineRule="exact"/>
        <w:rPr>
          <w:sz w:val="20"/>
          <w:szCs w:val="20"/>
          <w:color w:val="auto"/>
        </w:rPr>
      </w:pPr>
    </w:p>
    <w:p>
      <w:pPr>
        <w:ind w:left="860" w:right="80" w:hanging="384"/>
        <w:spacing w:after="0" w:line="264"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involving one or more of our patients or the failure by one or more of our facilities to provide appropriate care could result in increased regulatory burdens, governmental investigations, litigation, negative publicity and adversely affect the trading price of our common stock.</w:t>
      </w:r>
    </w:p>
    <w:p>
      <w:pPr>
        <w:spacing w:after="0" w:line="69"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may use significant resources, may be unsuccessful and could expose us to unforeseen liabilities.</w:t>
      </w:r>
    </w:p>
    <w:p>
      <w:pPr>
        <w:spacing w:after="0" w:line="115"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and acquisition strategies expose us to a variety of operational and financial risks.</w:t>
      </w:r>
    </w:p>
    <w:p>
      <w:pPr>
        <w:spacing w:after="0" w:line="115" w:lineRule="exact"/>
        <w:rPr>
          <w:rFonts w:ascii="Times New Roman" w:cs="Times New Roman" w:eastAsia="Times New Roman" w:hAnsi="Times New Roman"/>
          <w:sz w:val="18"/>
          <w:szCs w:val="18"/>
          <w:color w:val="auto"/>
        </w:rPr>
      </w:pPr>
    </w:p>
    <w:p>
      <w:pPr>
        <w:ind w:left="860" w:right="280" w:hanging="384"/>
        <w:spacing w:after="0" w:line="280"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care for a large number of vulnerable individuals with complex needs and any care quality deficiencies could adversely impact our brand, reputation and ability to market our services effectively.</w:t>
      </w:r>
    </w:p>
    <w:p>
      <w:pPr>
        <w:spacing w:after="0" w:line="54"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disrupted if our information systems fail or if our databases are destroyed or damaged.</w:t>
      </w:r>
    </w:p>
    <w:p>
      <w:pPr>
        <w:spacing w:after="0" w:line="115" w:lineRule="exact"/>
        <w:rPr>
          <w:rFonts w:ascii="Times New Roman" w:cs="Times New Roman" w:eastAsia="Times New Roman" w:hAnsi="Times New Roman"/>
          <w:sz w:val="18"/>
          <w:szCs w:val="18"/>
          <w:color w:val="auto"/>
        </w:rPr>
      </w:pPr>
    </w:p>
    <w:p>
      <w:pPr>
        <w:ind w:left="860" w:right="320" w:hanging="384"/>
        <w:spacing w:after="0" w:line="280"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could have a material adverse impact on us, including substantial sanctions, fines, and damages and civil and criminal penalties under federal and state privacy laws, in addition to reputational harm and increased costs.</w:t>
      </w:r>
    </w:p>
    <w:p>
      <w:pPr>
        <w:spacing w:after="0" w:line="54" w:lineRule="exact"/>
        <w:rPr>
          <w:rFonts w:ascii="Times New Roman" w:cs="Times New Roman" w:eastAsia="Times New Roman" w:hAnsi="Times New Roman"/>
          <w:sz w:val="18"/>
          <w:szCs w:val="18"/>
          <w:color w:val="auto"/>
        </w:rPr>
      </w:pPr>
    </w:p>
    <w:p>
      <w:pPr>
        <w:ind w:left="860" w:hanging="384"/>
        <w:spacing w:after="0" w:line="280"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facilities in 40 states and Puerto Rico, we have substantial operations in Pennsylvania, California and Tennessee, which makes us especially sensitive to regulatory, economic, environmental and competitive conditions and changes in those states.</w:t>
      </w:r>
    </w:p>
    <w:p>
      <w:pPr>
        <w:spacing w:after="0" w:line="54"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are subject to risks related to natural disasters and climate change.</w:t>
      </w:r>
    </w:p>
    <w:p>
      <w:pPr>
        <w:spacing w:after="0" w:line="115" w:lineRule="exact"/>
        <w:rPr>
          <w:rFonts w:ascii="Times New Roman" w:cs="Times New Roman" w:eastAsia="Times New Roman" w:hAnsi="Times New Roman"/>
          <w:sz w:val="18"/>
          <w:szCs w:val="18"/>
          <w:color w:val="auto"/>
        </w:rPr>
      </w:pPr>
    </w:p>
    <w:p>
      <w:pPr>
        <w:ind w:left="860" w:right="480" w:hanging="384"/>
        <w:spacing w:after="0" w:line="280"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cultivate new or maintain established relationships with referral sources, our business, financial condition and results of operations could be adversely affected.</w:t>
      </w:r>
    </w:p>
    <w:p>
      <w:pPr>
        <w:spacing w:after="0" w:line="54"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competition may lead to declines in patient volumes.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119" w:lineRule="exact"/>
        <w:rPr>
          <w:sz w:val="20"/>
          <w:szCs w:val="20"/>
          <w:color w:val="auto"/>
        </w:rPr>
      </w:pPr>
    </w:p>
    <w:p>
      <w:pPr>
        <w:ind w:left="860" w:right="380" w:hanging="384"/>
        <w:spacing w:after="0" w:line="280"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facilities face competition for staffing, labor shortages and higher turnover rates that may increase our labor costs and reduce our profitability.</w:t>
      </w:r>
    </w:p>
    <w:p>
      <w:pPr>
        <w:spacing w:after="0" w:line="54" w:lineRule="exact"/>
        <w:rPr>
          <w:rFonts w:ascii="Times New Roman" w:cs="Times New Roman" w:eastAsia="Times New Roman" w:hAnsi="Times New Roman"/>
          <w:sz w:val="18"/>
          <w:szCs w:val="18"/>
          <w:color w:val="auto"/>
        </w:rPr>
      </w:pPr>
    </w:p>
    <w:p>
      <w:pPr>
        <w:ind w:left="860" w:right="180" w:hanging="384"/>
        <w:spacing w:after="0" w:line="280"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depends on our ability to recruit and retain quality psychiatrists and other physicians, and nurses, counselors and other medical support personnel.</w:t>
      </w:r>
    </w:p>
    <w:p>
      <w:pPr>
        <w:spacing w:after="0" w:line="54"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management personnel, and the failure to attract and retain one or more of our key executives,</w:t>
      </w:r>
    </w:p>
    <w:p>
      <w:pPr>
        <w:spacing w:after="0" w:line="26"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our Chief Executive Officer, or a significant portion of our local facility management personnel could harm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9" w:lineRule="exact"/>
        <w:rPr>
          <w:sz w:val="20"/>
          <w:szCs w:val="20"/>
          <w:color w:val="auto"/>
        </w:rPr>
      </w:pPr>
    </w:p>
    <w:p>
      <w:pPr>
        <w:ind w:left="860" w:right="400" w:hanging="384"/>
        <w:spacing w:after="0" w:line="280"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 Fluctuations in our operating results, quarter to quarter earnings and other factors, including factors outside of our control, may result in significant decreases in the price of our common stock.</w:t>
      </w:r>
    </w:p>
    <w:p>
      <w:pPr>
        <w:spacing w:after="0" w:line="54"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common stock by us or our existing stockholders may cause our stock price to fall.</w:t>
      </w:r>
    </w:p>
    <w:p>
      <w:pPr>
        <w:spacing w:after="0" w:line="115" w:lineRule="exact"/>
        <w:rPr>
          <w:rFonts w:ascii="Times New Roman" w:cs="Times New Roman" w:eastAsia="Times New Roman" w:hAnsi="Times New Roman"/>
          <w:sz w:val="18"/>
          <w:szCs w:val="18"/>
          <w:color w:val="auto"/>
        </w:rPr>
      </w:pPr>
    </w:p>
    <w:p>
      <w:pPr>
        <w:ind w:left="860" w:right="100" w:hanging="384"/>
        <w:spacing w:after="0" w:line="310" w:lineRule="auto"/>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reports about our business, if they were to change their recommendations regarding our stock adversely or if our operating results do not meet their expectations, our stock price and trading volume could decline.</w:t>
      </w:r>
    </w:p>
    <w:p>
      <w:pPr>
        <w:spacing w:after="0" w:line="32" w:lineRule="exact"/>
        <w:rPr>
          <w:rFonts w:ascii="Times New Roman" w:cs="Times New Roman" w:eastAsia="Times New Roman" w:hAnsi="Times New Roman"/>
          <w:sz w:val="17"/>
          <w:szCs w:val="17"/>
          <w:color w:val="auto"/>
        </w:rPr>
      </w:pPr>
    </w:p>
    <w:p>
      <w:pPr>
        <w:ind w:left="860" w:hanging="384"/>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substantial costs as a result of being a public company.</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481965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80"/>
          </w:cols>
          <w:pgMar w:left="600" w:top="1089"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Any of the following risks could materially and adversely affect our business, financial condition or results of operations. These risks should be carefully considered before making an investment decision regarding us. The risks and uncertainties described below are not the only ones we face and there may be additional risks that we are not presently aware of or that we currently consider not likely to have a significant impact. If any of the following risks actually occur, our business, financial condition and operating results could suffer, and the trading price of our common stock could decline.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Proceedings and Regulatory Risks</w:t>
      </w:r>
    </w:p>
    <w:p>
      <w:pPr>
        <w:spacing w:after="0" w:line="223"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could become the subject of governmental investigations, regulatory actions, whistleblower lawsuits and other legal proceedings.</w:t>
      </w:r>
    </w:p>
    <w:p>
      <w:pPr>
        <w:spacing w:after="0" w:line="5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Healthcare companies in the U.S. may be subject to investigations by various governmental agencies. The Company and certain of our individual facilities have received, and from time to time, other facilities may receive, subpoenas, civil investigative demands, audit reports and other inquiries from, and may be subject to investigation by, federal and state agencies and subject to whistleblower actions. See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Commitments and Contingencies in the accompanying notes to our consolidated financial statements of this Annual Report on Form 10-K for additional information about pending investigations. These investigations can result in repayment obligations, and violations of the False Claims Act, the Anti-Kickback Statute and other federal and state statutes can result in substantial monetary penalties and fines, the imposition of a corporate integrity agreement, loss of enrollment status, and exclusion from participation in governmental health programs, negative publicity and, in certain cases, criminal penalties. Responding to subpoenas, investigations and other lawsuits, claims and legal proceedings, as well as defending ourselves in and resolving such matters, has caused and will continue to cause us to incur significant costs, including legal expense and the diversion of management resources, which could have a material adverse effect on our business, financial condition and results of operations. In addition, governmental investigations, regulatory actions and other legal proceedings could result in us becoming the subject of negative publicity or unfavorable media attention, whether warranted or unwarranted, that could have a significant, adverse effect on the trading price of our common stock or adversely impact our reputation.</w:t>
      </w:r>
    </w:p>
    <w:p>
      <w:pPr>
        <w:spacing w:after="0" w:line="79"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color w:val="auto"/>
        </w:rPr>
        <w:t>Further, under the False Claims Act, private parties are permitted to bring qui tam or “whistleblower” lawsuits against companies that submit false claims for payments to, or improperly retain overpayments from, the government. Because qui tam lawsuits are filed under seal, we could be named in one or more such lawsuits of which we are not aware. We may also be subject to substantial reputational harm as a result of the public announcement of any investigation into such claims.</w:t>
      </w:r>
    </w:p>
    <w:p>
      <w:pPr>
        <w:spacing w:after="0" w:line="72"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Other than as described in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Commitments and Contingencies in the accompanying notes to our consolidated financial statements of this Annual Report on Form 10-K, we cannot predict the ultimate outcomes of the various legal proceedings and regulatory matters to which we are or may be subject from time to time, including those described in the aforementioned sections of this report, or the timing of their resolution or the ultimate losses or impact of developments in those matters, which could have a material adverse effect on our business, reputation, financial condition and results of operations.</w:t>
      </w:r>
    </w:p>
    <w:p>
      <w:pPr>
        <w:spacing w:after="0" w:line="18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become involved in legal proceedings based on negligence or breach of a contractual or statutory duty from service users or their family members or from employees or former employees.</w:t>
      </w:r>
    </w:p>
    <w:p>
      <w:pPr>
        <w:spacing w:after="0" w:line="5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been in the past and will continue in the future to be subject to complaints and claims from service users and their family members alleging professional negligence, medical malpractice or mistreatment. We are also subject to claims for unlawful detention from time to time when patients allege they should not have been detained under applicable laws and regulations or where the appropriate procedures were not correctly followed. Similarly, we have been in the past and will continue in the future to be subject to substantial claims from employees in respect of personal injuries sustained in the performance of their duties. Current or former employees may also make claims against us in relation to breaches of employment laws. There may also be safeguarding incidents at our facilities which, depending on the circumstances, may result in custodial sentences or other criminal sanctions for the member of staff involved.</w:t>
      </w:r>
    </w:p>
    <w:p>
      <w:pPr>
        <w:spacing w:after="0" w:line="7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For example, on July 7, 2023, in connection with one of the lawsuits in our Desert Hills Litigation (as described in more detail in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Commitments and Contingencies in the accompanying notes to our consolidated financial statements), a jury awarded the plaintiff compensatory damages of $80.0 million and punitive damages of $405.0 million. We subsequently paid an aggregate amount of $400.0 million in exchange for the release and discharge of all claims arising from, relating to, concerning or with respect to this lawsuit, as well as two other related cases. An additional lawsuit based on similar facts has been filed and we could incur substantial damage awards or settlements in connection with this lawsuit or any future claims.</w:t>
      </w:r>
    </w:p>
    <w:p>
      <w:pPr>
        <w:spacing w:after="0" w:line="76"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8"/>
          <w:szCs w:val="18"/>
          <w:color w:val="auto"/>
        </w:rPr>
        <w:t>The incurrence of substantial legal fees, damage awards or other fines as well as the potential impact on our brand or reputation as a result of being involved in any legal proceedings could have a material impact on our business, results of operations and financial condition.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7" w:name="page18"/>
    <w:bookmarkEnd w:id="17"/>
    <w:p>
      <w:pPr>
        <w:ind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carry a large self-insured retention and may be responsible for significant amounts not covered by insurance. In addition, our insurance may be inadequate, premiums may increase and, if there is a significant deterioration in our claims experience, insurance may not be available on acceptable terms.</w:t>
      </w:r>
    </w:p>
    <w:p>
      <w:pPr>
        <w:spacing w:after="0" w:line="66"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We have been in the past and will continue in the future to be subject to medical malpractice lawsuits and other legal actions in the ordinary course of business. Some of these actions, such as the Desert Hills Litigation, may involve large claims, as well as significant defense costs. We cannot predict the outcome of these lawsuits or the effect that findings in such lawsuits may have on us. We maintain liability insurance intended to cover service user, third-party and employee personal injury claims. Due to the structure of our insurance program under which we carry a large self-insured retention, there may be substantial claims in respect of which the liability for damages and costs falls to us before being met by any insurance underwriter. As was the case with the Desert Hills Litigation, there may also be claims in excess of our insurance coverage or claims which are not covered by our insurance due to other policy limitations or exclusions or where we have failed to comply with the terms of the policy. Furthermore, there can be no assurance that we will be able to obtain liability insurance coverage in the future on acceptable terms, or without substantial premium increases or at all, particularly if there is a deterioration in our claim experience history. A successful claim against us not covered by or in excess of our insurance coverage could have a material adverse effect on our business, results of operations and financial condition. In addition, our commercial insurance coverage for the period commencing in September 2025 contains less favorable terms than previous years, including coverage exclusions for incidents involving sexual molestation or abuse, higher premiums and potentially lower aggregate limitations.</w:t>
      </w:r>
    </w:p>
    <w:p>
      <w:pPr>
        <w:spacing w:after="0" w:line="183"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handle sensitive personal data which are protected by numerous U.S. laws in the ordinary course of business and any failure to maintain the confidentiality of such data could result in legal liability and reputational harm.</w:t>
      </w:r>
    </w:p>
    <w:p>
      <w:pPr>
        <w:spacing w:after="0" w:line="52" w:lineRule="exact"/>
        <w:rPr>
          <w:sz w:val="20"/>
          <w:szCs w:val="20"/>
          <w:color w:val="auto"/>
        </w:rPr>
      </w:pPr>
    </w:p>
    <w:p>
      <w:pPr>
        <w:ind w:right="100" w:firstLine="509"/>
        <w:spacing w:after="0" w:line="279" w:lineRule="auto"/>
        <w:rPr>
          <w:sz w:val="20"/>
          <w:szCs w:val="20"/>
          <w:color w:val="auto"/>
        </w:rPr>
      </w:pPr>
      <w:r>
        <w:rPr>
          <w:rFonts w:ascii="Times New Roman" w:cs="Times New Roman" w:eastAsia="Times New Roman" w:hAnsi="Times New Roman"/>
          <w:sz w:val="17"/>
          <w:szCs w:val="17"/>
          <w:color w:val="auto"/>
        </w:rPr>
        <w:t>We collect, process and store sensitive personal data as part of our business. In the event of a security breach, sensitive personal data could become public. We are currently not aware of any material incidences of potential data breach; however, there can be no assurance that such breaches will not arise in the future. Although we have in place policies and procedures to prevent such breaches, breaches could occur either as a result of a breach by our employees or as a result of a breach by a third-party to whom we have provided sensitive personal data. We could face liability under data protection laws.</w:t>
      </w:r>
    </w:p>
    <w:p>
      <w:pPr>
        <w:spacing w:after="0" w:line="58"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8"/>
          <w:szCs w:val="18"/>
          <w:color w:val="auto"/>
        </w:rPr>
        <w:t>Liability under data protection laws may result in sanctions, including substantial fines and/or compensation to those affected. Additionally, liability may cause us to suffer damage to our brand and reputation, which could have a material adverse effect on our business, results of operations and financial condition.</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extensive laws and government regulations, we could suffer penalties or be required to make significant changes to our operations.</w:t>
      </w:r>
    </w:p>
    <w:p>
      <w:pPr>
        <w:spacing w:after="0" w:line="5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Companies operating in the behavioral healthcare industry in the U.S. are required to comply with extensive and complex laws and regulations at the federal, state and local government levels relating to, among other things: billing practices and prices for services; relationships with physicians and other referral sources; necessity and quality of medical care; condition and adequacy of facilities; qualifications of medical and support personnel; confidentiality, privacy and security issues associated with health-related information and PHI; EMTALA compliance; handling of controlled substances; certification, licensure and accreditation of our facilities; operating policies and procedures; activities regarding competitors; state and local land use and zoning requirements; and addition or expansion of facilities and services.</w:t>
      </w:r>
    </w:p>
    <w:p>
      <w:pPr>
        <w:spacing w:after="0" w:line="7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Among the laws applicable to our operations are the federal Anti-Kickback Statute, the Stark Law, the federal False Claims Act, EKRA, and similar state laws. These laws impact the relationships that we may have with physicians and other potential referral sources. We have a variety of financial relationships with physicians and other professionals who refer patients to our facilities, including employment contracts, leases and professional service agreements. The OIG has issued certain safe harbor regulations that outline practices that are deemed acceptable under the Anti-Kickback Statute, and similar regulatory exceptions have been promulgated by CMS under the Stark Law. While we endeavor to ensure that our arrangements with referral sources comply with an applicable safe harbor to the Anti-Kickback Statute where possible, certain of our current arrangements with physicians and other potential referral sources may not qualify for such protection. Failure to meet a safe harbor does not mean that the arrangement automatically violates the Anti-Kickback Statute, but may subject the arrangement to greater scrutiny. Even if our arrangements are found to be in compliance with the Anti-Kickback Statute, they may still face scrutiny under EKRA. Moreover, while we believe that our arrangements with physicians comply with applicable Stark Law exceptions, the Stark Law is a strict liability statute for which no intent to violate the law is required.</w:t>
      </w:r>
    </w:p>
    <w:p>
      <w:pPr>
        <w:spacing w:after="0" w:line="8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Effective January 1, 2022, the No Surprises Act, enacted as part of the Consolidated Appropriations Act (the “CAA”), creates price transparency requirements, including (i) requiring providers to send to patients or their health plan a good faith estimate of the expected charges and diagnostic codes prior to furnishing scheduled items or services and (ii) prohibiting providers from charging patients an amount beyond the in-network cost sharing amount for services rendered by out-of-network providers, subject to limited exceptions. Additionally, the Health Care PRICE Transparency Act, and its corresponding regulations, require hospitals, including psychiatric hospitals, to publicly post their standard and shoppable price lists on their websites. Failure to comply with the hospital</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8" w:name="page19"/>
    <w:bookmarkEnd w:id="18"/>
    <w:p>
      <w:pPr>
        <w:ind w:right="160"/>
        <w:spacing w:after="0" w:line="264" w:lineRule="auto"/>
        <w:rPr>
          <w:sz w:val="20"/>
          <w:szCs w:val="20"/>
          <w:color w:val="auto"/>
        </w:rPr>
      </w:pPr>
      <w:r>
        <w:rPr>
          <w:rFonts w:ascii="Times New Roman" w:cs="Times New Roman" w:eastAsia="Times New Roman" w:hAnsi="Times New Roman"/>
          <w:sz w:val="18"/>
          <w:szCs w:val="18"/>
          <w:color w:val="auto"/>
        </w:rPr>
        <w:t>price transparency regulations may result in corrective action or civil monetary penalties. Price transparency initiatives like the No Surprises Act and the Health Care PRICE Transparency Act may impact our ability to obtain or maintain favorable contract terms, and may impact our competitive position and our relationships with patients and insurers.</w:t>
      </w:r>
    </w:p>
    <w:p>
      <w:pPr>
        <w:spacing w:after="0" w:line="6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 not have the benefit of regulatory or judicial interpretation. In the future, it is possible that different interpretations of these laws and regulations could subject our current or past practices to allegations of impropriety or illegality or could require us to make changes in our arrangements for facilities, equipment, personnel, services, capital expenditure programs and operating expenses. A determination that we have violated one or more of these laws could subject us to liabilities, including civil penalties, exclusion of one or more facilities from participation in the government healthcare programs and, for violations of certain laws and regulations, criminal penalties. Even the public announcement that we are being investigated for possible violations of these laws could cause our reputation to suffer and have a material adverse effect on our business, financial condition or results of operations. In addition, we cannot predict whether other similar legislation or regulations at the federal or state level will be adopted, what form such legislation or regulations may take or what their impact on us may be.</w:t>
      </w:r>
    </w:p>
    <w:p>
      <w:pPr>
        <w:spacing w:after="0" w:line="82" w:lineRule="exact"/>
        <w:rPr>
          <w:sz w:val="20"/>
          <w:szCs w:val="20"/>
          <w:color w:val="auto"/>
        </w:rPr>
      </w:pPr>
    </w:p>
    <w:p>
      <w:pPr>
        <w:jc w:val="both"/>
        <w:ind w:right="40" w:firstLine="509"/>
        <w:spacing w:after="0" w:line="279" w:lineRule="auto"/>
        <w:rPr>
          <w:sz w:val="20"/>
          <w:szCs w:val="20"/>
          <w:color w:val="auto"/>
        </w:rPr>
      </w:pPr>
      <w:r>
        <w:rPr>
          <w:rFonts w:ascii="Times New Roman" w:cs="Times New Roman" w:eastAsia="Times New Roman" w:hAnsi="Times New Roman"/>
          <w:sz w:val="17"/>
          <w:szCs w:val="17"/>
          <w:color w:val="auto"/>
        </w:rPr>
        <w:t>The construction and operation of healthcare facilities in the U.S. are subject to extensive federal, state and local regulation relating to, among other things, the adequacy of medical care, equipment, personnel, operating policies and procedures, fire prevention, rate-setting, compliance with building codes and environmental protection. Additionally, such facilities are subject to periodic inspection by government authorities to assure their continued compliance with these various standards. If we fail to adhere to these standards, we could be subject to monetary penalties or restrictions on our ability to operate.</w:t>
      </w:r>
    </w:p>
    <w:p>
      <w:pPr>
        <w:spacing w:after="0" w:line="58"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All of our facilities that handle and dispense controlled substances must comply with strict federal and state regulations regarding the purchase, storage, distribution and disposal of such controlled substances. The potential for theft or diversion of such controlled substances for illegal uses has led the federal government as well as a number of states and localities to adopt stringent regulations not applicable to many other types of healthcare providers. Compliance with these regulations is expensive and these costs may increase in the future.</w:t>
      </w:r>
    </w:p>
    <w:p>
      <w:pPr>
        <w:spacing w:after="0" w:line="74" w:lineRule="exact"/>
        <w:rPr>
          <w:sz w:val="20"/>
          <w:szCs w:val="20"/>
          <w:color w:val="auto"/>
        </w:rPr>
      </w:pPr>
    </w:p>
    <w:p>
      <w:pPr>
        <w:ind w:right="360" w:firstLine="509"/>
        <w:spacing w:after="0" w:line="259" w:lineRule="auto"/>
        <w:rPr>
          <w:sz w:val="20"/>
          <w:szCs w:val="20"/>
          <w:color w:val="auto"/>
        </w:rPr>
      </w:pPr>
      <w:r>
        <w:rPr>
          <w:rFonts w:ascii="Times New Roman" w:cs="Times New Roman" w:eastAsia="Times New Roman" w:hAnsi="Times New Roman"/>
          <w:sz w:val="18"/>
          <w:szCs w:val="18"/>
          <w:color w:val="auto"/>
        </w:rPr>
        <w:t>Property owners and local authorities have attempted, and may in the future attempt, to use or enact zoning ordinances to eliminate our ability to operate a given treatment facility or program. Local governmental authorities in some cases also have attempted to use litigation and the threat of prosecution to force the closure of certain CTCs. If any of these attempts were to succeed or if their frequency were to increase, our revenue would be adversely affected and our operating results might be harmed. In addition, such actions may require us to litigate which would increase our costs.</w:t>
      </w:r>
    </w:p>
    <w:p>
      <w:pPr>
        <w:spacing w:after="0" w:line="74" w:lineRule="exact"/>
        <w:rPr>
          <w:sz w:val="20"/>
          <w:szCs w:val="20"/>
          <w:color w:val="auto"/>
        </w:rPr>
      </w:pPr>
    </w:p>
    <w:p>
      <w:pPr>
        <w:jc w:val="both"/>
        <w:ind w:right="580" w:firstLine="509"/>
        <w:spacing w:after="0" w:line="264" w:lineRule="auto"/>
        <w:rPr>
          <w:sz w:val="20"/>
          <w:szCs w:val="20"/>
          <w:color w:val="auto"/>
        </w:rPr>
      </w:pPr>
      <w:r>
        <w:rPr>
          <w:rFonts w:ascii="Times New Roman" w:cs="Times New Roman" w:eastAsia="Times New Roman" w:hAnsi="Times New Roman"/>
          <w:sz w:val="18"/>
          <w:szCs w:val="18"/>
          <w:color w:val="auto"/>
        </w:rPr>
        <w:t>Many of our facilities are also accredited by third-party accreditation agencies such as The Joint Commission or CARF. If any of our existing healthcare facilities lose their accreditation or any of our de novo or joint venture facilities fail to receive accreditation, such facilities could become ineligible to receive reimbursement under Medicare or Medicaid.</w:t>
      </w:r>
    </w:p>
    <w:p>
      <w:pPr>
        <w:spacing w:after="0" w:line="6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Federal, state and local regulations determine the capacity at which many of our facilities may be operated. State licensing standards require many of our facilities to have minimum staffing levels; minimum amounts of residential space per student or patient and adhere to other minimum standards. Local regulations require us to follow land use guidelines at many of our facilities, including those pertaining to fire safety, sewer capacity and other physical plant matters.</w:t>
      </w:r>
    </w:p>
    <w:p>
      <w:pPr>
        <w:spacing w:after="0" w:line="74"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color w:val="auto"/>
        </w:rPr>
        <w:t>Our facilities have in the past and will continue in the future to be subject to regular surveys by federal, state, and local regulators, accreditation agencies and certain referral sources. Such surveys have in the past and could in the future result in findings of immediate jeopardy, licensing restrictions and admissions holds. Such survey activity could in the future result in loss of certification, loss of accreditation, admissions holds and license revocation, which could have a material adverse effect on our business, financial condition or results of operations.</w:t>
      </w:r>
    </w:p>
    <w:p>
      <w:pPr>
        <w:spacing w:after="0" w:line="74"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8"/>
          <w:szCs w:val="18"/>
          <w:color w:val="auto"/>
        </w:rPr>
        <w:t>We cannot guarantee that current laws, regulations and regulatory assessment methodologies will not be modified or replaced in the future. There can be no assurance that our business, results of operations and financial condition will not be adversely affected by any future regulatory developments or that the cost of compliance with new regulations will not be 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spend substantial amounts to comply with statutes and regulations relating to privacy and security of PHI.</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currently numerous legislative and regulatory initiatives in the U.S. addressing patient privacy and information security concerns. In particular, federal regulations issued under HIPAA require our facilities to comply with standards to protect the privacy, security and integrity of PHI. These requirements include: the adoption of certain administrative, physical, and technical safeguards; development of adequate policies and procedures, training programs and other initiatives to ensure the privacy of PHI is maintained; entry into appropriate agreements with so-called business associates; and affording patients certain rights with respect to their PHI, including notification of any breaches. Compliance with these regulations requires substantial expenditures, which could negatively impact our business, financial condition or results of operations. In addition, our management has spent, and may spend in the future, substantial time and effort on compliance measures.</w:t>
      </w:r>
    </w:p>
    <w:p>
      <w:pPr>
        <w:spacing w:after="0" w:line="79" w:lineRule="exact"/>
        <w:rPr>
          <w:sz w:val="20"/>
          <w:szCs w:val="20"/>
          <w:color w:val="auto"/>
        </w:rPr>
      </w:pPr>
    </w:p>
    <w:p>
      <w:pPr>
        <w:ind w:right="260" w:firstLine="509"/>
        <w:spacing w:after="0" w:line="280" w:lineRule="auto"/>
        <w:rPr>
          <w:sz w:val="20"/>
          <w:szCs w:val="20"/>
          <w:color w:val="auto"/>
        </w:rPr>
      </w:pPr>
      <w:r>
        <w:rPr>
          <w:rFonts w:ascii="Times New Roman" w:cs="Times New Roman" w:eastAsia="Times New Roman" w:hAnsi="Times New Roman"/>
          <w:sz w:val="18"/>
          <w:szCs w:val="18"/>
          <w:color w:val="auto"/>
        </w:rPr>
        <w:t>In addition to HIPAA, we are subject to similar, and in some cases more restrictive, state and federal privacy regulations. For example, the federal government and some states impose laws governing the use and disclosure of health information pertaining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right="20"/>
        <w:spacing w:after="0" w:line="259" w:lineRule="auto"/>
        <w:rPr>
          <w:sz w:val="20"/>
          <w:szCs w:val="20"/>
          <w:color w:val="auto"/>
        </w:rPr>
      </w:pPr>
      <w:r>
        <w:rPr>
          <w:rFonts w:ascii="Times New Roman" w:cs="Times New Roman" w:eastAsia="Times New Roman" w:hAnsi="Times New Roman"/>
          <w:sz w:val="18"/>
          <w:szCs w:val="18"/>
          <w:color w:val="auto"/>
        </w:rPr>
        <w:t>mental health and/or substance abuse treatment that are more stringent than the rules that apply to healthcare information generally. Part 2 regulations mandate strict confidentiality for SUD Records, permitting disclosure only as expressly authorized under the regulations. As public attention is drawn to the issues of the privacy and security of medical information, states may revise or expand their laws concerning the use and disclosure of health information, or may adopt new laws addressing these subjects.</w:t>
      </w:r>
    </w:p>
    <w:p>
      <w:pPr>
        <w:spacing w:after="0" w:line="74"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8"/>
          <w:szCs w:val="18"/>
          <w:color w:val="auto"/>
        </w:rPr>
        <w:t>Violations of the privacy and security regulations, including HIPAA or the Part 2 regulations, could subject our operations to substantial civil monetary penalties and substantial other costs and penalties associated with a breach of data security, including criminal penalties. We may also be subject to substantial reputational harm if we experience a substantial security breach involving PHI.</w:t>
      </w:r>
    </w:p>
    <w:p>
      <w:pPr>
        <w:spacing w:after="0" w:line="17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could face risks associated with, or arising out of changing laws and regulations, including those involving environmental, health and safety laws and regulations.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subject to various federal, foreign, state and local laws and regulations that:</w:t>
      </w:r>
    </w:p>
    <w:p>
      <w:pPr>
        <w:spacing w:after="0" w:line="115" w:lineRule="exact"/>
        <w:rPr>
          <w:sz w:val="20"/>
          <w:szCs w:val="20"/>
          <w:color w:val="auto"/>
        </w:rPr>
      </w:pPr>
    </w:p>
    <w:p>
      <w:pPr>
        <w:ind w:left="1020" w:right="500" w:hanging="504"/>
        <w:spacing w:after="0" w:line="28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certain activities and operations that may have environmental or health and safety effects, such as the generation, handling and disposal of medical wastes;</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liability for costs of cleaning up, and damages to natural resources from, past spills, waste disposals on and off-site, or other releases of hazardous materials or regulated substances;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workplace safety.</w:t>
      </w:r>
    </w:p>
    <w:p>
      <w:pPr>
        <w:spacing w:after="0" w:line="11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Compliance with these laws and regulations could increase our costs of operation. Violation of these laws may subject us to significant fines, penalties or disposal costs, which could negatively impact our results of operations, financial condition or cash flows. We could be responsible for the investigation and remediation of environmental conditions at currently or formerly owned, operated or leased sites, as well as for associated liabilities, including liabilities for natural resource damages, third-party property damage or personal injury resulting from lawsuits that could be brought by the government or private litigants, relating to our operations, the operations of facilities or the land on which our facilities are located. We may be subject to these liabilities regardless of whether we operate, lease or own the facility, and regardless of whether such environmental conditions were created by us or by a prior owner or tenant, or by a third-party or a neighboring facility whose operations may have affected such facility or land. That is because liability for contamination under certain environmental laws can be imposed on current or past owners, lessors or operators of a site without regard to fault. We cannot assure you that environmental conditions relating to our prior, existing or future sites or those of predecessor companies whose liabilities we may have assumed or acquired will not have a material adverse effect on our business, financial condition or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efforts to regulate the construction or expansion of healthcare facilities could impair our ability to operate and expand our operations.</w:t>
      </w:r>
    </w:p>
    <w:p>
      <w:pPr>
        <w:spacing w:after="0" w:line="119" w:lineRule="exact"/>
        <w:rPr>
          <w:sz w:val="20"/>
          <w:szCs w:val="20"/>
          <w:color w:val="auto"/>
        </w:rPr>
      </w:pPr>
    </w:p>
    <w:p>
      <w:pPr>
        <w:ind w:right="320" w:firstLine="509"/>
        <w:spacing w:after="0" w:line="275" w:lineRule="auto"/>
        <w:rPr>
          <w:sz w:val="20"/>
          <w:szCs w:val="20"/>
          <w:color w:val="auto"/>
        </w:rPr>
      </w:pPr>
      <w:r>
        <w:rPr>
          <w:rFonts w:ascii="Times New Roman" w:cs="Times New Roman" w:eastAsia="Times New Roman" w:hAnsi="Times New Roman"/>
          <w:sz w:val="17"/>
          <w:szCs w:val="17"/>
          <w:color w:val="auto"/>
        </w:rPr>
        <w:t>A majority of the states in which we operate facilities have enacted CON laws that regulate the construction or expansion of healthcare facilities, certain capital expenditures or changes in services or bed capacity. In giving approval for these actions, these states consider the need for additional or expanded healthcare facilities or services. Our failure to obtain necessary state approval could (i) result in our inability to acquire a targeted facility, complete a desired expansion or make a desired replacement, (ii) make a facility ineligible to receive reimbursement under the Medicare or Medicaid programs or (iii) result in the revocation of a facility’s license or imposition of civil or criminal penalties, any of which could harm our business.</w:t>
      </w:r>
    </w:p>
    <w:p>
      <w:pPr>
        <w:spacing w:after="0" w:line="6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8"/>
          <w:szCs w:val="18"/>
          <w:color w:val="auto"/>
        </w:rPr>
        <w:t>In addition, significant CON reforms have been proposed in a number of states that would increase the capital spending thresholds and provide exemptions of various services from review requirements. In the past, we have not experienced any material adverse effects from such requirements, but we cannot predict the impact of these changes upon our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treat patients with emergency medical conditions regardless of ability to pay.</w:t>
      </w:r>
    </w:p>
    <w:p>
      <w:pPr>
        <w:spacing w:after="0" w:line="119"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In accordance with our internal policies and procedures, as well as EMTALA, we provide a medical screening examination to any individual who comes to one of our hospitals seeking medical treatment (whether or not such individual is eligible for insurance benefits and regardless of ability to pay) to determine if such individual has an emergency medical condition. If it is determined that such person has an emergency medical condition, we provide such further medical examination and treatment as is required to stabilize the patient’s medical condition, within the facility’s capability, or arrange for the transfer of the individual to another medical facility in accordance with applicable law and the treating hospital’s written procedures. Our hospitals may face substantial civil penalties if we fail to provide appropriate screening and stabilizing treatment or fail to facilitate other appropriate transfers as required 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EMTALA.</w:t>
      </w:r>
    </w:p>
    <w:p>
      <w:pPr>
        <w:spacing w:after="0" w:line="20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 in the U.S., Puerto Rico and various state jurisdictions. Any adverse development in the tax laws of such jurisdictions or any disagreement with our tax positions could have a material adverse effect on our business, financial condition or results of operations. In addition, our effective tax rate could change materially as a result of changes in tax laws.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We are subject to taxation in, and to the tax laws and regulations of, the U.S., Puerto Rico and various state jurisdictions as a result of our operations and our corporate and financing structure. Adverse developments in these tax laws or regulations, or any change in position regarding the application, administration or interpretation thereof, in any applicable jurisdiction, could have a material adverse effect on our business, financial condition or results of operations. In addition, the tax authorities in any applicable jurisdiction may disagree with the tax treatment or characterization of any of our transactions, which, if successfully challenged by such tax authorities, could have a material adverse effect on our business, financial condition or results of operations. Certain changes in the mix of our earnings between jurisdictions and assumptions used in the calculation of income taxes, among other factors, could have a material adverse effect on our overall effective tax rate.</w:t>
      </w:r>
    </w:p>
    <w:p>
      <w:pPr>
        <w:spacing w:after="0" w:line="182"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Activist investors and their actions threatened or commenced against us could cause us to incur substantial costs, divert management’s attention and resources, cause uncertainty about the strategic direction of our business and adversely impact our business, financial condition, results of operations and stock price.</w:t>
      </w:r>
    </w:p>
    <w:p>
      <w:pPr>
        <w:spacing w:after="0" w:line="66" w:lineRule="exact"/>
        <w:rPr>
          <w:sz w:val="20"/>
          <w:szCs w:val="20"/>
          <w:color w:val="auto"/>
        </w:rPr>
      </w:pPr>
    </w:p>
    <w:p>
      <w:pPr>
        <w:ind w:right="100" w:firstLine="562"/>
        <w:spacing w:after="0" w:line="264" w:lineRule="auto"/>
        <w:rPr>
          <w:sz w:val="20"/>
          <w:szCs w:val="20"/>
          <w:color w:val="auto"/>
        </w:rPr>
      </w:pPr>
      <w:r>
        <w:rPr>
          <w:rFonts w:ascii="Times New Roman" w:cs="Times New Roman" w:eastAsia="Times New Roman" w:hAnsi="Times New Roman"/>
          <w:sz w:val="18"/>
          <w:szCs w:val="18"/>
          <w:color w:val="auto"/>
        </w:rPr>
        <w:t>Activist investors have sought and may from time to time seek to effect changes and assert influence on our board of directors and management, including by threatening or commencing a proxy contest or “vote no” campaign, engaging in proxy solicitations or advancing stockholder proposals. These actions could have a material adverse effect on us for the following reasons:</w:t>
      </w:r>
    </w:p>
    <w:p>
      <w:pPr>
        <w:spacing w:after="0" w:line="69" w:lineRule="exact"/>
        <w:rPr>
          <w:sz w:val="20"/>
          <w:szCs w:val="20"/>
          <w:color w:val="auto"/>
        </w:rPr>
      </w:pPr>
    </w:p>
    <w:p>
      <w:pPr>
        <w:ind w:left="1140" w:right="20" w:hanging="384"/>
        <w:spacing w:after="0" w:line="287" w:lineRule="auto"/>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Activist investors may attempt to effect changes in how we are governed and our strategic direction, or to acquire control over the Company. In particular, activist investors may suggest changes to our strategy, operations, board of directors and management that conflict with our strategic direction and could cause uncertainty amongst employees, patients and our investors about the strategic direction of our business.</w:t>
      </w:r>
    </w:p>
    <w:p>
      <w:pPr>
        <w:spacing w:after="0" w:line="51" w:lineRule="exact"/>
        <w:rPr>
          <w:rFonts w:ascii="Times New Roman" w:cs="Times New Roman" w:eastAsia="Times New Roman" w:hAnsi="Times New Roman"/>
          <w:sz w:val="17"/>
          <w:szCs w:val="17"/>
          <w:color w:val="auto"/>
        </w:rPr>
      </w:pPr>
    </w:p>
    <w:p>
      <w:pPr>
        <w:ind w:left="1140" w:hanging="384"/>
        <w:spacing w:after="0" w:line="25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these actions is costly and time-consuming, and could disrupt our operations and divert the attention of our board of directors, management and employees away from their regular duties and the pursuit of business strategies. In addition, we may choose to initiate, or may become subject to, litigation as a result of a proxy contest or matters arising from a proxy contest or other activist investor actions, which may serve as a distraction to our board of directors, management and employees and could require us to incur significant additional costs.</w:t>
      </w:r>
    </w:p>
    <w:p>
      <w:pPr>
        <w:spacing w:after="0" w:line="78" w:lineRule="exact"/>
        <w:rPr>
          <w:rFonts w:ascii="Times New Roman" w:cs="Times New Roman" w:eastAsia="Times New Roman" w:hAnsi="Times New Roman"/>
          <w:sz w:val="18"/>
          <w:szCs w:val="18"/>
          <w:color w:val="auto"/>
        </w:rPr>
      </w:pPr>
    </w:p>
    <w:p>
      <w:pPr>
        <w:ind w:left="1140" w:right="100" w:hanging="384"/>
        <w:spacing w:after="0" w:line="259"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perceived uncertainties as to our future direction as a result of potential changes to management or the composition of the board of directors may lead to the perception of a change in the direction of the business, instability or lack of continuity, which may be exploited by our competitors, may cause concern to our current or potential patients and employees, may result in the loss of potential business opportunities and may make it more difficult to attract and retain qualified personnel and business partners.</w:t>
      </w:r>
    </w:p>
    <w:p>
      <w:pPr>
        <w:spacing w:after="0" w:line="73" w:lineRule="exact"/>
        <w:rPr>
          <w:rFonts w:ascii="Times New Roman" w:cs="Times New Roman" w:eastAsia="Times New Roman" w:hAnsi="Times New Roman"/>
          <w:sz w:val="18"/>
          <w:szCs w:val="18"/>
          <w:color w:val="auto"/>
        </w:rPr>
      </w:pPr>
    </w:p>
    <w:p>
      <w:pPr>
        <w:ind w:left="1140" w:right="280" w:hanging="384"/>
        <w:spacing w:after="0" w:line="280"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actions could cause significant fluctuations in our stock price based on temporary or speculative market perceptions or other factors that do not necessarily reflect the underlying fundamentals and prospects of our business.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results of operations are significantly affected by payments received from the government and third-party payors.</w:t>
      </w:r>
    </w:p>
    <w:p>
      <w:pPr>
        <w:spacing w:after="0" w:line="119" w:lineRule="exact"/>
        <w:rPr>
          <w:sz w:val="20"/>
          <w:szCs w:val="20"/>
          <w:color w:val="auto"/>
        </w:rPr>
      </w:pPr>
    </w:p>
    <w:p>
      <w:pPr>
        <w:ind w:right="840" w:firstLine="509"/>
        <w:spacing w:after="0" w:line="280" w:lineRule="auto"/>
        <w:rPr>
          <w:sz w:val="20"/>
          <w:szCs w:val="20"/>
          <w:color w:val="auto"/>
        </w:rPr>
      </w:pPr>
      <w:r>
        <w:rPr>
          <w:rFonts w:ascii="Times New Roman" w:cs="Times New Roman" w:eastAsia="Times New Roman" w:hAnsi="Times New Roman"/>
          <w:sz w:val="18"/>
          <w:szCs w:val="18"/>
          <w:color w:val="auto"/>
        </w:rPr>
        <w:t>A significant portion of our revenue is derived from government healthcare programs. For the year ended December 31, 2025, we derived approximately 72% of our revenue from the Medicare and Medicaid programs.</w:t>
      </w:r>
    </w:p>
    <w:p>
      <w:pPr>
        <w:spacing w:after="0" w:line="55"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Government payors in the U.S., such as Medicaid, generally reimburse us on a fee-for-service basis based on predetermined reimbursement rate schedules. As a result, we are limited in the amount we can record as revenue for our services from these government programs, and if we have a cost increase, we typically will not be able to recover this increase. In addition, the federal government and many state governments, are operating under significant budgetary pressures, and they may seek to reduce payments under their Medicaid programs for services such as those we provide. Government payors also tend to pay on a slower schedule. In addition to limiting the amounts they will pay for the services we provide their members, government payors may, among other things, impose prior authorization and concurrent utilization review programs that may further limit the services for which they will pay and shift patients to lower levels of care and reimbursement. Therefore, if governmental entities reduce the amounts they will pay for our services, if they elect not to continue paying for such services altogether, or if there is a significant contraction of the number of individuals covered by state Medicaid programs, our business, financial condition or results of operations could be adversely affected. In addition, if governmental entities slow their payment cycles further, our cash flow from operations could be negatively affected.</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Commercial payors such as managed care organizations, private health insurance programs and labor unions generally reimburse us for the services rendered to insured patients based upon contractually determined rates. These commercial payors are under significant pressure to control healthcare costs. In addition to limiting the amounts they will pay for the services we provide their members, commercial payors may, among other things, impose prior authorization and concurrent utilization review programs that may further limit the services for which they will pay and shift patients to lower levels of care and reimbursement. These actions may reduce the amount of revenue we derive from commercial payors.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right="160" w:firstLine="509"/>
        <w:spacing w:after="0" w:line="279" w:lineRule="auto"/>
        <w:rPr>
          <w:sz w:val="20"/>
          <w:szCs w:val="20"/>
          <w:color w:val="auto"/>
        </w:rPr>
      </w:pPr>
      <w:r>
        <w:rPr>
          <w:rFonts w:ascii="Times New Roman" w:cs="Times New Roman" w:eastAsia="Times New Roman" w:hAnsi="Times New Roman"/>
          <w:sz w:val="17"/>
          <w:szCs w:val="17"/>
          <w:color w:val="auto"/>
        </w:rPr>
        <w:t>Changes in these government programs in recent years have resulted in limitations on reimbursement and, in some cases, reduced levels of reimbursement for healthcare services. Payments from federal and state government healthcare programs are subject to statutory and regulatory changes, administrative rulings, interpretations and determinations, requirements for utilization review, and federal and state funding restrictions, all of which could materially increase or decrease program payments, as well as affect the cost of providing service to patients and the timing of payments to facilities.</w:t>
      </w:r>
    </w:p>
    <w:p>
      <w:pPr>
        <w:spacing w:after="0" w:line="5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recent example of legislative changes impacting government program funding is the OBBBA, passed by Congress on July 4, 2025, which contains provisions that may impact our financial performance. The OBBBA includes provisions that have varying effective dates, and we cannot predict how future legislation, rulemaking, or judicial action will impact its implementation. The OBBBA reduces federal Medicaid expenditures and tightens beneficiary eligibility requirements, including imposing work requirements for adults in Medicaid expansion states and requiring states to conduct eligibility redeterminations at least every six months by December 31, 2026. These changes increase the likelihood of patients losing coverage mid-year, which may disrupt treatment continuity, complicate coverage verification, and result in higher levels of uncompensated care and uncollected patient balances. Pursuant to the OBBBA, the HHS has also revised regulations governing state directed payment programs to cap total payment rates for certain services at Medicare payment rates and implemented policy changes that have decreased enrollment in ACA marketplace plans, including ending automatic renewals by requiring pre-enrollment verification requirements.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federal healthcare program changes under the OBBBA, the enhanced premium tax credits, originally enacted under the American Rescue Plan Act of 2021, expired on December 31, 2025. Consequently, marketplace premiums have increased substantially, and enrollment for the 2026 plan year declined significantly. This increases the likelihood that more patients are uninsured, underinsured, or may become uninsured or underinsured. An increase in uninsured or underinsured patients or a deterioration in the collectability of patient accounts receivable could have a material adverse effect on our business, financial condition and results of operations.</w:t>
      </w:r>
    </w:p>
    <w:p>
      <w:pPr>
        <w:spacing w:after="0" w:line="7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8"/>
          <w:szCs w:val="18"/>
          <w:color w:val="auto"/>
        </w:rPr>
        <w:t>We are unable to predict the effect of recent and future policy changes on our operations. In addition, since most states operate with balanced budgets and since the Medicaid program is often a state’s largest program, some states can be expected to enact or consider enacting legislation formulated to reduce their Medicaid expenditures.</w:t>
      </w:r>
    </w:p>
    <w:p>
      <w:pPr>
        <w:spacing w:after="0" w:line="69" w:lineRule="exact"/>
        <w:rPr>
          <w:sz w:val="20"/>
          <w:szCs w:val="20"/>
          <w:color w:val="auto"/>
        </w:rPr>
      </w:pPr>
    </w:p>
    <w:p>
      <w:pPr>
        <w:ind w:right="640" w:firstLine="509"/>
        <w:spacing w:after="0" w:line="280" w:lineRule="auto"/>
        <w:rPr>
          <w:sz w:val="20"/>
          <w:szCs w:val="20"/>
          <w:color w:val="auto"/>
        </w:rPr>
      </w:pPr>
      <w:r>
        <w:rPr>
          <w:rFonts w:ascii="Times New Roman" w:cs="Times New Roman" w:eastAsia="Times New Roman" w:hAnsi="Times New Roman"/>
          <w:sz w:val="18"/>
          <w:szCs w:val="18"/>
          <w:color w:val="auto"/>
        </w:rPr>
        <w:t>If the rates paid or the scope of services covered by government payors are reduced, there could be a material adverse effect on our business, financial condition and results of operations.</w:t>
      </w:r>
    </w:p>
    <w:p>
      <w:pPr>
        <w:spacing w:after="0" w:line="5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changes in government reimbursement programs, our ability to negotiate favorable contracts with private payors, including managed care providers, significantly affects the financial condition and operating results of our facilities. Further, we may not be able to negotiate or sustain rate increases we have experienced in recent years, and may not be able to achieve consistent rate increases from year to year. Management expects third-party payors to aggressively manage reimbursement levels and cost controls. Reductions in reimbursement amounts received from third-party payors could have a material adverse effect on our business, financial condition and results of operations.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Our facilities are routinely subjected to claims audits in the ordinary course of business. While no such audit has identified any material overpayment liability, should a potential material overpayment liability arise from a future audit, such overpayment liability may ultimately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could adversely affect our financial health and prevent us from fulfilling our obligations under our financing arrangements.</w:t>
      </w:r>
    </w:p>
    <w:p>
      <w:pPr>
        <w:spacing w:after="0" w:line="119"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At December 31, 2025, we had approximately $2.5 billion of total debt (net of debt issuance costs, discounts and premiums of $16.8 million), which included approximately $1.0 billion of debt under the Credit Facility, $450.0 million of debt under the 5.500% Senior Notes (as defined below), $475.0 million of debt under the 5.000% Senior Notes (as defined below), and $550.0 million of debt under the 7.375% Senior Notes. See “Item 1. Business — Financing Transactions” for additional details regarding our outstanding indebtedness.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debt could have important consequences to our business. For example, it could:</w:t>
      </w:r>
    </w:p>
    <w:p>
      <w:pPr>
        <w:spacing w:after="0" w:line="115"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other financial obligations;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or cause us to make non-strategic divestitures;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(including scheduled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ind w:left="1020" w:right="360"/>
        <w:spacing w:after="0" w:line="280" w:lineRule="auto"/>
        <w:rPr>
          <w:sz w:val="20"/>
          <w:szCs w:val="20"/>
          <w:color w:val="auto"/>
        </w:rPr>
      </w:pPr>
      <w:r>
        <w:rPr>
          <w:rFonts w:ascii="Times New Roman" w:cs="Times New Roman" w:eastAsia="Times New Roman" w:hAnsi="Times New Roman"/>
          <w:sz w:val="18"/>
          <w:szCs w:val="18"/>
          <w:color w:val="auto"/>
        </w:rPr>
        <w:t>repayments on our outstanding term loan borrowings under the Credit Facility), thereby reducing the availability of our cash flow to fund working capital, capital expenditures and other general corporate purposes;</w:t>
      </w:r>
    </w:p>
    <w:p>
      <w:pPr>
        <w:spacing w:after="0" w:line="55"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because the interest on the Credit Facility is imposed at variable rates;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to our lenders, resulting in possible defaults on and acceleration of such debt;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redeem stock or make other distributions.</w:t>
      </w:r>
    </w:p>
    <w:p>
      <w:pPr>
        <w:spacing w:after="0" w:line="11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In addition, the terms of our financing arrangements contain restrictive covenants that limit our ability to engage in activities that may be in our long-term best interests. Our failure to comply with those covenants could result in an event of default which, if not cured or waived, could result in the acceleration of all of our debts, including the Credit Facility and the Senior Notes (as defined below).</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Our ability to generate sufficient cash to service our debt depends on many factors beyond our control.</w:t>
      </w:r>
    </w:p>
    <w:p>
      <w:pPr>
        <w:spacing w:after="0" w:line="52"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8"/>
          <w:szCs w:val="18"/>
          <w:color w:val="auto"/>
        </w:rPr>
        <w:t>Our ability to make payments on and to refinance our debt, to fund planned capital expenditures and to maintain sufficient working capital will depend on our ability to generate cash in the future. This, to a certain extent, is subject to general economic, financial, competitive, legislative, regulatory and other factors that are beyond our control.</w:t>
      </w:r>
    </w:p>
    <w:p>
      <w:pPr>
        <w:spacing w:after="0" w:line="6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the Credit Facility or from other sources in an amount sufficient to enable us to service our debt or to fund our other liquidity needs. If our cash flow and capital resources are insufficient to allow us to make scheduled payments on our debt, we may need to reduce or delay capital expenditures, sell assets, seek additional capital or restructure or refinance all or a portion of our debt on or before the maturity thereof, any of which could have a material adverse effect on our business, financial condition or results of operations. We cannot assure you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restrictive covenants, which may restrict our business and financing activities.</w:t>
      </w:r>
    </w:p>
    <w:p>
      <w:pPr>
        <w:spacing w:after="0" w:line="119"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8"/>
          <w:szCs w:val="18"/>
          <w:color w:val="auto"/>
        </w:rPr>
        <w:t>Our financing arrangements impose, and the terms of any future debt may impose, operating and other restrictions on us. Such restrictions affect, and in many respects limit or prohibit, among other things, our and our subsidiaries’ ability to:</w:t>
      </w:r>
    </w:p>
    <w:p>
      <w:pPr>
        <w:spacing w:after="0" w:line="55"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and issue certain preferred stock;</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common stock or redeem, repurchase or retire our equity interests or subordinated debt;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our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payments or investments;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on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ability of our subsidiaries to pay dividends or make other payments to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our affiliates;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companies.</w:t>
      </w:r>
    </w:p>
    <w:p>
      <w:pPr>
        <w:spacing w:after="0" w:line="115" w:lineRule="exact"/>
        <w:rPr>
          <w:sz w:val="20"/>
          <w:szCs w:val="20"/>
          <w:color w:val="auto"/>
        </w:rPr>
      </w:pPr>
    </w:p>
    <w:p>
      <w:pPr>
        <w:ind w:right="140" w:firstLine="509"/>
        <w:spacing w:after="0" w:line="310" w:lineRule="auto"/>
        <w:rPr>
          <w:sz w:val="20"/>
          <w:szCs w:val="20"/>
          <w:color w:val="auto"/>
        </w:rPr>
      </w:pPr>
      <w:r>
        <w:rPr>
          <w:rFonts w:ascii="Times New Roman" w:cs="Times New Roman" w:eastAsia="Times New Roman" w:hAnsi="Times New Roman"/>
          <w:sz w:val="17"/>
          <w:szCs w:val="17"/>
          <w:color w:val="auto"/>
        </w:rPr>
        <w:t>The Credit Facility also requires us to meet certain financial ratios, including a fixed charge coverage ratio and a consolidated leverage ratio. See “Item 7. Management’s Discussion and Analysis of Financial Condition and Results of Operations — Liquidity and Capital Resources — Credit Facility”.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3" w:name="page24"/>
    <w:bookmarkEnd w:id="23"/>
    <w:p>
      <w:pPr>
        <w:ind w:right="160" w:firstLine="509"/>
        <w:spacing w:after="0" w:line="271" w:lineRule="auto"/>
        <w:rPr>
          <w:sz w:val="20"/>
          <w:szCs w:val="20"/>
          <w:color w:val="auto"/>
        </w:rPr>
      </w:pPr>
      <w:r>
        <w:rPr>
          <w:rFonts w:ascii="Times New Roman" w:cs="Times New Roman" w:eastAsia="Times New Roman" w:hAnsi="Times New Roman"/>
          <w:sz w:val="17"/>
          <w:szCs w:val="17"/>
          <w:color w:val="auto"/>
        </w:rPr>
        <w:t>The restrictions may prevent us from taking actions that management believes would be in the best interests of our business, and may make it difficult for us to successfully execute our business strategy or effectively compete with companies that are not similarly restricted. We also may incur future debt obligations that might subject us to additional restrictive covenants that could affect our financial and operational flexibility. Our ability to comply with these covenants in future periods will largely depend on the pricing of our products and services, our success at implementing cost reduction initiatives and our ability to successfully implement our overall business strategy. We cannot assure you that we will be granted waivers or amendments to our financing arrangements if for any reason we are unable to comply with our financial covenants. The breach of any of these covenants and restrictions could result in a default under the indentures governing the Senior Notes or under the Credit Facility, which could result in an acceleration of our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current debt level, we may incur significant additional amounts of debt, which could further exacerbate the risks associated with our debt.</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February 28, 2025, we entered into the Credit Agreement which provides for a $1.0 billion Revolving Facility and a $650.0 million Term Loan Facility, each maturing on February 28, 2030. We may incur substantial additional debt, including additional notes and other debt, in the future. Although the indentures governing the Senior Notes (as defined below) and the Credit Facility contain restrictions on the incurrence of additional debt, these restrictions are subject to a number of significant qualifications and exceptions, and under certain circumstances, the amount of debt that could be incurred in compliance with these restrictions could be substantial. If new debt is added to our existing debt levels, the related risks that we now face would intensify and we may not be able to meet all our debt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debt, we may not be able to make payments on our financing arrangements.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default under the agreements governing our debt, including a default under the Credit Facility or the indentures governing the Senior Notes, and the remedies sought by the holders of such debt, could adversely affect our ability to pay the principal, premium, if any, and interest on the Senior Notes and substantially decrease the market value of the Senior Notes. If we are unable to generate sufficient cash flows and are otherwise unable to obtain funds necessary to meet required payments of principal, premium, if any, and interest on our debt, or if we otherwise fail to comply with the various covenants, including financial and operating covenants, in the instruments governing our debt (including the Credit Facility and the indentures governing the Senior Notes), we would be in default under the terms of the agreements governing such debt. In the event of such default, the holders of such debt could elect to declare all the funds borrowed thereunder to be due and payable, the lenders under the Credit Facility could elect to terminate their commitments or cease making further loans and institute foreclosure proceedings against our assets, or we could be forced to apply all available cash flows to repay such debt, and, in any such case, we could ultimately be forced into bankruptcy or liquidation. Because the indentures governing the Senior Notes and the agreement governing the Credit Facility have customary cross-default provisions, if the debt under the Senior Notes or the Credit Facility is accelerated, we may be unable to repay or refinance the amounts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additional charges to future earnings if our goodwill, intangible assets and property and equipment become impaired.</w:t>
      </w:r>
    </w:p>
    <w:p>
      <w:pPr>
        <w:spacing w:after="0" w:line="119" w:lineRule="exact"/>
        <w:rPr>
          <w:sz w:val="20"/>
          <w:szCs w:val="20"/>
          <w:color w:val="auto"/>
        </w:rPr>
      </w:pPr>
    </w:p>
    <w:p>
      <w:pPr>
        <w:ind w:right="20" w:firstLine="464"/>
        <w:spacing w:after="0" w:line="252" w:lineRule="auto"/>
        <w:rPr>
          <w:sz w:val="20"/>
          <w:szCs w:val="20"/>
          <w:color w:val="auto"/>
        </w:rPr>
      </w:pPr>
      <w:r>
        <w:rPr>
          <w:rFonts w:ascii="Times New Roman" w:cs="Times New Roman" w:eastAsia="Times New Roman" w:hAnsi="Times New Roman"/>
          <w:sz w:val="18"/>
          <w:szCs w:val="18"/>
          <w:color w:val="auto"/>
        </w:rPr>
        <w:t>We are required under U.S. generally accepted accounting principles (“GAAP”) to review our goodwill and indefinite-lived intangible assets for impairment annually, or more frequently if events indicate the carrying value of a reporting unit may not be recoverable. For the year ended December 31, 2025, we recorded non-cash impairment charges of $1,007.9 million, which is recorded in loss on impairment in our consolidated statement of operations. The non-cash impairment charges included goodwill impairment of $996.2 million, indefinite-lived asset impairments of $0.3 million, property impairments of $10.4 million and operating lease right-of-use asset impairments of $1.0 million. For the year ended December 31, 2024, we recorded non-cash impairment charges of $17.3 million related to the closure of certain facilities, which is recorded in loss on impairment in our consolidated statement of operations. The non-cash impairment charges included indefinite-lived asset impairments of $3.5 million, property impairments of $12.4 million and operating lease right-of-use asset impairments of $1.4 million. Our evaluation of goodwill and the need for any further impairment in subsequent periods is sensitive to revisions to our current projections. See “Item 7. Management’s Discussion and Analysis of Financial Condition and Results of Operations — Critical Accounting Policies — Property and Equipment and Other Long-Lived Assets” and “Item 7. Management’s Discussion and Analysis of Financial Condition and Results of Operations — Critical Accounting Policies — Goodwill and Indefinite-Lived Intangible Assets”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costs are subject to increases in the wages and salaries of our staff.</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most significant operating expense for our facilities is wage costs, which represent the staff costs incurred in providing our services and running our facilities, and which are primarily driven by the number of employees and pay rates. The number of employees employed by us is primarily linked to the number of facilities we operate and the number of individuals cared for by us. While we have reduced the number of employees when occupancy rates decrease at our facilities and can continue to do so in the future, there is a limit on the extent to which this can be done without impacting the quality of our services.</w:t>
      </w:r>
    </w:p>
    <w:p>
      <w:pPr>
        <w:spacing w:after="0" w:line="79" w:lineRule="exact"/>
        <w:rPr>
          <w:sz w:val="20"/>
          <w:szCs w:val="20"/>
          <w:color w:val="auto"/>
        </w:rPr>
      </w:pPr>
    </w:p>
    <w:p>
      <w:pPr>
        <w:ind w:right="500" w:firstLine="509"/>
        <w:spacing w:after="0" w:line="280" w:lineRule="auto"/>
        <w:rPr>
          <w:sz w:val="20"/>
          <w:szCs w:val="20"/>
          <w:color w:val="auto"/>
        </w:rPr>
      </w:pPr>
      <w:r>
        <w:rPr>
          <w:rFonts w:ascii="Times New Roman" w:cs="Times New Roman" w:eastAsia="Times New Roman" w:hAnsi="Times New Roman"/>
          <w:sz w:val="18"/>
          <w:szCs w:val="18"/>
          <w:color w:val="auto"/>
        </w:rPr>
        <w:t>We also have a number of recurring costs including insurance, utilities and rental costs, and may face increases to other recurring costs such as regulatory compliance costs. There can be no assurance that any of our recurring costs will not grow at a faster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640"/>
        <w:spacing w:after="0" w:line="280" w:lineRule="auto"/>
        <w:rPr>
          <w:sz w:val="20"/>
          <w:szCs w:val="20"/>
          <w:color w:val="auto"/>
        </w:rPr>
      </w:pPr>
      <w:r>
        <w:rPr>
          <w:rFonts w:ascii="Times New Roman" w:cs="Times New Roman" w:eastAsia="Times New Roman" w:hAnsi="Times New Roman"/>
          <w:sz w:val="18"/>
          <w:szCs w:val="18"/>
          <w:color w:val="auto"/>
        </w:rPr>
        <w:t>rate than our revenue. As a result, any increase in our operating costs could have a material adverse effect on our business, results of operations and financial condition.</w:t>
      </w:r>
    </w:p>
    <w:p>
      <w:pPr>
        <w:spacing w:after="0" w:line="15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volatility in the global capital and credit markets as well as significant developments in macroeconomic and political conditions that are out of our control, including any effects that a U.S. government shutdown, tariffs or trade disputes may have on financial markets and macroeconomic conditions.</w:t>
      </w:r>
    </w:p>
    <w:p>
      <w:pPr>
        <w:spacing w:after="0" w:line="66"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Our business has in the past been, and may continue to be, affected by a number of factors that are beyond our control, such as general macroeconomic conditions, conditions in the financial services markets, geopolitical conditions and other general political and economic developments (including a U.S. government shutdown or the imposition of tariffs or trade disputes), and can continue to be affected by such factors in the future. In particular, we have historically financed acquisitions, the development of de novo and joint venture facilities and the modification of our existing facilities through a variety of sources, including our own cash reserves and debt financing. While we intend to seek to finance acquisitions and new and existing developments from similar sources in the future, there may be insufficient cash reserves to fund the budgeted capital expenditure and market conditions and other factors may prevent us from obtaining debt financing on appropriate terms or at all. In addition, market conditions may limit the number of financial institutions that are willing to provide financing to landlords with whom we wish to contract to build new healthcare facilities which can then be made available to us under a long-term operating lease. If conditions in the global economy remain uncertain or weaken further, this could materially adversely impact our average daily census (“ADC”), which would have a corresponding negative impact on our business, results of operations and financial condition.</w:t>
      </w:r>
    </w:p>
    <w:p>
      <w:pPr>
        <w:spacing w:after="0" w:line="17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worsening of the economic and employment conditions in the geographies in which we operate could materially affect our business and future results of operations.</w:t>
      </w:r>
    </w:p>
    <w:p>
      <w:pPr>
        <w:spacing w:after="0" w:line="5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periods of high unemployment, governmental entities often experience budget deficits as a result of increased costs and lower than expected tax collections. These budget deficits at the federal, state and local levels have decreased, and may continue to decrease, spending for health and human service programs, including Medicare and Medicaid, which are significant payor sources for our facilities. In periods of high unemployment, we have faced and could continue to face the risk of potential declines in the population covered under private insurance, patient decisions to postpone or decide against receiving behavioral healthcare services, potential increases in the uninsured and underinsured populations we serve and further difficulties in collecting patient co-payment and deductible receivables.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sizable portion of our revenue from certain residential recovery, eating disorder facilities, CTCs and youth programs is from self-payors.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 sustained downturn in the U.S. economy could restrain the ability of our patients and the families of our patients to pay for services.</w:t>
      </w:r>
    </w:p>
    <w:p>
      <w:pPr>
        <w:spacing w:after="0" w:line="9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the availability of liquidity and capital resources to fund the continuation and expansion of many business operations worldwide has been limited in recent years. Our ability to access the capital markets on acceptable terms may be severely restricted at a time when we would like, or need, access to those markets, which could have a negative impact on our growth plans, our flexibility to react to changing economic and business conditions and our ability to refinance existing debt (including debt under the Credit Facility and the Senior Notes). A sustained economic downturn or other economic conditions could also adversely affect the counterparties to our agreements, including the lenders under the Credit Facility, causing them to fail to meet their obligations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inflationary pressure may adversely impact our business, financial condition and results of operations.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experienced, and may continue to experience, increased inflationary pressure on our business, including increased personnel, construction and supply chain costs. Current and future inflationary effects may be driven by, among other things, supply chain disruptions and governmental stimulus or fiscal policies, and geopolitical instability. Continuing inflationary pressure, has in the past, and could in the future, impact our costs of labor and services and the margins we are able to realize on the operation of our facilities and services, all of which could have an adverse impact on our business, financial position, results of operations and cash flows. In addition, sustained periods of elevated inflation may result in higher interest rates, which in turn would result in higher costs of debt borrowing and could limit our growth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industry trend on value-based purchasing may negatively impact our revenue.</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rather than per diem charges.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payors currently require hospitals to report quality data, and several commercial payors do not reimburse hospitals for certain preventable adverse events.</w:t>
      </w:r>
    </w:p>
    <w:p>
      <w:pPr>
        <w:spacing w:after="0" w:line="79" w:lineRule="exact"/>
        <w:rPr>
          <w:sz w:val="20"/>
          <w:szCs w:val="20"/>
          <w:color w:val="auto"/>
        </w:rPr>
      </w:pPr>
    </w:p>
    <w:p>
      <w:pPr>
        <w:ind w:right="480" w:firstLine="509"/>
        <w:spacing w:after="0" w:line="280" w:lineRule="auto"/>
        <w:rPr>
          <w:sz w:val="20"/>
          <w:szCs w:val="20"/>
          <w:color w:val="auto"/>
        </w:rPr>
      </w:pPr>
      <w:r>
        <w:rPr>
          <w:rFonts w:ascii="Times New Roman" w:cs="Times New Roman" w:eastAsia="Times New Roman" w:hAnsi="Times New Roman"/>
          <w:sz w:val="18"/>
          <w:szCs w:val="18"/>
          <w:color w:val="auto"/>
        </w:rPr>
        <w:t>We expect value-based purchasing programs, including programs that condition reimbursement on patient outcome measures, to become more common and to involve a higher percentage of reimbursement amounts. We are unable at this time to predict how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5" w:name="page26"/>
    <w:bookmarkEnd w:id="25"/>
    <w:p>
      <w:pPr>
        <w:ind w:right="660"/>
        <w:spacing w:after="0" w:line="280" w:lineRule="auto"/>
        <w:rPr>
          <w:sz w:val="20"/>
          <w:szCs w:val="20"/>
          <w:color w:val="auto"/>
        </w:rPr>
      </w:pPr>
      <w:r>
        <w:rPr>
          <w:rFonts w:ascii="Times New Roman" w:cs="Times New Roman" w:eastAsia="Times New Roman" w:hAnsi="Times New Roman"/>
          <w:sz w:val="18"/>
          <w:szCs w:val="18"/>
          <w:color w:val="auto"/>
        </w:rPr>
        <w:t>trend will affect our results of operations, but it could negatively impact our revenue if we are unable to meet quality standards established by both governmental and private payers.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trend by insurance companies and managed care organizations to enter into sole-source contracts may limit our ability to obtain patients.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Insurance companies and managed care organizations are entering into sole-source contracts with healthcare providers, which could limit our ability to obtain patients since we do not offer the range of services required for these contracts. Moreover, private insurers, managed care organizations and, to a lesser extent, Medicaid and Medicare, are beginning to carve-out specific services, including mental health and substance abuse services, and establish small, specialized networks of providers for such services at fixed reimbursement rates. Continued growth in the use of carve-out arrangements could materially adversely affect our business to the extent we are not selected to participate in such networks or if the reimbursement rate in such networks is not adequate to cover the cost of providing the service.</w:t>
      </w:r>
    </w:p>
    <w:p>
      <w:pPr>
        <w:spacing w:after="0" w:line="18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 increase in uninsured or underinsured patients, from healthcare policy changes or otherwise, or the deterioration in the collectability of patient accounts receivables could harm our results of operations.</w:t>
      </w:r>
    </w:p>
    <w:p>
      <w:pPr>
        <w:spacing w:after="0" w:line="5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Collection of receivables from third-party payors and patients is critical to our operating performance. Our primary collection risks relate to uninsured patients and the portion of the bill that is the patient’s responsibility, which primarily includes co-payments and deductibles.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At December 31, 2025, our estimated implicit price concessions represented approximately 17% of our accounts receivable balance as of such date.</w:t>
      </w:r>
    </w:p>
    <w:p>
      <w:pPr>
        <w:spacing w:after="0" w:line="78" w:lineRule="exact"/>
        <w:rPr>
          <w:sz w:val="20"/>
          <w:szCs w:val="20"/>
          <w:color w:val="auto"/>
        </w:rPr>
      </w:pPr>
    </w:p>
    <w:p>
      <w:pPr>
        <w:ind w:right="120" w:firstLine="509"/>
        <w:spacing w:after="0" w:line="217" w:lineRule="exact"/>
        <w:rPr>
          <w:sz w:val="20"/>
          <w:szCs w:val="20"/>
          <w:color w:val="auto"/>
        </w:rPr>
      </w:pPr>
      <w:r>
        <w:rPr>
          <w:rFonts w:ascii="Times New Roman" w:cs="Times New Roman" w:eastAsia="Times New Roman" w:hAnsi="Times New Roman"/>
          <w:sz w:val="18"/>
          <w:szCs w:val="18"/>
          <w:color w:val="auto"/>
        </w:rPr>
        <w:t>Healthcare policy changes that increase the number of uninsured patients may adversely affect our results of operations. For example, the OBBBA reduces federal Medicaid expenditures and imposes more stringent Medicaid eligibility requirements. By December 31, 2026, Medicaid expansion states will also be required to conduct eligibility redeterminations at least every six months. These changes increase the likelihood of coverage loss, including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loss of eligibility, which may disrupt treatment continuity, complicate coverage verification processes, and result in higher levels of uncompensated care and uncollected patient balances. In addition, the enhanced premium tax credits for ACA marketplace health plans, enacted under the American Rescue Plan Act of 2021, expired on December 31, 2025. Following the expiration of these subsidies, marketplace premiums increased substantially and enrollment for the 2026 plan year declined significantly, increasing the likelihood that patients who previously maintained coverage may no longer be insured.</w:t>
      </w:r>
    </w:p>
    <w:p>
      <w:pPr>
        <w:spacing w:after="0" w:line="96"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8"/>
          <w:szCs w:val="18"/>
          <w:color w:val="auto"/>
        </w:rPr>
        <w:t>Significant changes in business office operations, payor mix, economic conditions or trends in federal and state governmental health coverage could affect our collection of accounts receivable, cash flow and results of operations. If we experience increases in the growth of uninsured and underinsured patients or in bad debt expenses, our results of operations will be harmed.</w:t>
      </w:r>
    </w:p>
    <w:p>
      <w:pPr>
        <w:spacing w:after="0" w:line="173"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in accordance with Section 404 of the Sarbanes-Oxley Act of 2002 (the “Sarbanes-Oxley Act”) could have a material adverse effect on our business.</w:t>
      </w:r>
    </w:p>
    <w:p>
      <w:pPr>
        <w:spacing w:after="0" w:line="5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under Section 404 of the Sarbanes-Oxley Act. If we are unable to maintain adequate internal control over financial reporting, we may be unable to report our financial information on a timely basis, may suffer adverse regulatory consequences or violations of NASDAQ listing rules and may breach the covenants under our financing arrangements. There could also be a negative reaction in the financial markets due to a loss of investor confidence in us and the reliability of our financial statements. If we or our independent registered public accounting firm identify any material weakness in our internal control over financial reporting in the future (including any material weakness in the controls of businesses we have acquired), their correction could require additional remedial measures which could be costly, time-consuming and could have a material adverse effect on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119" w:lineRule="exact"/>
        <w:rPr>
          <w:sz w:val="20"/>
          <w:szCs w:val="20"/>
          <w:color w:val="auto"/>
        </w:rPr>
      </w:pPr>
    </w:p>
    <w:p>
      <w:pPr>
        <w:jc w:val="both"/>
        <w:ind w:right="40" w:firstLine="509"/>
        <w:spacing w:after="0" w:line="279" w:lineRule="auto"/>
        <w:rPr>
          <w:sz w:val="20"/>
          <w:szCs w:val="20"/>
          <w:color w:val="auto"/>
        </w:rPr>
      </w:pPr>
      <w:r>
        <w:rPr>
          <w:rFonts w:ascii="Times New Roman" w:cs="Times New Roman" w:eastAsia="Times New Roman" w:hAnsi="Times New Roman"/>
          <w:sz w:val="17"/>
          <w:szCs w:val="17"/>
          <w:color w:val="auto"/>
        </w:rPr>
        <w:t>We intend to retain our future earnings, if any, for use in our business or for other corporate purposes and do not anticipate that cash dividends with respect to common stock will be paid in the foreseeable future. Any decision as to the future payment of dividends will depend on our results of operations, financial position and such other factors as our board of directors, in its discretion, deems relevant. In addition, the terms of our debt substantially limit our ability to pay dividends. As a result, capital appreciation, if any, of our common stock will be a stockholder’s sole source of gain for the foreseeable future.</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23"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An incident involving one or more of our patients or the failure by one or more of our facilities to provide appropriate care could result in increased regulatory burdens, governmental investigations, litigation, negative publicity and adversely affect the trading price of our common stock.</w:t>
      </w:r>
    </w:p>
    <w:p>
      <w:pPr>
        <w:spacing w:after="0" w:line="2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many of the patients we treat suffer from severe mental health and chemical dependency disorders, patient incidents, including deaths, sexual abuse, assaults and elopements, have occurred in the past and could continue to occur in the future. As a result of adverse patient incidents, we have experienced admissions holds, adverse regulatory action, civil litigation, negative publicity and negative impacts on referrals. If one or more of our facilities experiences an adverse patient incident in the future or is found to have failed to provide appropriate patient care, an admissions hold, loss of accreditation, license revocation or other adverse regulatory action could be taken against us. Any such patient incident or adverse regulatory action could result in governmental investigations, judgments or fines and have a material adverse effect on our business, financial condition and results of operations. In addition, we have been and could become the subject of negative publicity or unfavorable media attention, whether warranted or unwarranted, that could have a significant, adverse effect on the trading price of our common stock or adversely impact our reputation and how our referral sources and payors view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may use significant resources, may be unsuccessful and could expose us to unforeseen liabilities.</w:t>
      </w:r>
    </w:p>
    <w:p>
      <w:pPr>
        <w:spacing w:after="0" w:line="119" w:lineRule="exact"/>
        <w:rPr>
          <w:sz w:val="20"/>
          <w:szCs w:val="20"/>
          <w:color w:val="auto"/>
        </w:rPr>
      </w:pPr>
    </w:p>
    <w:p>
      <w:pPr>
        <w:ind w:right="120" w:firstLine="469"/>
        <w:spacing w:after="0" w:line="259" w:lineRule="auto"/>
        <w:rPr>
          <w:sz w:val="20"/>
          <w:szCs w:val="20"/>
          <w:color w:val="auto"/>
        </w:rPr>
      </w:pPr>
      <w:r>
        <w:rPr>
          <w:rFonts w:ascii="Times New Roman" w:cs="Times New Roman" w:eastAsia="Times New Roman" w:hAnsi="Times New Roman"/>
          <w:sz w:val="18"/>
          <w:szCs w:val="18"/>
          <w:color w:val="auto"/>
        </w:rPr>
        <w:t>As part of our growth strategy, we have completed, and have announced plans to complete, a number of joint ventures and strategic alliances. These joint ventures may involve significant cash expenditures, debt incurrence, additional operating losses and expenses, and compliance risks that could negatively impact our business, financial condition or results of operations. Further, there is often a significant delay between our formation of a joint venture and the time that a de novo facility can be constructed and have a positive financial impact on our results of operations.</w:t>
      </w:r>
    </w:p>
    <w:p>
      <w:pPr>
        <w:spacing w:after="0" w:line="74" w:lineRule="exact"/>
        <w:rPr>
          <w:sz w:val="20"/>
          <w:szCs w:val="20"/>
          <w:color w:val="auto"/>
        </w:rPr>
      </w:pPr>
    </w:p>
    <w:p>
      <w:pPr>
        <w:ind w:firstLine="469"/>
        <w:spacing w:after="0" w:line="252" w:lineRule="auto"/>
        <w:rPr>
          <w:sz w:val="20"/>
          <w:szCs w:val="20"/>
          <w:color w:val="auto"/>
        </w:rPr>
      </w:pPr>
      <w:r>
        <w:rPr>
          <w:rFonts w:ascii="Times New Roman" w:cs="Times New Roman" w:eastAsia="Times New Roman" w:hAnsi="Times New Roman"/>
          <w:sz w:val="18"/>
          <w:szCs w:val="18"/>
          <w:color w:val="auto"/>
        </w:rPr>
        <w:t>The nature of a joint venture requires us to consult with and share certain decision-making powers with unaffiliated third parties, some of which may be not-for-profit healthcare systems. If our joint venture partners do not fulfill their obligations, the affected joint venture may not be able to operate according to its business or strategic plans. In that case, our financial condition and results of operations may be materially adversely affected or we may be required to increase our level of financial commitment to the joint venture. Moreover, differences in economic or business interests or goals among joint venture participants could result in delayed decisions, failures to agree on major issues and even litigation. If these differences cause the joint ventures to deviate from their business or strategic plans, or if our joint venture partners take actions contrary to our policies, objectives or the best interests of the joint venture, our business, financial condition and results of operations could be negatively impacted. In addition, our relationships with not-for-profit healthcare systems and the joint venture agreements that govern these relationships are intended to be structured to comply with current revenue rulings published by the Internal Revenue Service, as well as case law relevant to joint ventures between for-profit and not-for-profit healthcare entities. Material changes in these authorities could adversely affect our relationships with not-for-profit healthcare systems and related joint venture arrangements.</w:t>
      </w:r>
    </w:p>
    <w:p>
      <w:pPr>
        <w:spacing w:after="0" w:line="18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through organic expansion either by developing de novo or joint venture facilities or by modifying existing facilities is dependent upon many factors.</w:t>
      </w:r>
    </w:p>
    <w:p>
      <w:pPr>
        <w:spacing w:after="0" w:line="52" w:lineRule="exact"/>
        <w:rPr>
          <w:sz w:val="20"/>
          <w:szCs w:val="20"/>
          <w:color w:val="auto"/>
        </w:rPr>
      </w:pPr>
    </w:p>
    <w:p>
      <w:pPr>
        <w:ind w:right="200" w:firstLine="562"/>
        <w:spacing w:after="0" w:line="264" w:lineRule="auto"/>
        <w:rPr>
          <w:sz w:val="20"/>
          <w:szCs w:val="20"/>
          <w:color w:val="auto"/>
        </w:rPr>
      </w:pPr>
      <w:r>
        <w:rPr>
          <w:rFonts w:ascii="Times New Roman" w:cs="Times New Roman" w:eastAsia="Times New Roman" w:hAnsi="Times New Roman"/>
          <w:sz w:val="18"/>
          <w:szCs w:val="18"/>
          <w:color w:val="auto"/>
        </w:rPr>
        <w:t>Our ability to grow our business through organic expansion is dependent on capacity and occupancy at our facilities. Should our facilities reach maximum occupancy, we may need to implement other growth strategies either by developing de novo or joint venture facilities or by modifying existing facilities.</w:t>
      </w:r>
    </w:p>
    <w:p>
      <w:pPr>
        <w:spacing w:after="0" w:line="69" w:lineRule="exact"/>
        <w:rPr>
          <w:sz w:val="20"/>
          <w:szCs w:val="20"/>
          <w:color w:val="auto"/>
        </w:rPr>
      </w:pPr>
    </w:p>
    <w:p>
      <w:pPr>
        <w:ind w:right="60" w:firstLine="562"/>
        <w:spacing w:after="0" w:line="271" w:lineRule="auto"/>
        <w:rPr>
          <w:sz w:val="20"/>
          <w:szCs w:val="20"/>
          <w:color w:val="auto"/>
        </w:rPr>
      </w:pPr>
      <w:r>
        <w:rPr>
          <w:rFonts w:ascii="Times New Roman" w:cs="Times New Roman" w:eastAsia="Times New Roman" w:hAnsi="Times New Roman"/>
          <w:sz w:val="17"/>
          <w:szCs w:val="17"/>
          <w:color w:val="auto"/>
        </w:rPr>
        <w:t>Our facilities typically need to be purpose-designed in order to enable the type and quality of service that we provide. Consequently, we must either develop sites to create facilities or purchase or lease existing facilities, which may require substantial modification. We must be able to identify suitable sites and there is no guarantee that such sites will be available at all, or at an economically viable cost or in areas of sufficient demand for our services. The subsequent successful development and construction of a de novo or joint venture facility is contingent upon, among other things, negotiation of construction contracts, regulatory permits and planning consents and satisfactory completion of construction. Similarly, our ability to expand existing facilities is also dependent upon various factors, including identification of appropriate expansion projects, permitting, licensure, financing, integration into our relationships with payors and referral sources, and margin pressure as de novo and joint venture facilities are filled with patients.</w:t>
      </w:r>
    </w:p>
    <w:p>
      <w:pPr>
        <w:spacing w:after="0" w:line="67" w:lineRule="exact"/>
        <w:rPr>
          <w:sz w:val="20"/>
          <w:szCs w:val="20"/>
          <w:color w:val="auto"/>
        </w:rPr>
      </w:pPr>
    </w:p>
    <w:p>
      <w:pPr>
        <w:ind w:right="100" w:firstLine="562"/>
        <w:spacing w:after="0" w:line="255" w:lineRule="auto"/>
        <w:rPr>
          <w:sz w:val="20"/>
          <w:szCs w:val="20"/>
          <w:color w:val="auto"/>
        </w:rPr>
      </w:pPr>
      <w:r>
        <w:rPr>
          <w:rFonts w:ascii="Times New Roman" w:cs="Times New Roman" w:eastAsia="Times New Roman" w:hAnsi="Times New Roman"/>
          <w:sz w:val="18"/>
          <w:szCs w:val="18"/>
          <w:color w:val="auto"/>
        </w:rPr>
        <w:t>Delays caused by difficulties in respect of any of the above factors may lead to cost overruns and longer periods before a return is generated on an investment, if at all. We may incur significant capital expenditure but due to a regulatory, planning or other reason, may find that we are prevented from opening a de novo or joint venture facility or modifying an existing facility. Moreover, even when incurring such development capital expenditure, there is no guarantee that we can fill beds when they become available. Any delays or stoppages in our projects, the unsatisfactory completion or construction of such projects or the failure of such projects to increase our occupancy levels could have a material adverse effect on our ADC, which would have a corresponding negative impact on our business, results of operations and financial condition.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growth and acquisition strategies expose us to a variety of operational and financial risks.</w:t>
      </w:r>
    </w:p>
    <w:p>
      <w:pPr>
        <w:spacing w:after="0" w:line="119" w:lineRule="exact"/>
        <w:rPr>
          <w:sz w:val="20"/>
          <w:szCs w:val="20"/>
          <w:color w:val="auto"/>
        </w:rPr>
      </w:pPr>
    </w:p>
    <w:p>
      <w:pPr>
        <w:ind w:right="540" w:firstLine="509"/>
        <w:spacing w:after="0" w:line="280" w:lineRule="auto"/>
        <w:rPr>
          <w:sz w:val="20"/>
          <w:szCs w:val="20"/>
          <w:color w:val="auto"/>
        </w:rPr>
      </w:pPr>
      <w:r>
        <w:rPr>
          <w:rFonts w:ascii="Times New Roman" w:cs="Times New Roman" w:eastAsia="Times New Roman" w:hAnsi="Times New Roman"/>
          <w:sz w:val="18"/>
          <w:szCs w:val="18"/>
          <w:color w:val="auto"/>
        </w:rPr>
        <w:t>A principal element of our business strategy is to grow by acquiring other companies and assets in the behavioral healthcare industry. Growth through acquisitions exposes us to a variety of operational and financial risks. We summarize the most significant of these risks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risks</w:t>
      </w:r>
    </w:p>
    <w:p>
      <w:pPr>
        <w:spacing w:after="0" w:line="117" w:lineRule="exact"/>
        <w:rPr>
          <w:sz w:val="20"/>
          <w:szCs w:val="20"/>
          <w:color w:val="auto"/>
        </w:rPr>
      </w:pPr>
    </w:p>
    <w:p>
      <w:pPr>
        <w:ind w:right="60" w:firstLine="509"/>
        <w:spacing w:after="0" w:line="280" w:lineRule="auto"/>
        <w:rPr>
          <w:sz w:val="20"/>
          <w:szCs w:val="20"/>
          <w:color w:val="auto"/>
        </w:rPr>
      </w:pPr>
      <w:r>
        <w:rPr>
          <w:rFonts w:ascii="Times New Roman" w:cs="Times New Roman" w:eastAsia="Times New Roman" w:hAnsi="Times New Roman"/>
          <w:sz w:val="18"/>
          <w:szCs w:val="18"/>
          <w:color w:val="auto"/>
        </w:rPr>
        <w:t>We must integrate our acquisitions with our existing operations. This process includes the integration of the various components of our business and of the businesses we have acquired or may acquire in the future, including the following:</w:t>
      </w:r>
    </w:p>
    <w:p>
      <w:pPr>
        <w:spacing w:after="0" w:line="55"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psychiatrists, other physicians and employees who are not familiar with our operations;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may elect to switch to another behavioral healthcare provider;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programs;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operating, information and record keeping systems and technology platforms.</w:t>
      </w:r>
    </w:p>
    <w:p>
      <w:pPr>
        <w:spacing w:after="0" w:line="115"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8"/>
          <w:szCs w:val="18"/>
          <w:color w:val="auto"/>
        </w:rPr>
        <w:t>Integrating a newly acquired facility could be expensive and time consuming and could disrupt our ongoing business, negatively affect cash flow and distract management and other key personnel from day-to-day operations.</w:t>
      </w:r>
    </w:p>
    <w:p>
      <w:pPr>
        <w:spacing w:after="0" w:line="5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successfully combine the operations of acquired facilities with our operations, and even if such integration is accomplished, we may never realize the potential benefits of the acquisition. The integration of acquisitions with our operations requires significant attention from management, may impose substantial demands on our operations or other projects and may impose challenges on the combined business including, but not limited to, consistencies in business standards, procedures, policies, business cultures and internal controls and compliance. Certain acquisitions involve a capital outlay, and the return that we achieve on any capital invested may be less than the return that we would achieve on our other projects or investments. If we fail to complete the integration of acquired facilities, we may never fully realize the potential benefits of the related acquisitions.</w:t>
      </w:r>
    </w:p>
    <w:p>
      <w:pPr>
        <w:spacing w:after="0" w:line="7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Successful integration depends on the ability to effect any required changes in operations or personnel, which may entail unforeseen liabilities. The integration of acquired businesses may expose us to certain risks, including the following: difficulty in integrating these businesses in a cost-effective manner, including the establishment of effective management information and financial control systems; unforeseen legal, regulatory, contractual, employment or other issues arising out of the combination; combining corporate cultures; maintaining employee morale and retaining key employees; potential disruptions to our on-going business caused by our senior management’s focus on integrating these businesses; and performance of the combined assets not meeting our expectations or plans. A failure to properly integrate these businesses could have a corresponding material adverse effect on our business, results of operations, financial condition or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may not materialize</w:t>
      </w:r>
    </w:p>
    <w:p>
      <w:pPr>
        <w:spacing w:after="0" w:line="117"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When evaluating potential acquisition targets, we identify potential synergies and cost savings that we expect to realize upon the successful completion of the acquisition and the integration of the related operations. We may, however, be unable to achieve or may otherwise never realize the expected benefits. Our ability to realize the expected benefits from potential cost savings and revenue improvement opportunities is subject to significant business, economic and competitive uncertainties and contingencies, many of which are beyond our control, such as changes to government regulation governing or otherwise impacting the behavioral healthcare industry, reductions in reimbursement rates from third-party payors, reductions in service levels under our contracts, operating difficulties, client preferences, changes in competition and general economic or industry conditions. If we are unsuccessful in implementing these improvements or if we do not achieve our expected results, it may adversely impact our business, financial condition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of unknown liabilities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Facilities that we acquire may have unknown or contingent liabilities, including, but not limited to, liabilities for uncertain tax positions, liabilities for failure to comply with healthcare laws and regulations and liabilities for unresolved litigation or regulatory reviews. Although we typically attempt to exclude significant liabilities from our acquisition transactions and seek indemnification from the sellers of such facilities, the purchase agreement for some of our significant acquisitions contain minimal representations and warranties about the entities and business that we acquired. In addition, we have no indemnification rights against the sellers under some purchase agreements and all of the purchase price consideration was paid at closing. Therefore, we may incur material liabilities for the past activities of acquired entities and facilities. Even in those acquisitions in which we have such rights, we may experience difficulty enforcing the sellers’ obligations, or we may incur material liabilities for the past activities of acquired facilities. Such liabilities and related legal or other costs and/or resulting damage to a facility’s reputation could negatively impact our business, financial condition or results of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Competing for acquisitions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face competition for acquisition candidates primarily from other for-profit healthcare companies, as well as from not-for-profit entities. Some of our competitors may have greater resources than we do. As a result, we may pay more to acquire a target business or may agree to less favorable deal terms than we would have otherwise. Our principal competitors for acquisitions have included UHS and private equity firms. Also, suitable acquisitions may not be accomplished due to unfavorable terms. Further, the cost of an acquisition could result in a dilutive effect on our results of operations, depending on various factors, including the amount paid for an acquired facility, the acquired facility’s results of operations, the fair value of assets acquired and liabilities assumed, effects of subsequent legislation and limits on rate increases. In addition, we may have to pay cash, incur debt, or issue equity securities to pay for any such acquisition, which could adversely affect our financial results, result in dilution to our stockholders, result in increased fixed obligations or impede our ability to manage our operations. There can be no assurances that we will be able to acquire facilities at historical or expected rates or on favorable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and other legal challenges</w:t>
      </w:r>
    </w:p>
    <w:p>
      <w:pPr>
        <w:spacing w:after="0" w:line="117"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We may face antitrust and other legal challenges when acquiring facilities or other businesses, which could negatively impact our ability to close acquisition transactions. Antitrust enforcement in the healthcare industry is currently a priority of the Federal Trade Commission, the Department of Justice and many state agencies, including with respect to hospital acquisitions. Additionally, many states require CONs in order to acquire a hospital or other healthcare facility. The acquisition of hospitals and other healthcare facilities also often requires licensure approvals or reviews and complex change of ownership processes for Medicare and other payers. The increasingly challenging antitrust enforcement environment and other regulatory review or approval processes could significantly delay or even prevent our ability to acquire facilities and other businesses and increase our acquisition costs, which could adversely affect our overall growth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growth</w:t>
      </w:r>
    </w:p>
    <w:p>
      <w:pPr>
        <w:spacing w:after="0" w:line="11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8"/>
          <w:szCs w:val="18"/>
          <w:color w:val="auto"/>
        </w:rPr>
        <w:t>Some of the facilities we have acquired or may acquire in the future may have had significantly lower operating margins prior to the time of our acquisition or may have had operating losses prior to such acquisition. If we fail to improve the operating margins of the facilities we acquire, operate such facilities profitably or effectively integrate the operations of the acquired facilities, our results of operations could be negatively impacted.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transaction-related costs in connection with acquisitions and other strategic transactions.</w:t>
      </w:r>
    </w:p>
    <w:p>
      <w:pPr>
        <w:spacing w:after="0" w:line="11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We incur substantial costs in connection with acquisitions and other strategic transactions, including transaction-related expenses. In addition, we may incur additional costs to maintain employee morale, retain key employees, and to formulate and execute integration plans. Although we expect that the elimination of duplicative costs, as well as the realization of other efficiencies related to the integration of acquired businesses, should allow us to more than offset incremental transaction and acquisition-related costs over time, this net benefit may not be achieved in the near term, or at all.</w:t>
      </w:r>
    </w:p>
    <w:p>
      <w:pPr>
        <w:spacing w:after="0" w:line="177"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care for a large number of vulnerable individuals with complex needs and any care quality deficiencies could adversely impact our brand, reputation and ability to market our services effectively.</w:t>
      </w:r>
    </w:p>
    <w:p>
      <w:pPr>
        <w:spacing w:after="0" w:line="5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future growth will partly depend on our ability to maintain our reputation for providing quality patient care and, through new programs and marketing activities, increased demand for our services. Factors such as increased acuity of our patients, health and safety incidents at our facilities, regulatory enforcement actions, negative press, civil liability or general patient dissatisfaction could lead to deterioration in the level of our quality ratings or the public perception of the quality of our services (including as a result of negative publicity about our industry generally), which in turn could lead to a loss of patient placements, referrals and self-pay patients or service users. Any impairment of our reputation, loss of goodwill or damage to the value of our brand name could have a material adverse effect on our business, results of operations and financial condition.</w:t>
      </w:r>
    </w:p>
    <w:p>
      <w:pPr>
        <w:spacing w:after="0" w:line="7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of our service users have complex medical conditions or special needs, are vulnerable and often require a substantial level of care and supervision. Our service users have in the past been harmed by one or more of our employees, and could in the future be harmed by our employees, either intentionally, through negligence or by accident. Further, individuals cared for by us have in the past engaged, and may in the future engage, in behavior that results in harm to themselves, our employees or to one or more other individuals, including members of the public. A serious incident involving harm to one or more service users or other individuals could result in negative publicity. Such negative publicity could have a material adverse effect on our brand, reputation and ADC, which would have a corresponding negative impact on our business, results of operations and financial condition. Furthermore, the damage to our reputation or to the reputation of the relevant facility from any such incident could be exacerbated by any failure on our part to respond effectively to such incident.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29" w:name="page30"/>
    <w:bookmarkEnd w:id="29"/>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cost of construction materials and labor has significantly increased, and we continue to grow our business through expansion of existing facilities and development of de novo and joint venture facilities.</w:t>
      </w:r>
    </w:p>
    <w:p>
      <w:pPr>
        <w:spacing w:after="0" w:line="52" w:lineRule="exact"/>
        <w:rPr>
          <w:sz w:val="20"/>
          <w:szCs w:val="20"/>
          <w:color w:val="auto"/>
        </w:rPr>
      </w:pPr>
    </w:p>
    <w:p>
      <w:pPr>
        <w:jc w:val="both"/>
        <w:ind w:right="20" w:firstLine="562"/>
        <w:spacing w:after="0" w:line="264" w:lineRule="auto"/>
        <w:rPr>
          <w:sz w:val="20"/>
          <w:szCs w:val="20"/>
          <w:color w:val="auto"/>
        </w:rPr>
      </w:pPr>
      <w:r>
        <w:rPr>
          <w:rFonts w:ascii="Times New Roman" w:cs="Times New Roman" w:eastAsia="Times New Roman" w:hAnsi="Times New Roman"/>
          <w:sz w:val="18"/>
          <w:szCs w:val="18"/>
          <w:color w:val="auto"/>
        </w:rPr>
        <w:t>Although we evaluate the financial feasibility of construction projects by determining whether the projected cash flow return on investment exceeds our cost of capital and have implemented efforts to realize efficiencies in our design and construction processes, such returns may not be achieved if the cost of construction continues to rise significantly or the expected patient volumes are not attained.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if our information systems fail or if our databases are destroyed or damaged.</w:t>
      </w:r>
    </w:p>
    <w:p>
      <w:pPr>
        <w:spacing w:after="0" w:line="119"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information technology (“IT”) platforms support, among other things, management control of patient administration, billing and financial information and reporting processes. For example, patients in some of our facilities have an electronic patient record that allows our caregivers and nurses to see information about a patient’s care and treatment. Our IT systems are subject to damage or interruption from power outages, facility damage, computer and telecommunications failures, computer viruses, security breaches including credit card or personally identifiable information breaches, vandalism, theft, natural disasters, catastrophic events, human error and potential cyber threats, including malicious codes, worms, phishing attacks, denial of service attacks, ransomware and other sophisticated cyber-attacks, and our disaster recovery planning cannot account for all eventualities. Any failure in or breach of our IT systems could adversely impact our business, results of operations and financial condition.</w:t>
      </w:r>
    </w:p>
    <w:p>
      <w:pPr>
        <w:spacing w:after="0" w:line="182"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facilities with the most recent technological advances, our ability to maintain and expand our markets will be adversely affected.</w:t>
      </w:r>
    </w:p>
    <w:p>
      <w:pPr>
        <w:spacing w:after="0" w:line="52" w:lineRule="exact"/>
        <w:rPr>
          <w:sz w:val="20"/>
          <w:szCs w:val="20"/>
          <w:color w:val="auto"/>
        </w:rPr>
      </w:pPr>
    </w:p>
    <w:p>
      <w:pPr>
        <w:ind w:right="60" w:firstLine="562"/>
        <w:spacing w:after="0" w:line="259" w:lineRule="auto"/>
        <w:rPr>
          <w:sz w:val="20"/>
          <w:szCs w:val="20"/>
          <w:color w:val="auto"/>
        </w:rPr>
      </w:pPr>
      <w:r>
        <w:rPr>
          <w:rFonts w:ascii="Times New Roman" w:cs="Times New Roman" w:eastAsia="Times New Roman" w:hAnsi="Times New Roman"/>
          <w:sz w:val="18"/>
          <w:szCs w:val="18"/>
          <w:color w:val="auto"/>
        </w:rPr>
        <w:t>As healthcare technology continues to advance, we expect information technology to play a greater role in our marketing and admissions processes and the operation of our facilities. To compete effectively, we must continually assess our automation needs and upgrade when significant technological advances occur. If our facilities do not stay current with technological advances in the healthcare industry, patients may seek treatment from other providers and/or physicians may refer their patients to alternate sources, which could adversely affect our results of operations and harm our business.</w:t>
      </w:r>
    </w:p>
    <w:p>
      <w:pPr>
        <w:spacing w:after="0" w:line="17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cybersecurity incident could have a material adverse impact on us, including substantial sanctions, fines, and damages and civil and criminal penalties under federal and state privacy laws, in addition to reputational harm and increased costs.</w:t>
      </w:r>
    </w:p>
    <w:p>
      <w:pPr>
        <w:spacing w:after="0" w:line="52" w:lineRule="exact"/>
        <w:rPr>
          <w:sz w:val="20"/>
          <w:szCs w:val="20"/>
          <w:color w:val="auto"/>
        </w:rPr>
      </w:pPr>
    </w:p>
    <w:p>
      <w:pPr>
        <w:ind w:right="80" w:firstLine="562"/>
        <w:spacing w:after="0" w:line="279" w:lineRule="auto"/>
        <w:rPr>
          <w:sz w:val="20"/>
          <w:szCs w:val="20"/>
          <w:color w:val="auto"/>
        </w:rPr>
      </w:pPr>
      <w:r>
        <w:rPr>
          <w:rFonts w:ascii="Times New Roman" w:cs="Times New Roman" w:eastAsia="Times New Roman" w:hAnsi="Times New Roman"/>
          <w:sz w:val="17"/>
          <w:szCs w:val="17"/>
          <w:color w:val="auto"/>
        </w:rPr>
        <w:t>We have experienced adverse IT events in the past including a criminal ransomware attack on our computer network, which resulted in a temporary systems outage, as well as attempts of computer hacking, vandalism and theft, malware, computer viruses, malicious codes, worms, phishing and other cyber-attacks. To date, we have seen no material impact on our business or operations from these attacks or events. However, it is widely reported that healthcare companies are increasingly prime targets for cyber-attacks and we expect our systems to continue to be subject to attack on a regular basis.</w:t>
      </w:r>
    </w:p>
    <w:p>
      <w:pPr>
        <w:spacing w:after="0" w:line="5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proliferation of ever-evolving cyber threats mean that we and our third-party service providers and vendors must continually evaluate and adapt our respective systems and processes and overall security environment, as well as those of any operations we acquire. As cyber criminals continue to become more sophisticated through evolution of their tactics, techniques and procedures, we have taken, and will continue to take, additional preventive measures to strengthen the cyber defenses of our networks and data. There is no guarantee that these measures will be adequate to safeguard against all data security breaches, system compromises, or misuses of data.</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the threat of security breaches or to alleviate problems caused by breaches, including unauthorized access to patient data and personally identifiable information stored in our IT systems, and the introduction of computer viruses or other malicious software programs to our systems, and cyber-attacks, email phishing schemes, malware, and ransomware. Moreover, a security breach, or threat thereof, could require that we expend significant resources to repair or improve our information systems and infrastructure and could distract management and other key personnel from performing their primary operational duties. In the event of a material breach or cyber-attack, the associated expenses and losses may exceed our current insurance coverage for such events. In addition, some adverse consequences are not insurable, such as reputational harm and third-party business interruption.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cyber-attack that bypasses our IT security systems, or other adverse IT event, resulting in an IT security breach, loss of PHI or other data subject to privacy laws, loss of proprietary business information, or a material disruption of our IT business systems, could have a material adverse impact on our business, financial condition or results of operations. Any successful cybersecurity attack or other unauthorized attempt to access our systems or facilities could result in negative publicity which could damage our reputation or brand with our patients, referral sources, payors, or other third parties and could subject us to substantial sanctions, fines, and damages and civil and criminal penalties under federal and state privacy laws, in addition to litigation with those affected.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0" w:name="page31"/>
    <w:bookmarkEnd w:id="30"/>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fail to deal with clinical waste in accordance with applicable regulations or otherwise be in breach of relevant medical, health and safety or environmental laws and regulations.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our normal business activities, we produce and store clinical waste which may produce effects harmful to the environment or human health. The storage and transportation of such waste is strictly regulated. Our waste disposal services are outsourced and should the relevant service provider fail to comply with relevant regulations, we could face sanctions or fines which could adversely affect our brand, reputation, business or financial condition. Health and safety risks are inherent in the services that we provide and are constantly present in our facilities, primarily in respect of food and water quality, as well as fire safety and the risk that service users may cause harm to themselves, other service users or employees. From time to time, we have experienced, like other providers of similar services, undesirable health and safety incidents. Some of our activities are particularly exposed to significant medical risks relating to the transmission of infections or the prescription and administration of drugs for residents and patients. If any of the above medical or health and safety risks were to materialize, we may be held liable, fined and any registration certificate could be suspended or withdrawn for failure to comply with applicable regulations, which may have a material adverse impact on our business, results of operations and financial condition.</w:t>
      </w:r>
    </w:p>
    <w:p>
      <w:pPr>
        <w:spacing w:after="0" w:line="18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Although we have facilities in 40 states and Puerto Rico, we have substantial operations in Pennsylvania, California and Tennessee, which makes us especially sensitive to regulatory, economic, environmental and competitive conditions and changes in those states.</w:t>
      </w:r>
    </w:p>
    <w:p>
      <w:pPr>
        <w:spacing w:after="0" w:line="52"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Revenue from Pennsylvania, Tennessee, and California represented approximately 13%, 10% and 8% of our total revenue for the year ended December 31, 2025, respectively. This concentration makes us particularly sensitive to legislative, regulatory, economic, environmental and competition changes in those states. Any material change in the current payment programs or regulatory, economic, environmental or competitive conditions in these locations could have a disproportionate effect on our overall business results. Several of our facilities in these states serve patients from neighboring states and receive payments from their Medicaid programs. Therefore, any legislative or regulatory changes occurring in bordering states that restrict out-of-state Medicaid coverage could significantly impact our revenue. If our facilities in these locations are adversely affected by changes in regulatory and economic conditions, our business, financial condition or results of operations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risks related to natural disasters and climate change.</w:t>
      </w:r>
    </w:p>
    <w:p>
      <w:pPr>
        <w:spacing w:after="0" w:line="119"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8"/>
          <w:szCs w:val="18"/>
          <w:color w:val="auto"/>
        </w:rPr>
        <w:t>Some of our facilities are located in areas prone to hurricanes or wildfires. Natural disasters have historically had a disruptive effect on the operations of facilities and the patient populations in such areas. Our business activities could be significantly disrupted by wildfires, hurricanes or other natural disasters, and our property insurance may not be adequate to cover losses from such wildfires, storms or other natural disasters. Even if our facilities are not directly damaged, we may experience considerable disruptions in our operations due to property damage or electrical outages experienced in storm-affected areas by our personnel, payors, vendors and others. Additionally, long-term adverse weather conditions, whether caused by global climate change or otherwise, could cause an outmigration of people from the communities where our facilities are located. If any of the circumstances described above occur, our business, financial condition or results of operations could be adversely affected.</w:t>
      </w:r>
    </w:p>
    <w:p>
      <w:pPr>
        <w:spacing w:after="0" w:line="7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New disclosure standards and rules related to environmental matters have been adopted and may continue to be introduced in various states and other jurisdictions. In October 2023, the state of California enacted the Climate Corporate Data Accountability Act, which mandates the disclosure of greenhouse gas emissions, including Scope 1, Scope 2 and Scope 3 emissions; and the Climate-Related Financial Risk Act, which mandates the disclosure of climate-related financial risks, and measures adopted to reduce and adapt to such risks. Both California laws require initial disclosures in 2026 for companies doing business in the state and exceeding certain revenue thresholds. New or expanded climate-related laws could impose substantial costs, including those related to diligence, compliance and reporting requirements.</w:t>
      </w:r>
    </w:p>
    <w:p>
      <w:pPr>
        <w:spacing w:after="0" w:line="18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markets in which we operate or that otherwise impacts our facilities could adversely impact our business.</w:t>
      </w:r>
    </w:p>
    <w:p>
      <w:pPr>
        <w:spacing w:after="0" w:line="52"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If a pandemic, epidemic, outbreak of an infectious disease or other public health crisis were to occur in an area in which we operate, our operations could be adversely affected. Such a crisis could diminish the public trust in healthcare facilities, especially facilities with patients affected by infectious diseases. If any of our facilities were involved, or perceived as being involved, in treating such patients, other patients might fail to seek care at our facilities, and our reputation may be negatively affected. Further, a pandemic, epidemic or outbreak might adversely impact our business by causing a temporary shutdown or diversion of patients, by disrupting or delaying production and delivery of pharmaceuticals and other medical supplies or by causing staffing shortages in our facilities. Although we have disaster plans in place and operate pursuant to infectious disease protocols, the potential impact of a pandemic, epidemic or outbreak of an infectious disease with respect to our markets or our facilities is difficult to predict and could adversely impact our business, financial condition or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1" w:name="page32"/>
    <w:bookmarkEnd w:id="31"/>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cultivate new or maintain established relationships with referral sources, our business, financial condition and results of operations could be adversely affected.</w:t>
      </w:r>
    </w:p>
    <w:p>
      <w:pPr>
        <w:spacing w:after="0" w:line="52" w:lineRule="exact"/>
        <w:rPr>
          <w:sz w:val="20"/>
          <w:szCs w:val="20"/>
          <w:color w:val="auto"/>
        </w:rPr>
      </w:pPr>
    </w:p>
    <w:p>
      <w:pPr>
        <w:jc w:val="both"/>
        <w:ind w:right="280" w:firstLine="509"/>
        <w:spacing w:after="0" w:line="256" w:lineRule="auto"/>
        <w:rPr>
          <w:sz w:val="20"/>
          <w:szCs w:val="20"/>
          <w:color w:val="auto"/>
        </w:rPr>
      </w:pPr>
      <w:r>
        <w:rPr>
          <w:rFonts w:ascii="Times New Roman" w:cs="Times New Roman" w:eastAsia="Times New Roman" w:hAnsi="Times New Roman"/>
          <w:sz w:val="18"/>
          <w:szCs w:val="18"/>
          <w:color w:val="auto"/>
        </w:rPr>
        <w:t>Our ability to grow or even to maintain our existing level of business depends significantly on our ability to establish and maintain close working relationships with physicians, managed care companies, insurance companies, educational consultants and other referral sources. We may not be able to maintain our existing referral source relationships or develop and maintain new relationships in existing or new markets. If we lose existing relationships with our referral sources, the number of people to whom we provide services may decline, which may adversely affect our revenue. If we fail to develop new referral relationships, our growth may be restrained.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competition may lead to declines in patient volumes.</w:t>
      </w:r>
    </w:p>
    <w:p>
      <w:pPr>
        <w:spacing w:after="0" w:line="119"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8"/>
          <w:szCs w:val="18"/>
          <w:color w:val="auto"/>
        </w:rPr>
        <w:t>The healthcare industry is highly competitive, and competition among healthcare providers (including hospitals) for patients, physicians and other healthcare professionals has intensified in recent years. There are other healthcare facilities that provide behavioral and other mental health services comparable to those offered by our facilities in each of the geographical areas in which we operate. Some of our competitors are owned by tax-supported governmental agencies or by non-profit corporations and may have certain financial advantages not available to us, including endowments, charitable contributions, tax-exempt financing and exemptions from sales, property and income taxes. Some of our for-profit competitors are local, independent operators or physician groups with strong established reputations within the surrounding communities, which may adversely affect our ability to attract a sufficiently large number of patients in markets where we compete with such providers. We also face competition from other for-profit entities, who may possess greater financial, marketing or research and development resources than us or may invest more funds in renovating their facilities or developing technology.</w:t>
      </w:r>
    </w:p>
    <w:p>
      <w:pPr>
        <w:spacing w:after="0" w:line="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If our competitors are better able to attract patients, recruit and retain physicians and other healthcare professionals, expand services or obtain</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favorable managed care contracts at their facilities, we may experience a decline in patient volume and our results of operations may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extend leases at expiration, which could harm our business, financial condition or results of operations.</w:t>
      </w:r>
    </w:p>
    <w:p>
      <w:pPr>
        <w:spacing w:after="0" w:line="119"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We lease the real property on which a number of our facilities are located. Our lease agreements generally give us the right to renew or extend the term of the leases and, in certain cases, purchase the real property. These renewal and purchase rights generally are based upon either prescribed formulas or fair market value. Management expects to renew, extend or exercise purchase options with respect to our leases in the normal course of business; however, there can be no assurance that these rights will be exercised in the future or that we will be able to satisfy the conditions precedent to exercising any such renewal, extension or purchase options. Furthermore, the terms of any such options that are based on fair market value are inherently uncertain and could be unacceptable or unfavorable to us depending on the circumstances at the time of exercise. If we are not able to renew or extend our existing leases, or purchase the real property subject to such leases, at or prior to the end of the existing lease terms, or if the terms of such options are unfavorable or unacceptable to us, our business, financial condition or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designed to reduce inpatient services may reduce our revenue.</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Controls imposed by Medicare, Medicaid and commercial third-party payors designed to reduce admissions and lengths of stay, commonly referred to as “utilization review,” have affected and are expected to continue to affect our facilities. Inpatient utilization, average lengths of stay and occupancy rates continue to be negatively affected by payor-required preadmission authorization and utilization review and by payor pressure to maximize outpatient and alternative healthcare delivery services for less acutely ill patients. Efforts to impose more stringent cost controls are expected to continue. For example, the Patient Protection and Affordable Care Act, as amended by the Health Care and Education Reconciliation Act of 2010, expanded the potential use of prepayment review by Medicare contractors by eliminating certain statutory restrictions on its use. Utilization review is also a requirement of most non-governmental managed-care organizations and other third-party payors. Although we are unable to predict the effect these controls and changes will have on our operations, significant limits on the scope of services reimbursed and on reimbursement rates and fees could have a material adverse effect on our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and rely upon our subsidiaries to provide us with the funds necessary to meet our financial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of any one or more of our subsidiaries could be imposed upon us or our other subsidiaries.</w:t>
      </w:r>
    </w:p>
    <w:p>
      <w:pPr>
        <w:spacing w:after="0" w:line="9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direct operating assets, employees or revenue. Our principal assets are the equity interests we directly or indirectly hold in our multiple operating and other subsidiaries. As a result, we are dependent upon our subsidiaries to generate the funds necessary to meet our financial obligations. Our subsidiaries are legally distinct from us and have no obligation to make funds available to us. The ability of our subsidiaries to provide us with the funds necessary to meet our financial obligations will depend substantially on their respective operating results and may be subject to restrictions under, among other things, the laws of their respective jurisdictions of organization, agreements of those subsidiaries, the terms of our financing arrangements and the terms of any future financing arrangements of our subsidiaries. In addition, liabilities of any one or more of our subsidiaries could be imposed on us or our other subsidiaries.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facilities face competition for staffing, labor shortages and higher turnover rates that may increase our labor costs and reduce our profitability.</w:t>
      </w:r>
    </w:p>
    <w:p>
      <w:pPr>
        <w:spacing w:after="0" w:line="11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Our operations depend on the efforts, abilities and experience of our management and medical support personnel, including our addiction counselors, therapists, nurses, pharmacists, licensed counselors, clinical technicians, and mental health technicians, as well as our psychiatrists and other professionals. We compete with other healthcare providers in recruiting and retaining qualified management, program directors, physicians (including psychiatrists) and support personnel responsible for the daily operations of our business, financial condition or results of operations.</w:t>
      </w:r>
    </w:p>
    <w:p>
      <w:pPr>
        <w:spacing w:after="0" w:line="7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 shortage of nurses, qualified addiction counselors and other medical and care support personnel, combined with low unemployment rates for such personnel and intense competition from other healthcare facilities, has been a significant operating issue facing us and other healthcare providers. We may be required to enhance wages and benefits to hire nurses, qualified addiction counselors and other medical and care support personnel, hire more expensive temporary personnel or increase our recruiting and marketing costs relating to labor. We have resorted to using more expensive contract labor at certain of our facilities, and the use of temporary or agency staff could heighten the risk one of our facilities experiences an adverse patient incident. Further, because we generally recruit our personnel from the local area where the relevant facility is located, the availability in certain areas of suitably qualified personnel can be limited, particularly care home management, qualified teaching personnel and nurses. In addition, certain of our facilities are required to maintain specified staffing levels, including minimum staff- or nurse-to-patient staffing ratios applicable to our facilities located in California, which increases our labor costs. To the extent we cannot meet those levels, we may be required to limit the services provided by these facilities, which would have a corresponding adverse effect on our net operating revenue. Certain of our treatment facilities are located in remote geographical areas, far from population centers, which increases this risk.</w:t>
      </w:r>
    </w:p>
    <w:p>
      <w:pPr>
        <w:spacing w:after="0" w:line="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cannot predict the degree to which we will be affected by the future availability or cost of attracting and retaining talented medical support staff. If our general labor and related expenses increase, we may not be able to raise our rates correspondingly. Increased turnover rates within our employee base can lead to decreased efficiency and increased costs, such as increased overtime and use of contract labor to meet demand and increased wage rates to attract and retain employees. Our failure either to recruit and retain qualified management, psychiatrists, therapists, counselors, nurses and other medical support personnel or control our labor costs could have a material adverse effect on our results of operations.</w:t>
      </w:r>
    </w:p>
    <w:p>
      <w:pPr>
        <w:spacing w:after="0" w:line="182"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recruit and retain quality psychiatrists and other physicians, and nurses, counselors and other medical support personnel.</w:t>
      </w:r>
    </w:p>
    <w:p>
      <w:pPr>
        <w:spacing w:after="0" w:line="5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success and competitive advantage of our facilities depends, in part, on the number and quality of the psychiatrists and other physicians, and nurses, counselors and other medical support personnel on the medical staffs of our facilities and our maintenance of good relations with those medical professionals. Although we employ psychiatrists and other physicians at many of our facilities, psychiatrists and other physicians generally are not employees of our facilities, and, in a number of our markets, they have admitting privileges at competing hospitals providing acute or inpatient behavioral healthcare services. Such physicians (including psychiatrists) may terminate their affiliation with us at any time or admit their patients to competing healthcare facilities or hospitals. If we are unable to attract and retain sufficient numbers of quality psychiatrists and other physicians by providing adequate support personnel and facilities that meet the needs of those psychiatrists and other physicians, they may stop referring patients to our facilities and our results of operations may decline.</w:t>
      </w:r>
    </w:p>
    <w:p>
      <w:pPr>
        <w:spacing w:after="0" w:line="8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It may become difficult for us to attract and retain an adequate number of psychiatrists and other physicians to practice in certain of the communities in which our facilities are located. Our failure to recruit psychiatrists and other physicians to these communities or the loss of such medical professionals in these communities could make it more difficult to attract patients to our facilities and thereby may have a material adverse effect on our business, financial condition or results of operations. Additionally, our ability to recruit psychiatrists and other physicians is closely regulated. The form, amount and duration of assistance we can provide to recruited psychiatrists and other physicians is limited by the Stark Law, the Anti-Kickback Statute, state anti-kickback statutes, and related regulations.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employees are represented by labor unions and any work stoppage could adversely affect our business.</w:t>
      </w:r>
    </w:p>
    <w:p>
      <w:pPr>
        <w:spacing w:after="0" w:line="119"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Increased labor union activity could adversely affect our labor costs. At December 31, 2025, a labor union represented approximately 130 of our full-time employees at one of our facilities. We cannot assure you that employee relations will remain stable. Furthermore, there is a possibility that work stoppages could occur as a result of union activity, which could increase our labor costs and adversely affect our business, financial condition or results of operations. To the extent that a greater portion of our employee base unionizes and the terms of any collective bargaining agreements are significantly different from our current compensation arrangements, it is possible that our labor costs could increase materially and our business, financial condition or results of operations could be adversely affected.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33" w:name="page34"/>
    <w:bookmarkEnd w:id="33"/>
    <w:p>
      <w:pPr>
        <w:ind w:right="5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 and the failure to attract and retain one or more of our key executives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including our Chief Executive Officer, or a significant portion of our local facility management personnel could harm our business.</w:t>
      </w:r>
    </w:p>
    <w:p>
      <w:pPr>
        <w:spacing w:after="0" w:line="52"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The expertise and efforts of our senior executives, including our Chief Executive Officer and Chief Financial Officer, medical directors, physicians and other key members of our facility management personnel are important to the success of our business. We have experienced significant turnover among our executive officers, including the departure of our Chief Executive Officer in January 2026 and the resignations of our Chief Financial Officer and our Chief Operating Officer effective in August 2025 and November 2025, respectively. We are actively recruiting new executive officers and may not be able to identify or hire such executives in a timely manner. If hired, it may take time for new officers to be integrated into our business. In addition, the loss of the services of one or more of our senior executives or our facility management personnel could significantly undermine our management expertise and our ability to provide efficient, quality healthcare services at our facilities, which could have a material adverse effect on our business, results of operations and financial condition.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3"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Fluctuations in our operating results, quarter to quarter earnings and other factors, including factors outside of our control, may result in significant decreases in the price of our common stock.</w:t>
      </w:r>
    </w:p>
    <w:p>
      <w:pPr>
        <w:spacing w:after="0" w:line="52" w:lineRule="exact"/>
        <w:rPr>
          <w:sz w:val="20"/>
          <w:szCs w:val="20"/>
          <w:color w:val="auto"/>
        </w:rPr>
      </w:pPr>
    </w:p>
    <w:p>
      <w:pPr>
        <w:jc w:val="both"/>
        <w:ind w:right="580" w:firstLine="509"/>
        <w:spacing w:after="0" w:line="310" w:lineRule="auto"/>
        <w:rPr>
          <w:sz w:val="20"/>
          <w:szCs w:val="20"/>
          <w:color w:val="auto"/>
        </w:rPr>
      </w:pPr>
      <w:r>
        <w:rPr>
          <w:rFonts w:ascii="Times New Roman" w:cs="Times New Roman" w:eastAsia="Times New Roman" w:hAnsi="Times New Roman"/>
          <w:sz w:val="17"/>
          <w:szCs w:val="17"/>
          <w:color w:val="auto"/>
        </w:rPr>
        <w:t>The market price of our common stock has been, and may continue to be, volatile and could be subject to wide fluctuations in response to our operating results, quarter to quarter earnings, the risk factors described in this Annual Report on Form 10-K and other factors outside of our control.</w:t>
      </w:r>
    </w:p>
    <w:p>
      <w:pPr>
        <w:spacing w:after="0" w:line="3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stock markets experience volatility, in some cases unrelated to operating performance. These broad market fluctuations may adversely affect the trading price of our common stock and, as a result, there may be significant volatility in the market price of our common stock. If we are unable to operate our facilities as profitably as we have in the past or as our investors expect us to in the future, the market price of our common stock will likely decline when it becomes apparent that the market expectations may not be realized. In addition to our operating results, many economic and other factors outside of our control could have an adverse effect on the price of our common stock and increase fluctuations in our quarterly earnings. These factors include certain of the risks discussed herein, outcomes of political elections, demographic changes, operating results of other healthcare companies, changes in our financial estimates or recommendations of securities analysts, speculation in the press or investment community, the possible effects of war, terrorist and other hostilities, adverse weather conditions, climate change, the impact of a pandemic, epidemic, or outbreak of an infectious disease, managed care contract negotiations and terminations, changes in general conditions in the economy or the financial markets or other developments affecting the healthcare industry.</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Some companies that have experienced volatility in the market price of their stock, including us, have been subject to securities class action litigation. We have been the target of this type of litigation and may continue to be a target in the future. Securities litigation against us has, and could in the future, result in substantial costs and divert our management’s attention from other business concerns, which could materially adversely affect our business, results of operations, and financial condition. For example, during the year ended December 31, 2025, we incurred $147.5 million of settlement expense for the 2019 Securities Litigation (as described in more detail in Note 11 — Commitments and Contingencies in the accompanying notes to our consolidated financial statements).</w:t>
      </w:r>
    </w:p>
    <w:p>
      <w:pPr>
        <w:spacing w:after="0" w:line="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stock could be the target of short sellers who may seek to drive down the price of shares by disseminating negative reports or information about us. Such negative publicity may lead to additional public scrutiny or may cause further volatility in our stock price, a decline in the value of a stockholder’s investment in us or reputational harm. Volatility in our stock price also impacts the value of our equity compensation, which affects our ability to recruit and retain employees. Accordingly, substantial or sustained stock price declines could have a material adverse impact on stockholder confidence and employee recruiting and retention.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us or our existing stockholders may cause our stock price to fall.</w:t>
      </w:r>
    </w:p>
    <w:p>
      <w:pPr>
        <w:spacing w:after="0" w:line="119"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by us or our existing stockholders, particularly our largest stockholders, our directors and executive officers, in the market, or the perception that these sales could occur. These sales might also make it more difficult for us to sell equity securities at a time and price that we deem appropriate.</w:t>
      </w:r>
    </w:p>
    <w:p>
      <w:pPr>
        <w:spacing w:after="0" w:line="17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were to change their recommendations regarding our stock adversely or if our operating results do not meet their expectations, our stock price and trading volume could decline.</w:t>
      </w:r>
    </w:p>
    <w:p>
      <w:pPr>
        <w:spacing w:after="0" w:line="52" w:lineRule="exact"/>
        <w:rPr>
          <w:sz w:val="20"/>
          <w:szCs w:val="20"/>
          <w:color w:val="auto"/>
        </w:rPr>
      </w:pPr>
    </w:p>
    <w:p>
      <w:pPr>
        <w:ind w:right="40" w:firstLine="562"/>
        <w:spacing w:after="0" w:line="259"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If one or more of these analysts cease coverage of us or fail to publish regular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substantial costs as a result of being a public company.</w:t>
      </w:r>
    </w:p>
    <w:p>
      <w:pPr>
        <w:spacing w:after="0" w:line="119"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including costs associated with public company reporting requirements. We incur costs associated with complying with the requirements of the Sarbanes-Oxley Act, the Dodd-Frank Wall Street Reform and Consumer Protection Act (the “Dodd-Frank Act”), and related rules implemented by the SEC and NASDAQ. Enacted in July 2010, the Dodd-Frank Act contains significant corporate governance and executive compensation-related provisions, some of which the SEC has implemented by adopting additional rules and regulations in areas such as executive compensation. The expenses incurred by public companies generally for reporting and corporate governance purposes have been increasing. Management expects these laws and regulations to increase our legal and financial compliance costs and to make some activities more time-consuming and costly, although management is currently unable to estimate these costs with any degree of certainty. These laws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8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stockholders to change management.</w:t>
      </w:r>
    </w:p>
    <w:p>
      <w:pPr>
        <w:spacing w:after="0" w:line="52" w:lineRule="exact"/>
        <w:rPr>
          <w:sz w:val="20"/>
          <w:szCs w:val="20"/>
          <w:color w:val="auto"/>
        </w:rPr>
      </w:pPr>
    </w:p>
    <w:p>
      <w:pPr>
        <w:ind w:right="200" w:firstLine="569"/>
        <w:spacing w:after="0" w:line="259"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may discourage, delay or prevent a merger, acquisition or other change in control that stockholders may consider favorable, including transactions in which stockholders might otherwise receive a premium for their shares. This is because these provisions may prevent or frustrate attempts by stockholders to replace or remove our management. These provisions include:</w:t>
      </w:r>
    </w:p>
    <w:p>
      <w:pPr>
        <w:spacing w:after="0" w:line="74"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that will not be fully declassified until 2029;</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upon a resolution approved by a majority of our directors then in office;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11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Section 203 of the Delaware General Corporation Law (the “DGCL”) prohibits a publicly-held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Although we have elected not to be subject to Section 203 of the DGCL, our amended and restated certificate of incorporation contains provisions that have the same effect as Section 203, except that they provide that Waud Capital Partners, L.L.C. (“WCP”), its affiliates and any investment fund managed by WCP will be deemed to have been approved by our board of directors, and thereby not subject to the restrictions set forth in our amended and restated certificate of incorporation that have the same effect as Section 203 of the DGCL. Accordingly, the provision in our amended and restated certificate of incorporation that adopts a modified version of Section 203 of the DGCL may discourage, delay or prevent a change in control of us.</w:t>
      </w:r>
    </w:p>
    <w:p>
      <w:pPr>
        <w:spacing w:after="0" w:line="79" w:lineRule="exact"/>
        <w:rPr>
          <w:sz w:val="20"/>
          <w:szCs w:val="20"/>
          <w:color w:val="auto"/>
        </w:rPr>
      </w:pPr>
    </w:p>
    <w:p>
      <w:pPr>
        <w:ind w:right="240" w:firstLine="509"/>
        <w:spacing w:after="0" w:line="280" w:lineRule="auto"/>
        <w:rPr>
          <w:sz w:val="20"/>
          <w:szCs w:val="20"/>
          <w:color w:val="auto"/>
        </w:rPr>
      </w:pPr>
      <w:r>
        <w:rPr>
          <w:rFonts w:ascii="Times New Roman" w:cs="Times New Roman" w:eastAsia="Times New Roman" w:hAnsi="Times New Roman"/>
          <w:sz w:val="18"/>
          <w:szCs w:val="18"/>
          <w:color w:val="auto"/>
        </w:rPr>
        <w:t>As a result of these provisions in our charter documents and Delaware law, the price investors may be willing to pay in the future for shares of our common stock may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ind w:right="160" w:firstLine="562"/>
        <w:spacing w:after="0" w:line="264" w:lineRule="auto"/>
        <w:rPr>
          <w:sz w:val="20"/>
          <w:szCs w:val="20"/>
          <w:color w:val="auto"/>
        </w:rPr>
      </w:pPr>
      <w:r>
        <w:rPr>
          <w:rFonts w:ascii="Times New Roman" w:cs="Times New Roman" w:eastAsia="Times New Roman" w:hAnsi="Times New Roman"/>
          <w:sz w:val="18"/>
          <w:szCs w:val="18"/>
          <w:color w:val="auto"/>
        </w:rPr>
        <w:t>Cybersecurity risk is addressed as part of our Enterprise Risk Management (“ERM”) program. Through this process, we identify key enterprise risks, including cybersecurity, and assign responsibility for managing those risks to appropriate levels of management. Cybersecurity is integrated into our overall risk assessment, governance, and oversight structure.</w:t>
      </w:r>
    </w:p>
    <w:p>
      <w:pPr>
        <w:spacing w:after="0" w:line="110" w:lineRule="exact"/>
        <w:rPr>
          <w:sz w:val="20"/>
          <w:szCs w:val="20"/>
          <w:color w:val="auto"/>
        </w:rPr>
      </w:pPr>
    </w:p>
    <w:p>
      <w:pPr>
        <w:ind w:right="660" w:firstLine="562"/>
        <w:spacing w:after="0" w:line="264" w:lineRule="auto"/>
        <w:rPr>
          <w:sz w:val="20"/>
          <w:szCs w:val="20"/>
          <w:color w:val="auto"/>
        </w:rPr>
      </w:pPr>
      <w:r>
        <w:rPr>
          <w:rFonts w:ascii="Times New Roman" w:cs="Times New Roman" w:eastAsia="Times New Roman" w:hAnsi="Times New Roman"/>
          <w:sz w:val="18"/>
          <w:szCs w:val="18"/>
          <w:color w:val="auto"/>
        </w:rPr>
        <w:t>Management has implemented a comprehensive cybersecurity risk management program designed to identify, assess, manage, and mitigate cybersecurity risks to our information systems, data, and operations. This program is informed by recognized industry standards and regulatory requirements and includes, among other things: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5" w:name="page36"/>
    <w:bookmarkEnd w:id="35"/>
    <w:p>
      <w:pPr>
        <w:ind w:left="900" w:right="80" w:hanging="383"/>
        <w:spacing w:after="0" w:line="28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independent cybersecurity maturity and risk assessments to evaluate the effectiveness of our cybersecurity program and to inform a multi-year roadmap for continuous improvement;</w:t>
      </w:r>
    </w:p>
    <w:p>
      <w:pPr>
        <w:spacing w:after="0" w:line="54" w:lineRule="exact"/>
        <w:rPr>
          <w:rFonts w:ascii="Times New Roman" w:cs="Times New Roman" w:eastAsia="Times New Roman" w:hAnsi="Times New Roman"/>
          <w:sz w:val="18"/>
          <w:szCs w:val="18"/>
          <w:color w:val="auto"/>
        </w:rPr>
      </w:pPr>
    </w:p>
    <w:p>
      <w:pPr>
        <w:ind w:left="900" w:right="380" w:hanging="383"/>
        <w:spacing w:after="0" w:line="28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regular cybersecurity risk assessments to identify potential threats and vulnerabilities and to evaluate their potential impact and likelihood;</w:t>
      </w:r>
    </w:p>
    <w:p>
      <w:pPr>
        <w:spacing w:after="0" w:line="54" w:lineRule="exact"/>
        <w:rPr>
          <w:rFonts w:ascii="Times New Roman" w:cs="Times New Roman" w:eastAsia="Times New Roman" w:hAnsi="Times New Roman"/>
          <w:sz w:val="18"/>
          <w:szCs w:val="18"/>
          <w:color w:val="auto"/>
        </w:rPr>
      </w:pPr>
    </w:p>
    <w:p>
      <w:pPr>
        <w:ind w:left="900" w:right="100" w:hanging="383"/>
        <w:spacing w:after="0" w:line="28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layered technical and administrative security controls, including email and web security, audit logging and monitoring, malware protection, encryption, network segmentation, controlled use of administrative privileges, and multi-factor authentication; and</w:t>
      </w:r>
    </w:p>
    <w:p>
      <w:pPr>
        <w:spacing w:after="0" w:line="54" w:lineRule="exact"/>
        <w:rPr>
          <w:rFonts w:ascii="Times New Roman" w:cs="Times New Roman" w:eastAsia="Times New Roman" w:hAnsi="Times New Roman"/>
          <w:sz w:val="18"/>
          <w:szCs w:val="18"/>
          <w:color w:val="auto"/>
        </w:rPr>
      </w:pPr>
    </w:p>
    <w:p>
      <w:pPr>
        <w:ind w:left="900" w:right="180" w:hanging="383"/>
        <w:spacing w:after="0" w:line="28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enterprise-wide cybersecurity awareness and training program, including simulated phishing exercises, designed to reduce the risk of human error and improve the timely recognition and reporting of potential security incidents.</w:t>
      </w:r>
    </w:p>
    <w:p>
      <w:pPr>
        <w:spacing w:after="0" w:line="55" w:lineRule="exact"/>
        <w:rPr>
          <w:sz w:val="20"/>
          <w:szCs w:val="20"/>
          <w:color w:val="auto"/>
        </w:rPr>
      </w:pPr>
    </w:p>
    <w:p>
      <w:pPr>
        <w:ind w:right="260" w:firstLine="562"/>
        <w:spacing w:after="0" w:line="259" w:lineRule="auto"/>
        <w:rPr>
          <w:sz w:val="20"/>
          <w:szCs w:val="20"/>
          <w:color w:val="auto"/>
        </w:rPr>
      </w:pPr>
      <w:r>
        <w:rPr>
          <w:rFonts w:ascii="Times New Roman" w:cs="Times New Roman" w:eastAsia="Times New Roman" w:hAnsi="Times New Roman"/>
          <w:sz w:val="18"/>
          <w:szCs w:val="18"/>
          <w:color w:val="auto"/>
        </w:rPr>
        <w:t>We continuously monitor our information systems and networks and leverage internal and external threat intelligence sources to identify and evaluate evolving cybersecurity threats. We also conduct periodic testing and simulation activities, including vulnerability assessments and penetration testing performed by third-party service providers, to identify and remediate weaknesses in our security controls. Our cybersecurity risk assessments and testing activities are informed by the National Institute of Standards and Technology (“NIST”) cybersecurity framework.</w:t>
      </w:r>
    </w:p>
    <w:p>
      <w:pPr>
        <w:spacing w:after="0" w:line="114" w:lineRule="exact"/>
        <w:rPr>
          <w:sz w:val="20"/>
          <w:szCs w:val="20"/>
          <w:color w:val="auto"/>
        </w:rPr>
      </w:pPr>
    </w:p>
    <w:p>
      <w:pPr>
        <w:ind w:right="520" w:firstLine="562"/>
        <w:spacing w:after="0" w:line="287" w:lineRule="auto"/>
        <w:rPr>
          <w:sz w:val="20"/>
          <w:szCs w:val="20"/>
          <w:color w:val="auto"/>
        </w:rPr>
      </w:pPr>
      <w:r>
        <w:rPr>
          <w:rFonts w:ascii="Times New Roman" w:cs="Times New Roman" w:eastAsia="Times New Roman" w:hAnsi="Times New Roman"/>
          <w:sz w:val="17"/>
          <w:szCs w:val="17"/>
          <w:color w:val="auto"/>
        </w:rPr>
        <w:t>Cybersecurity risks associated with third-party relationships are evaluated as part of our risk management processes, particularly for vendors deemed critical to our operations or those with access to sensitive or confidential information, including PHI. These assessments also consider risks associated with cloud-based services and emerging technologies, including generative artificial intelligence and other machine learning technologies.</w:t>
      </w:r>
    </w:p>
    <w:p>
      <w:pPr>
        <w:spacing w:after="0" w:line="78" w:lineRule="exact"/>
        <w:rPr>
          <w:sz w:val="20"/>
          <w:szCs w:val="20"/>
          <w:color w:val="auto"/>
        </w:rPr>
      </w:pPr>
    </w:p>
    <w:p>
      <w:pPr>
        <w:ind w:firstLine="562"/>
        <w:spacing w:after="0" w:line="259" w:lineRule="auto"/>
        <w:rPr>
          <w:sz w:val="20"/>
          <w:szCs w:val="20"/>
          <w:color w:val="auto"/>
        </w:rPr>
      </w:pPr>
      <w:r>
        <w:rPr>
          <w:rFonts w:ascii="Times New Roman" w:cs="Times New Roman" w:eastAsia="Times New Roman" w:hAnsi="Times New Roman"/>
          <w:sz w:val="18"/>
          <w:szCs w:val="18"/>
          <w:color w:val="auto"/>
        </w:rPr>
        <w:t>The Audit and Risk Committee of our Board of Directors provides oversight of our ERM program, including cybersecurity risk. Our Chief Information Security Officer (“CISO”), in coordination with the Chief Information Officer (“CIO”) and other members of management, is responsible for the day-to-day management of our cybersecurity program and for assessing and managing material cybersecurity risks. The CISO has significant experience leading enterprise cybersecurity programs within regulated environments.</w:t>
      </w:r>
    </w:p>
    <w:p>
      <w:pPr>
        <w:spacing w:after="0" w:line="114" w:lineRule="exact"/>
        <w:rPr>
          <w:sz w:val="20"/>
          <w:szCs w:val="20"/>
          <w:color w:val="auto"/>
        </w:rPr>
      </w:pPr>
    </w:p>
    <w:p>
      <w:pPr>
        <w:ind w:right="300" w:firstLine="562"/>
        <w:spacing w:after="0" w:line="280" w:lineRule="auto"/>
        <w:rPr>
          <w:sz w:val="20"/>
          <w:szCs w:val="20"/>
          <w:color w:val="auto"/>
        </w:rPr>
      </w:pPr>
      <w:r>
        <w:rPr>
          <w:rFonts w:ascii="Times New Roman" w:cs="Times New Roman" w:eastAsia="Times New Roman" w:hAnsi="Times New Roman"/>
          <w:sz w:val="18"/>
          <w:szCs w:val="18"/>
          <w:color w:val="auto"/>
        </w:rPr>
        <w:t>We have established a cross-functional cybersecurity governance structure, including regular management-level forums, to support coordination across information technology, legal, compliance, risk management, and business operations.</w:t>
      </w:r>
    </w:p>
    <w:p>
      <w:pPr>
        <w:spacing w:after="0" w:line="95" w:lineRule="exact"/>
        <w:rPr>
          <w:sz w:val="20"/>
          <w:szCs w:val="20"/>
          <w:color w:val="auto"/>
        </w:rPr>
      </w:pPr>
    </w:p>
    <w:p>
      <w:pPr>
        <w:ind w:right="80" w:firstLine="562"/>
        <w:spacing w:after="0" w:line="259" w:lineRule="auto"/>
        <w:rPr>
          <w:sz w:val="20"/>
          <w:szCs w:val="20"/>
          <w:color w:val="auto"/>
        </w:rPr>
      </w:pPr>
      <w:r>
        <w:rPr>
          <w:rFonts w:ascii="Times New Roman" w:cs="Times New Roman" w:eastAsia="Times New Roman" w:hAnsi="Times New Roman"/>
          <w:sz w:val="18"/>
          <w:szCs w:val="18"/>
          <w:color w:val="auto"/>
        </w:rPr>
        <w:t>As part of our overall risk management approach, we maintain an incident response program designed to detect, respond to, and recover from cybersecurity incidents. This program includes defined roles and responsibilities, escalation and communication protocols, and procedures to mitigate the potential impact of a cybersecurity incident. We also maintain cybersecurity insurance coverage, including access to incident response services, and review the scope and adequacy of this coverage on an annual basis.</w:t>
      </w:r>
    </w:p>
    <w:p>
      <w:pPr>
        <w:spacing w:after="0" w:line="101" w:lineRule="exact"/>
        <w:rPr>
          <w:sz w:val="20"/>
          <w:szCs w:val="20"/>
          <w:color w:val="auto"/>
        </w:rPr>
      </w:pPr>
    </w:p>
    <w:p>
      <w:pPr>
        <w:ind w:firstLine="562"/>
        <w:spacing w:after="0" w:line="264" w:lineRule="auto"/>
        <w:rPr>
          <w:sz w:val="20"/>
          <w:szCs w:val="20"/>
          <w:color w:val="auto"/>
        </w:rPr>
      </w:pPr>
      <w:r>
        <w:rPr>
          <w:rFonts w:ascii="Times New Roman" w:cs="Times New Roman" w:eastAsia="Times New Roman" w:hAnsi="Times New Roman"/>
          <w:sz w:val="18"/>
          <w:szCs w:val="18"/>
          <w:color w:val="auto"/>
        </w:rPr>
        <w:t>While we have experienced cybersecurity incidents and other adverse information technology events in the past, none have had a material impact on our business, financial condition, or results of operations. We continue to evolve our cybersecurity program to address emerging threats and risks, recognizing that cybersecurity risks cannot be entirely eliminated.</w:t>
      </w:r>
    </w:p>
    <w:p>
      <w:pPr>
        <w:spacing w:after="0" w:line="110" w:lineRule="exact"/>
        <w:rPr>
          <w:sz w:val="20"/>
          <w:szCs w:val="20"/>
          <w:color w:val="auto"/>
        </w:rPr>
      </w:pPr>
    </w:p>
    <w:p>
      <w:pPr>
        <w:ind w:right="60" w:firstLine="562"/>
        <w:spacing w:after="0" w:line="280" w:lineRule="auto"/>
        <w:rPr>
          <w:sz w:val="20"/>
          <w:szCs w:val="20"/>
          <w:color w:val="auto"/>
        </w:rPr>
      </w:pPr>
      <w:r>
        <w:rPr>
          <w:rFonts w:ascii="Times New Roman" w:cs="Times New Roman" w:eastAsia="Times New Roman" w:hAnsi="Times New Roman"/>
          <w:sz w:val="18"/>
          <w:szCs w:val="18"/>
          <w:color w:val="auto"/>
        </w:rPr>
        <w:t>Material cybersecurity risks and significant developments are reported by management to the Audit and Risk Committee as part of our ongoing risk oversight processes.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by state or country, the number of behavioral healthcare facilities directly or indirectly owned and operated by us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98" w:lineRule="exact"/>
        <w:rPr>
          <w:sz w:val="20"/>
          <w:szCs w:val="20"/>
          <w:color w:val="auto"/>
        </w:rPr>
      </w:pPr>
    </w:p>
    <w:tbl>
      <w:tblPr>
        <w:tblLayout w:type="fixed"/>
        <w:tblInd w:w="900" w:type="dxa"/>
        <w:tblCellMar>
          <w:top w:w="0" w:type="dxa"/>
          <w:left w:w="0" w:type="dxa"/>
          <w:bottom w:w="0" w:type="dxa"/>
          <w:right w:w="0" w:type="dxa"/>
        </w:tblCellMar>
      </w:tblPr>
      <w:tr>
        <w:trPr>
          <w:trHeight w:val="172"/>
        </w:trPr>
        <w:tc>
          <w:tcPr>
            <w:tcW w:w="4580" w:type="dxa"/>
            <w:vAlign w:val="bottom"/>
          </w:tcPr>
          <w:p>
            <w:pPr>
              <w:spacing w:after="0"/>
              <w:rPr>
                <w:sz w:val="15"/>
                <w:szCs w:val="15"/>
                <w:color w:val="auto"/>
              </w:rPr>
            </w:pP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Inpatient</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Operated Beds</w:t>
            </w:r>
          </w:p>
        </w:tc>
      </w:tr>
      <w:tr>
        <w:trPr>
          <w:trHeight w:val="148"/>
        </w:trPr>
        <w:tc>
          <w:tcPr>
            <w:tcW w:w="458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State</w:t>
            </w:r>
          </w:p>
        </w:tc>
        <w:tc>
          <w:tcPr>
            <w:tcW w:w="1040" w:type="dxa"/>
            <w:vAlign w:val="bottom"/>
            <w:tcBorders>
              <w:bottom w:val="single" w:sz="8" w:color="auto"/>
            </w:tcBorders>
          </w:tcPr>
          <w:p>
            <w:pPr>
              <w:jc w:val="right"/>
              <w:ind w:right="171"/>
              <w:spacing w:after="0" w:line="148"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52"/>
              <w:spacing w:after="0" w:line="148" w:lineRule="exact"/>
              <w:rPr>
                <w:sz w:val="20"/>
                <w:szCs w:val="20"/>
                <w:color w:val="auto"/>
              </w:rPr>
            </w:pPr>
            <w:r>
              <w:rPr>
                <w:rFonts w:ascii="Times New Roman" w:cs="Times New Roman" w:eastAsia="Times New Roman" w:hAnsi="Times New Roman"/>
                <w:sz w:val="14"/>
                <w:szCs w:val="14"/>
                <w:b w:val="1"/>
                <w:bCs w:val="1"/>
                <w:color w:val="auto"/>
              </w:rPr>
              <w:t>CTCs</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Total Facilities</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2"/>
                <w:szCs w:val="12"/>
                <w:color w:val="auto"/>
              </w:rPr>
            </w:pPr>
          </w:p>
        </w:tc>
      </w:tr>
      <w:tr>
        <w:trPr>
          <w:trHeight w:val="208"/>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Arkansas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Colorado</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Iowa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Kansas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Kentucky</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Oklahoma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Tennessee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Utah</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Virginia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15"/>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Puerto Rico</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4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0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-170180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-170180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-170180</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-170180</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1" w:lineRule="exact"/>
        <w:rPr>
          <w:sz w:val="20"/>
          <w:szCs w:val="20"/>
          <w:color w:val="auto"/>
        </w:rPr>
      </w:pPr>
    </w:p>
    <w:p>
      <w:pPr>
        <w:ind w:left="740" w:hanging="171"/>
        <w:spacing w:after="0"/>
        <w:tabs>
          <w:tab w:leader="none" w:pos="740" w:val="left"/>
        </w:tabs>
        <w:numPr>
          <w:ilvl w:val="0"/>
          <w:numId w:val="1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7"/>
          <w:szCs w:val="17"/>
          <w:color w:val="auto"/>
        </w:rPr>
        <w:t>CTC facilities do not have operated beds.</w:t>
      </w:r>
    </w:p>
    <w:p>
      <w:pPr>
        <w:spacing w:after="0" w:line="89" w:lineRule="exact"/>
        <w:rPr>
          <w:sz w:val="20"/>
          <w:szCs w:val="20"/>
          <w:color w:val="auto"/>
        </w:rPr>
      </w:pPr>
    </w:p>
    <w:p>
      <w:pPr>
        <w:ind w:firstLine="562"/>
        <w:spacing w:after="0" w:line="264" w:lineRule="auto"/>
        <w:rPr>
          <w:sz w:val="20"/>
          <w:szCs w:val="20"/>
          <w:color w:val="auto"/>
        </w:rPr>
      </w:pPr>
      <w:r>
        <w:rPr>
          <w:rFonts w:ascii="Times New Roman" w:cs="Times New Roman" w:eastAsia="Times New Roman" w:hAnsi="Times New Roman"/>
          <w:sz w:val="18"/>
          <w:szCs w:val="18"/>
          <w:color w:val="auto"/>
        </w:rPr>
        <w:t>See “Item 1. Business — Operations” for a summary description of the facilities that we own and lease. In addition, we currently lease approximately 63,000 square feet of office space at 4020 Aspen Grove Dr., Franklin, Tennessee, for our corporate headquarters. Our headquarters and facilities are generally well maintained and in good operating condition.</w:t>
      </w:r>
    </w:p>
    <w:p>
      <w:pPr>
        <w:spacing w:after="0" w:line="17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80"/>
          </w:cols>
          <w:pgMar w:left="320" w:top="1300" w:right="7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ind w:firstLine="562"/>
        <w:spacing w:after="0" w:line="280"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11 — Commitments and Contingencies in the accompanying notes to our consolidated financial statements beginning on Page F-1 of this Annual Report on Form 10-K, which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1192" w:right="51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for trading on The NASDAQ Global Select Market under the symbol “ACHC.”</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25, 2026, there were approximately 603 holders of record of our common stock.</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9"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8"/>
          <w:szCs w:val="18"/>
          <w:color w:val="auto"/>
        </w:rPr>
        <w:t>The following table provides information with respect to our repurchases of shares of our common stock during the three months ended December 31, 2025:</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 w:type="dxa"/>
            <w:vAlign w:val="bottom"/>
          </w:tcPr>
          <w:p>
            <w:pPr>
              <w:spacing w:after="0"/>
              <w:rPr>
                <w:sz w:val="12"/>
                <w:szCs w:val="12"/>
                <w:color w:val="auto"/>
              </w:rPr>
            </w:pPr>
          </w:p>
        </w:tc>
        <w:tc>
          <w:tcPr>
            <w:tcW w:w="136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5"/>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4"/>
                <w:szCs w:val="14"/>
                <w:b w:val="1"/>
                <w:bCs w:val="1"/>
                <w:color w:val="auto"/>
                <w:w w:val="95"/>
              </w:rPr>
              <w:t xml:space="preserve">Purchased </w:t>
            </w:r>
            <w:r>
              <w:rPr>
                <w:rFonts w:ascii="Times New Roman" w:cs="Times New Roman" w:eastAsia="Times New Roman" w:hAnsi="Times New Roman"/>
                <w:sz w:val="19"/>
                <w:szCs w:val="19"/>
                <w:b w:val="1"/>
                <w:bCs w:val="1"/>
                <w:color w:val="auto"/>
                <w:w w:val="95"/>
                <w:vertAlign w:val="superscript"/>
              </w:rPr>
              <w:t>(1)</w:t>
            </w:r>
          </w:p>
        </w:tc>
        <w:tc>
          <w:tcPr>
            <w:tcW w:w="240" w:type="dxa"/>
            <w:vAlign w:val="bottom"/>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 October 31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Pr>
          <w:p>
            <w:pPr>
              <w:spacing w:after="0"/>
              <w:rPr>
                <w:sz w:val="18"/>
                <w:szCs w:val="18"/>
                <w:color w:val="auto"/>
              </w:rPr>
            </w:pPr>
          </w:p>
        </w:tc>
        <w:tc>
          <w:tcPr>
            <w:tcW w:w="13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 December 31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-170180</wp:posOffset>
            </wp:positionV>
            <wp:extent cx="67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98" w:lineRule="exact"/>
        <w:rPr>
          <w:sz w:val="20"/>
          <w:szCs w:val="20"/>
          <w:color w:val="auto"/>
        </w:rPr>
      </w:pPr>
    </w:p>
    <w:p>
      <w:pPr>
        <w:ind w:right="80" w:firstLine="517"/>
        <w:spacing w:after="0" w:line="263" w:lineRule="auto"/>
        <w:tabs>
          <w:tab w:leader="none" w:pos="69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There were no shares repurchased during the three months ended December 31, 2025 under the Share Repurchase Program, and there were 8,824 shares withheld in connection with tax payments due upon vesting of employee restricted stock awards and the use of shares of our common stock to pay the exercise price of employee stock options.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February 25, 2025, our board of directors authorized a share repurchase program (the “Share Repurchase Program”) pursuant to which we may, from time to time, acquire up to $300.0 million of outstanding shares of our common stock, exclusive of any fees, commissions, or other expenses related to such repurchases. Repurchases made pursuant to the Share Repurchase Program will be made in accordance with applicable securities laws and may be made at management’s discretion from time to time in the open market, in privately negotiated transactions, or through block trades, derivatives transactions, or purchases made in accordance with Rule 10b-18 and Rule 10b5-1 of the Securities Exchange Act of 1934, as amended (the “Exchange Act”). The Share Repurchase Program has no termination date and may be modified, suspended or discontinued by our board of directors at any time. The authorization does not obligate us to repurchase any shares. During the year ended December 31, 2025, we repurchased 1,706,625 shares of our common stock under the Share Repurchase Program that were each cancelled at the time of repurchase for a total of $50.4 million (inclusive of $0.4 million in expenses related thereto). As of December 31, 2025, there was $250.0 million remaining under the Share Repurchase Program.</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(a) the performance of a broad equity market indicator and (b) the performance of a published industry index or peer group. In 2022, we selected the S&amp;P 500 as our broad equity market index as we believe it is more commonly used by investors relative to our prior index. We also selected the S&amp;P Health Care Services Select Industry Index as our peer group because we believe it is more representative of healthcare companies that we view as our peers for comparison, benchmarking and other purposes. We have included the performance of the equity market index and peer group index below. The graph assumes the investment on December 31, 2020, of $100 and that all dividends were reinvested at the time they were paid. The table following the graph presents the corresponding data for December 31, 2020, and each subsequent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266700</wp:posOffset>
            </wp:positionV>
            <wp:extent cx="4906010" cy="2611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06010" cy="261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4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r>
      <w:tr>
        <w:trPr>
          <w:trHeight w:val="208"/>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Acadia Healthcare Company, Inc.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FF0FC"/>
          </w:tcPr>
          <w:p>
            <w:pPr>
              <w:spacing w:after="0"/>
              <w:rPr>
                <w:sz w:val="18"/>
                <w:szCs w:val="18"/>
                <w:color w:val="auto"/>
              </w:rPr>
            </w:pPr>
          </w:p>
        </w:tc>
      </w:tr>
      <w:tr>
        <w:trPr>
          <w:trHeight w:val="21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tcPr>
          <w:p>
            <w:pPr>
              <w:spacing w:after="0"/>
              <w:rPr>
                <w:sz w:val="18"/>
                <w:szCs w:val="18"/>
                <w:color w:val="auto"/>
              </w:rPr>
            </w:pPr>
          </w:p>
        </w:tc>
      </w:tr>
      <w:tr>
        <w:trPr>
          <w:trHeight w:val="21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S&amp;P Health Care Services Select Industry Index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FF0FC"/>
          </w:tcPr>
          <w:p>
            <w:pPr>
              <w:spacing w:after="0"/>
              <w:rPr>
                <w:sz w:val="18"/>
                <w:szCs w:val="18"/>
                <w:color w:val="auto"/>
              </w:rPr>
            </w:pPr>
          </w:p>
        </w:tc>
      </w:tr>
    </w:tbl>
    <w:p>
      <w:pPr>
        <w:spacing w:after="0" w:line="8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This stock performance information is being “furnished” and shall not be deemed to be “soliciting material” or subject to Regulation 14A under the Exchange Act, shall not be deemed “filed” for purposes of Section 18 of the Exchange Act or otherwise subject to the liabilities of that section, and shall not be deemed incorporated by reference in any filing under the Securities Act or the Exchange Act, whether made before or after the date of this report and irrespective of any general incorporation by reference language in any such filing, except to the extent we specifically incorporate the information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is limited by restrictions on the ability of our subsidiaries to pay dividends or make distributions to us, including restrictions under the terms of the agreements governing our indebtedness. Any future determination to pay dividends will be at the discretion of our board of directors, subject to compliance with covenants in current and future agreements governing our indebtedness (including the Credit Facility and the indenture governing the Senior Notes), and will depend upon our results of operations, financial condition, capital requirements and other factors that our board of directors deems relevant.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940" w:firstLine="509"/>
        <w:spacing w:after="0" w:line="280"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audited consolidated financial statements and notes thereto included elsewhere in this Annual Report on Form 10-K.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“would,” “should,” “could” or the negative thereof. Generally, the words “anticipate,” “believe,” “continue,” “expect,” “intend,” “estimate,” “project,” “plan” and similar expressions identify forward-looking statements. In particular, statements about our expectations, beliefs, plans, objectives, assumptions or future events or performance are forward-looking statements.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 the following:</w:t>
      </w:r>
    </w:p>
    <w:p>
      <w:pPr>
        <w:spacing w:after="0" w:line="79"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internal or governmental investigations, regulatory actions, whistleblower lawsuits and other legal proceedings;</w:t>
      </w:r>
    </w:p>
    <w:p>
      <w:pPr>
        <w:spacing w:after="0" w:line="115" w:lineRule="exact"/>
        <w:rPr>
          <w:rFonts w:ascii="Times New Roman" w:cs="Times New Roman" w:eastAsia="Times New Roman" w:hAnsi="Times New Roman"/>
          <w:sz w:val="18"/>
          <w:szCs w:val="18"/>
          <w:color w:val="auto"/>
        </w:rPr>
      </w:pPr>
    </w:p>
    <w:p>
      <w:pPr>
        <w:ind w:left="900" w:right="340" w:hanging="383"/>
        <w:spacing w:after="0" w:line="28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management personnel, key executive and local facility management personnel, the failure to attract and retain such personnel, including our Chief Executive Officer, and the impact of any disruptions from the recent transition of various executives;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for staffing, labor shortages and higher turnover rates on our labor costs and profitability;</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inflationary pressure and interest rate volatility;</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government regulations;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our ability to meet our debt obligations, and our ability to incur substantially more debt;</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payments received from the government and third-party payors on our revenue and results of operations;</w:t>
      </w:r>
    </w:p>
    <w:p>
      <w:pPr>
        <w:spacing w:after="0" w:line="115" w:lineRule="exact"/>
        <w:rPr>
          <w:rFonts w:ascii="Times New Roman" w:cs="Times New Roman" w:eastAsia="Times New Roman" w:hAnsi="Times New Roman"/>
          <w:sz w:val="18"/>
          <w:szCs w:val="18"/>
          <w:color w:val="auto"/>
        </w:rPr>
      </w:pPr>
    </w:p>
    <w:p>
      <w:pPr>
        <w:jc w:val="both"/>
        <w:ind w:left="900" w:right="160" w:hanging="383"/>
        <w:spacing w:after="0" w:line="264"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volatility in the global capital and credit markets, as well as significant developments in macroeconomic and political conditions that are out of our control, including any effects that a U.S. government shutdown, tariffs or trade disputes may have on financial markets and macroeconomic conditions;</w:t>
      </w:r>
    </w:p>
    <w:p>
      <w:pPr>
        <w:spacing w:after="0" w:line="69" w:lineRule="exact"/>
        <w:rPr>
          <w:rFonts w:ascii="Times New Roman" w:cs="Times New Roman" w:eastAsia="Times New Roman" w:hAnsi="Times New Roman"/>
          <w:sz w:val="18"/>
          <w:szCs w:val="18"/>
          <w:color w:val="auto"/>
        </w:rPr>
      </w:pPr>
    </w:p>
    <w:p>
      <w:pPr>
        <w:ind w:left="900" w:right="200" w:hanging="383"/>
        <w:spacing w:after="0" w:line="28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and employment conditions on our business and future results of operations, including increased construction and other costs due to inflation, the imposition of tariffs or trade disputes;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changes in expectations resulting from actuarial and other reviews of our liability reserves and other aspects of our business;</w:t>
      </w:r>
    </w:p>
    <w:p>
      <w:pPr>
        <w:spacing w:after="0" w:line="115" w:lineRule="exact"/>
        <w:rPr>
          <w:rFonts w:ascii="Times New Roman" w:cs="Times New Roman" w:eastAsia="Times New Roman" w:hAnsi="Times New Roman"/>
          <w:sz w:val="18"/>
          <w:szCs w:val="18"/>
          <w:color w:val="auto"/>
        </w:rPr>
      </w:pPr>
    </w:p>
    <w:p>
      <w:pPr>
        <w:ind w:left="900" w:right="260" w:hanging="383"/>
        <w:spacing w:after="0" w:line="28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successfully integrating the operations of acquired facilities or realizing the potential benefits and synergies of our acquisitions and joint ventures;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quality psychiatrists and other physicians, nurses, counselors and other medical support personnel;</w:t>
      </w:r>
    </w:p>
    <w:p>
      <w:pPr>
        <w:spacing w:after="0" w:line="115" w:lineRule="exact"/>
        <w:rPr>
          <w:rFonts w:ascii="Times New Roman" w:cs="Times New Roman" w:eastAsia="Times New Roman" w:hAnsi="Times New Roman"/>
          <w:sz w:val="18"/>
          <w:szCs w:val="18"/>
          <w:color w:val="auto"/>
        </w:rPr>
      </w:pPr>
    </w:p>
    <w:p>
      <w:pPr>
        <w:ind w:left="900" w:right="440" w:hanging="383"/>
        <w:spacing w:after="0" w:line="28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patient incidents, which could result in negative media coverage, adversely affect the price of our securities and result in incremental regulatory burdens and governmental investigations;</w:t>
      </w:r>
    </w:p>
    <w:p>
      <w:pPr>
        <w:spacing w:after="0" w:line="54" w:lineRule="exact"/>
        <w:rPr>
          <w:rFonts w:ascii="Times New Roman" w:cs="Times New Roman" w:eastAsia="Times New Roman" w:hAnsi="Times New Roman"/>
          <w:sz w:val="18"/>
          <w:szCs w:val="18"/>
          <w:color w:val="auto"/>
        </w:rPr>
      </w:pPr>
    </w:p>
    <w:p>
      <w:pPr>
        <w:ind w:left="900" w:right="500" w:hanging="383"/>
        <w:spacing w:after="0" w:line="28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class action and other claims brought against us or our facilities including claims for damages for personal injuries, medical malpractice, overpayments, breach of contract, securities law violations, tort and employee related claims;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litigation;</w:t>
      </w:r>
    </w:p>
    <w:p>
      <w:pPr>
        <w:spacing w:after="0" w:line="115" w:lineRule="exact"/>
        <w:rPr>
          <w:rFonts w:ascii="Times New Roman" w:cs="Times New Roman" w:eastAsia="Times New Roman" w:hAnsi="Times New Roman"/>
          <w:sz w:val="18"/>
          <w:szCs w:val="18"/>
          <w:color w:val="auto"/>
        </w:rPr>
      </w:pPr>
    </w:p>
    <w:p>
      <w:pPr>
        <w:ind w:left="900" w:right="360" w:hanging="383"/>
        <w:spacing w:after="0" w:line="28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carrying a large self-insured retention, the possibilities of being responsible for significant amounts not covered by insurance, premium increases and insurance not being available on acceptable terms because of our claims experience;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1" w:name="page42"/>
    <w:bookmarkEnd w:id="41"/>
    <w:p>
      <w:pPr>
        <w:ind w:left="383" w:right="180" w:hanging="383"/>
        <w:spacing w:after="0" w:line="264"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enactment, amendment or expiration of statutes and regulations affecting the healthcare industry, and potential reductions to Medicare and Medicaid payment rates, changes in reimbursement practices or funding levels, or modification of Medicaid supplemental payment programs;</w:t>
      </w:r>
    </w:p>
    <w:p>
      <w:pPr>
        <w:spacing w:after="0" w:line="69" w:lineRule="exact"/>
        <w:rPr>
          <w:rFonts w:ascii="Times New Roman" w:cs="Times New Roman" w:eastAsia="Times New Roman" w:hAnsi="Times New Roman"/>
          <w:sz w:val="18"/>
          <w:szCs w:val="18"/>
          <w:color w:val="auto"/>
        </w:rPr>
      </w:pPr>
    </w:p>
    <w:p>
      <w:pPr>
        <w:ind w:left="383" w:right="300" w:hanging="383"/>
        <w:spacing w:after="0" w:line="264"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restructuring, consolidation, and elimination of federal agencies that regulate the healthcare industry, which could result in changes to federal agency reviews and enforcement activities, priorities, and guidance, and has the potential to cause delays in obtaining necessary or desired reviews and approvals for our facilities;</w:t>
      </w:r>
    </w:p>
    <w:p>
      <w:pPr>
        <w:spacing w:after="0" w:line="69" w:lineRule="exact"/>
        <w:rPr>
          <w:rFonts w:ascii="Times New Roman" w:cs="Times New Roman" w:eastAsia="Times New Roman" w:hAnsi="Times New Roman"/>
          <w:sz w:val="18"/>
          <w:szCs w:val="18"/>
          <w:color w:val="auto"/>
        </w:rPr>
      </w:pPr>
    </w:p>
    <w:p>
      <w:pPr>
        <w:ind w:left="383" w:right="220" w:hanging="383"/>
        <w:spacing w:after="0" w:line="280"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joint venture and wholly-owned de novo strategies, which expose us to a variety of operational and financial risks, as well as legal and regulatory risks;</w:t>
      </w:r>
    </w:p>
    <w:p>
      <w:pPr>
        <w:spacing w:after="0" w:line="54"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efforts to regulate the construction or expansion of healthcare facilities on our ability to operate and expand our operations;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activist stockholder actions or tactics;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on our inpatient and outpatient volumes caused by pandemics, epidemics or outbreaks of infectious diseases;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restrictive covenants, which may restrict our business and financing activities;</w:t>
      </w:r>
    </w:p>
    <w:p>
      <w:pPr>
        <w:spacing w:after="0" w:line="115" w:lineRule="exact"/>
        <w:rPr>
          <w:rFonts w:ascii="Times New Roman" w:cs="Times New Roman" w:eastAsia="Times New Roman" w:hAnsi="Times New Roman"/>
          <w:sz w:val="18"/>
          <w:szCs w:val="18"/>
          <w:color w:val="auto"/>
        </w:rPr>
      </w:pPr>
    </w:p>
    <w:p>
      <w:pPr>
        <w:ind w:left="383" w:right="120" w:hanging="383"/>
        <w:spacing w:after="0" w:line="280"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weather conditions and climate change, including the effects of hurricanes, wildfires and other natural disasters, and any resulting outmigration;</w:t>
      </w:r>
    </w:p>
    <w:p>
      <w:pPr>
        <w:spacing w:after="0" w:line="54" w:lineRule="exact"/>
        <w:rPr>
          <w:rFonts w:ascii="Times New Roman" w:cs="Times New Roman" w:eastAsia="Times New Roman" w:hAnsi="Times New Roman"/>
          <w:sz w:val="18"/>
          <w:szCs w:val="18"/>
          <w:color w:val="auto"/>
        </w:rPr>
      </w:pPr>
    </w:p>
    <w:p>
      <w:pPr>
        <w:ind w:left="383" w:right="820" w:hanging="383"/>
        <w:spacing w:after="0" w:line="280"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cybersecurity incident and any resulting adverse impact on our operations or violation of laws and regulations regarding information privacy;</w:t>
      </w:r>
    </w:p>
    <w:p>
      <w:pPr>
        <w:spacing w:after="0" w:line="54"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if our information systems fail or our databases are destroyed or damaged;</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on acceptable terms;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 and earnings;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highly competitive industry on patient volumes;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cultivate and maintain relationships with referral sources;</w:t>
      </w:r>
    </w:p>
    <w:p>
      <w:pPr>
        <w:spacing w:after="0" w:line="115" w:lineRule="exact"/>
        <w:rPr>
          <w:rFonts w:ascii="Times New Roman" w:cs="Times New Roman" w:eastAsia="Times New Roman" w:hAnsi="Times New Roman"/>
          <w:sz w:val="18"/>
          <w:szCs w:val="18"/>
          <w:color w:val="auto"/>
        </w:rPr>
      </w:pPr>
    </w:p>
    <w:p>
      <w:pPr>
        <w:ind w:left="383" w:right="440" w:hanging="383"/>
        <w:spacing w:after="0" w:line="280"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trend for insurance companies and managed care organizations to enter into sole source contracts on our ability to obtain patients;</w:t>
      </w:r>
    </w:p>
    <w:p>
      <w:pPr>
        <w:spacing w:after="0" w:line="54"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value-based purchasing programs on our revenue;</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extend leases at expiration;</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controls designed to reduce inpatient services on our revenue;</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different interpretations of accounting principles on our results of operations or financial condition;</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health and safety laws and regulations, especially in locations where we have concentrated operations;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relating to privacy and security of patient health information and standards for electronic transactions;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the mix of our earnings, adverse changes in our effective tax rate and adverse developments in tax laws generally;</w:t>
      </w:r>
    </w:p>
    <w:p>
      <w:pPr>
        <w:spacing w:after="0" w:line="115" w:lineRule="exact"/>
        <w:rPr>
          <w:rFonts w:ascii="Times New Roman" w:cs="Times New Roman" w:eastAsia="Times New Roman" w:hAnsi="Times New Roman"/>
          <w:sz w:val="18"/>
          <w:szCs w:val="18"/>
          <w:color w:val="auto"/>
        </w:rPr>
      </w:pPr>
    </w:p>
    <w:p>
      <w:pPr>
        <w:ind w:left="383" w:hanging="383"/>
        <w:spacing w:after="0" w:line="280"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interpretations, assumptions and expectations regarding tax legislation and policy, including provisions that may be issued by federal and state taxing authorities;</w:t>
      </w:r>
    </w:p>
    <w:p>
      <w:pPr>
        <w:spacing w:after="0" w:line="54"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our operating results, quarter to quarter earnings and other factors on the price of our securities;</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various executive orders affecting the broader healthcare industry; and</w:t>
      </w:r>
    </w:p>
    <w:p>
      <w:pPr>
        <w:spacing w:after="0" w:line="11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risks and uncertainties described from time to time in our filings with the SEC.</w:t>
      </w:r>
    </w:p>
    <w:p>
      <w:pPr>
        <w:spacing w:after="0" w:line="22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481965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03"/>
          </w:cols>
          <w:pgMar w:left="837" w:top="1089" w:right="359" w:bottom="1440" w:gutter="0" w:footer="0" w:header="0"/>
        </w:sectPr>
      </w:pPr>
    </w:p>
    <w:bookmarkStart w:id="42" w:name="page43"/>
    <w:bookmarkEnd w:id="42"/>
    <w:p>
      <w:pPr>
        <w:jc w:val="both"/>
        <w:ind w:firstLine="562"/>
        <w:spacing w:after="0" w:line="259"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Annual Report on Form 10-K. We do not undertake and specifically decline any obligation to update any such statements or to publicly announce the results of any revisions to any such statements to reflect future events or developments.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Our business strategy is to become the indispensable behavioral healthcare provider for the high-acuity and complex needs patient population. We are committed to providing the communities we serve with high-quality, cost-effective behavioral healthcare services, while growing our business, increasing profitability and creating long-term value for our stockholders. This strategy includes five growth pathways: expansions of existing facilities, joint venture partnerships, de novo facilities, acquisitions and expansion across our continuum of care. At December 31, 2025, we operated 277 behavioral healthcare facilities with over 12,500 beds in 40 states and Puerto Rico. During the year ended December 31, 2025, we added 1,089 beds, consisting of 311 added to existing facilities and 778 added through the opening of one wholly-owned facility and five joint venture facilities, and we closed five facilities totaling 382 beds. The five joint venture facilities opened during the year ended December 31, 2025, were through partnerships with Henry Ford Health, Geisinger Health, Ascension Seton, Fairview Health Services, and ECU Health. During the year ended December 31, 2025, we opened 15 CTCs.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the leading publicly traded pure-play provider of behavioral healthcare services in the U.S. Management believes that we are positioned as a leading platform in a highly fragmented industry under the direction of an experienced management team that has significant industry expertise. Management expects to take advantage of several strategies that are more accessible as a result of our increased size and geographic scale, including continuing a national marketing strategy to attract new patients and referral sources, increasing our volume of out-of-state referrals, providing a broader range of services to new and existing patients and clients and selectively pursuing opportunities to expand our facility and bed count through acquisitions, wholly-owned de novo facilities, joint ventures and bed additions in existing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ind w:right="80" w:firstLine="562"/>
        <w:spacing w:after="0" w:line="264" w:lineRule="auto"/>
        <w:rPr>
          <w:sz w:val="20"/>
          <w:szCs w:val="20"/>
          <w:color w:val="auto"/>
        </w:rPr>
      </w:pPr>
      <w:r>
        <w:rPr>
          <w:rFonts w:ascii="Times New Roman" w:cs="Times New Roman" w:eastAsia="Times New Roman" w:hAnsi="Times New Roman"/>
          <w:sz w:val="18"/>
          <w:szCs w:val="18"/>
          <w:color w:val="auto"/>
        </w:rPr>
        <w:t>On February 22, 2024, we acquired substantially all of the assets of Turning Point, a 76-bed specialty provider of substance use disorder and primary mental health treatment services that supports the Salt Lake City, Utah, metropolitan market. Turning Point provides a full continuum of treatment services, including residential, partial hospitalization and intensive outpatient services.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illustrates our consolidated results of operations for the respective periods shown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52"/>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2"/>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3,312,769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3,153,963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2,928,738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1,820,703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195,475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189,706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Rents and leases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(6,419)</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settlements expense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150,966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property</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(8,715)</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(9,747)</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legal and other costs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4,378,710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2,812,084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2,954,098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(1,065,941)</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(25,360)</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(9,699)</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(1,091,923)</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(15,661)</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2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(10,849)</w:t>
            </w:r>
          </w:p>
        </w:tc>
        <w:tc>
          <w:tcPr>
            <w:tcW w:w="24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(8,872)</w:t>
            </w:r>
          </w:p>
        </w:tc>
        <w:tc>
          <w:tcPr>
            <w:tcW w:w="26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(6,006)</w:t>
            </w:r>
          </w:p>
        </w:tc>
        <w:tc>
          <w:tcPr>
            <w:tcW w:w="2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Net (loss) income attributable to Acadia</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(1,102,772)</w:t>
            </w:r>
          </w:p>
        </w:tc>
        <w:tc>
          <w:tcPr>
            <w:tcW w:w="240" w:type="dxa"/>
            <w:vAlign w:val="bottom"/>
          </w:tcPr>
          <w:p>
            <w:pPr>
              <w:spacing w:after="0"/>
              <w:rPr>
                <w:sz w:val="16"/>
                <w:szCs w:val="16"/>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255,612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(21,667)</w:t>
            </w:r>
          </w:p>
        </w:tc>
        <w:tc>
          <w:tcPr>
            <w:tcW w:w="260" w:type="dxa"/>
            <w:vAlign w:val="bottom"/>
          </w:tcPr>
          <w:p>
            <w:pPr>
              <w:spacing w:after="0"/>
              <w:rPr>
                <w:sz w:val="16"/>
                <w:szCs w:val="16"/>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3"/>
        </w:trPr>
        <w:tc>
          <w:tcPr>
            <w:tcW w:w="364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Healthcare Company, Inc.</w:t>
            </w:r>
          </w:p>
        </w:tc>
        <w:tc>
          <w:tcPr>
            <w:tcW w:w="1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-972185</wp:posOffset>
            </wp:positionV>
            <wp:extent cx="67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-972185</wp:posOffset>
            </wp:positionV>
            <wp:extent cx="1447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-972185</wp:posOffset>
            </wp:positionV>
            <wp:extent cx="67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-972185</wp:posOffset>
            </wp:positionV>
            <wp:extent cx="144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6190615</wp:posOffset>
            </wp:positionH>
            <wp:positionV relativeFrom="paragraph">
              <wp:posOffset>-972185</wp:posOffset>
            </wp:positionV>
            <wp:extent cx="6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-690245</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-690245</wp:posOffset>
            </wp:positionV>
            <wp:extent cx="1447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-690245</wp:posOffset>
            </wp:positionV>
            <wp:extent cx="67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-690245</wp:posOffset>
            </wp:positionV>
            <wp:extent cx="144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6190615</wp:posOffset>
            </wp:positionH>
            <wp:positionV relativeFrom="paragraph">
              <wp:posOffset>-690245</wp:posOffset>
            </wp:positionV>
            <wp:extent cx="67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-280670</wp:posOffset>
            </wp:positionV>
            <wp:extent cx="67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-280670</wp:posOffset>
            </wp:positionV>
            <wp:extent cx="1447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-280670</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-280670</wp:posOffset>
            </wp:positionV>
            <wp:extent cx="144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6190615</wp:posOffset>
            </wp:positionH>
            <wp:positionV relativeFrom="paragraph">
              <wp:posOffset>-280670</wp:posOffset>
            </wp:positionV>
            <wp:extent cx="679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-280670</wp:posOffset>
            </wp:positionV>
            <wp:extent cx="1447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6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that we are well positioned to help meet the growing demand for behavioral healthcare services and recorded revenue growth of 5.0% for the year ended December 31, 2025 compared to the year ended December 31, 2024. Similar with many other healthcare providers and other industries across the country, we have been navigating a tight labor market. While we experienced higher wage inflation compared to historical averages in recent years, we continue to see stability in our labor costs and our proactive focus helps us manage through this environment. We remain focused on ensuring that we have the level of staff to meet the demand in our markets across 40 states and Puerto Rico.</w:t>
      </w:r>
    </w:p>
    <w:p>
      <w:pPr>
        <w:spacing w:after="0" w:line="79" w:lineRule="exact"/>
        <w:rPr>
          <w:sz w:val="20"/>
          <w:szCs w:val="20"/>
          <w:color w:val="auto"/>
        </w:rPr>
      </w:pPr>
    </w:p>
    <w:p>
      <w:pPr>
        <w:ind w:right="420" w:firstLine="509"/>
        <w:spacing w:after="0" w:line="280" w:lineRule="auto"/>
        <w:rPr>
          <w:sz w:val="20"/>
          <w:szCs w:val="20"/>
          <w:color w:val="auto"/>
        </w:rPr>
      </w:pPr>
      <w:r>
        <w:rPr>
          <w:rFonts w:ascii="Times New Roman" w:cs="Times New Roman" w:eastAsia="Times New Roman" w:hAnsi="Times New Roman"/>
          <w:sz w:val="18"/>
          <w:szCs w:val="18"/>
          <w:color w:val="auto"/>
        </w:rPr>
        <w:t>The following table sets forth percent changes in same facility operating data for the years ended December 31, 2025 and 2024 compared to the previous years: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5380" w:type="dxa"/>
            <w:vAlign w:val="bottom"/>
          </w:tcPr>
          <w:p>
            <w:pPr>
              <w:spacing w:after="0"/>
              <w:rPr>
                <w:sz w:val="15"/>
                <w:szCs w:val="15"/>
                <w:color w:val="auto"/>
              </w:rPr>
            </w:pPr>
          </w:p>
        </w:tc>
        <w:tc>
          <w:tcPr>
            <w:tcW w:w="36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53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2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8"/>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Same Facility Results (a)</w:t>
            </w:r>
          </w:p>
        </w:tc>
        <w:tc>
          <w:tcPr>
            <w:tcW w:w="16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r>
      <w:tr>
        <w:trPr>
          <w:trHeight w:val="215"/>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growth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920" w:type="dxa"/>
            <w:vAlign w:val="bottom"/>
            <w:gridSpan w:val="2"/>
          </w:tcPr>
          <w:p>
            <w:pPr>
              <w:jc w:val="center"/>
              <w:ind w:left="153"/>
              <w:spacing w:after="0"/>
              <w:rPr>
                <w:sz w:val="20"/>
                <w:szCs w:val="20"/>
                <w:color w:val="auto"/>
              </w:rPr>
            </w:pPr>
            <w:r>
              <w:rPr>
                <w:rFonts w:ascii="Times New Roman" w:cs="Times New Roman" w:eastAsia="Times New Roman" w:hAnsi="Times New Roman"/>
                <w:sz w:val="18"/>
                <w:szCs w:val="18"/>
                <w:color w:val="auto"/>
                <w:w w:val="95"/>
              </w:rPr>
              <w:t>7.7%</w:t>
            </w:r>
          </w:p>
        </w:tc>
      </w:tr>
      <w:tr>
        <w:trPr>
          <w:trHeight w:val="215"/>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Patient days growth</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920" w:type="dxa"/>
            <w:vAlign w:val="bottom"/>
            <w:gridSpan w:val="2"/>
            <w:shd w:val="clear" w:color="auto" w:fill="CFF0FC"/>
          </w:tcPr>
          <w:p>
            <w:pPr>
              <w:jc w:val="center"/>
              <w:ind w:left="153"/>
              <w:spacing w:after="0"/>
              <w:rPr>
                <w:sz w:val="20"/>
                <w:szCs w:val="20"/>
                <w:color w:val="auto"/>
              </w:rPr>
            </w:pPr>
            <w:r>
              <w:rPr>
                <w:rFonts w:ascii="Times New Roman" w:cs="Times New Roman" w:eastAsia="Times New Roman" w:hAnsi="Times New Roman"/>
                <w:sz w:val="18"/>
                <w:szCs w:val="18"/>
                <w:color w:val="auto"/>
                <w:w w:val="95"/>
              </w:rPr>
              <w:t>3.2%</w:t>
            </w:r>
          </w:p>
        </w:tc>
      </w:tr>
      <w:tr>
        <w:trPr>
          <w:trHeight w:val="215"/>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Admissions growth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920" w:type="dxa"/>
            <w:vAlign w:val="bottom"/>
            <w:gridSpan w:val="2"/>
          </w:tcPr>
          <w:p>
            <w:pPr>
              <w:jc w:val="center"/>
              <w:ind w:left="153"/>
              <w:spacing w:after="0"/>
              <w:rPr>
                <w:sz w:val="20"/>
                <w:szCs w:val="20"/>
                <w:color w:val="auto"/>
              </w:rPr>
            </w:pPr>
            <w:r>
              <w:rPr>
                <w:rFonts w:ascii="Times New Roman" w:cs="Times New Roman" w:eastAsia="Times New Roman" w:hAnsi="Times New Roman"/>
                <w:sz w:val="18"/>
                <w:szCs w:val="18"/>
                <w:color w:val="auto"/>
                <w:w w:val="95"/>
              </w:rPr>
              <w:t>1.3%</w:t>
            </w:r>
          </w:p>
        </w:tc>
      </w:tr>
      <w:tr>
        <w:trPr>
          <w:trHeight w:val="215"/>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Average length of stay change (b)</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1920" w:type="dxa"/>
            <w:vAlign w:val="bottom"/>
            <w:gridSpan w:val="2"/>
            <w:shd w:val="clear" w:color="auto" w:fill="CFF0FC"/>
          </w:tcPr>
          <w:p>
            <w:pPr>
              <w:jc w:val="center"/>
              <w:ind w:left="153"/>
              <w:spacing w:after="0"/>
              <w:rPr>
                <w:sz w:val="20"/>
                <w:szCs w:val="20"/>
                <w:color w:val="auto"/>
              </w:rPr>
            </w:pPr>
            <w:r>
              <w:rPr>
                <w:rFonts w:ascii="Times New Roman" w:cs="Times New Roman" w:eastAsia="Times New Roman" w:hAnsi="Times New Roman"/>
                <w:sz w:val="18"/>
                <w:szCs w:val="18"/>
                <w:color w:val="auto"/>
                <w:w w:val="95"/>
              </w:rPr>
              <w:t>1.9%</w:t>
            </w:r>
          </w:p>
        </w:tc>
      </w:tr>
      <w:tr>
        <w:trPr>
          <w:trHeight w:val="234"/>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per patient day growth</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920" w:type="dxa"/>
            <w:vAlign w:val="bottom"/>
            <w:gridSpan w:val="2"/>
          </w:tcPr>
          <w:p>
            <w:pPr>
              <w:jc w:val="center"/>
              <w:ind w:left="153"/>
              <w:spacing w:after="0"/>
              <w:rPr>
                <w:sz w:val="20"/>
                <w:szCs w:val="20"/>
                <w:color w:val="auto"/>
              </w:rPr>
            </w:pPr>
            <w:r>
              <w:rPr>
                <w:rFonts w:ascii="Times New Roman" w:cs="Times New Roman" w:eastAsia="Times New Roman" w:hAnsi="Times New Roman"/>
                <w:sz w:val="18"/>
                <w:szCs w:val="18"/>
                <w:color w:val="auto"/>
                <w:w w:val="95"/>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73660</wp:posOffset>
            </wp:positionV>
            <wp:extent cx="1245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98" w:lineRule="exact"/>
        <w:rPr>
          <w:sz w:val="20"/>
          <w:szCs w:val="20"/>
          <w:color w:val="auto"/>
        </w:rPr>
      </w:pPr>
    </w:p>
    <w:p>
      <w:pPr>
        <w:ind w:left="360" w:hanging="353"/>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the periods presented include facilities we have operated more than one year and exclude certain closed services.</w:t>
      </w:r>
    </w:p>
    <w:p>
      <w:pPr>
        <w:spacing w:after="0" w:line="26"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length of stay is defined as patient days divided by admissions.</w:t>
      </w:r>
    </w:p>
    <w:p>
      <w:pPr>
        <w:spacing w:after="0" w:line="9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Same facility results include operating results only for facilities and services operated in both the current and prior year. These metrics exclude the operating results associated with facilities under operation for less than one year and facilities acquired during the current or prior year, as well as facilities divested or removed from service, and also exclude general and administrative costs related to our corporate functions. Such costs related to our corporate functions include, amongst others, costs for accounting and finance, information systems, human resources, legal and operational and executive leadership. General and administrative costs directly related to the facilities are included in same facility results. Such costs directly related to our facilities include, amongst others, labor at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4" w:name="page45"/>
    <w:bookmarkEnd w:id="44"/>
    <w:p>
      <w:pPr>
        <w:jc w:val="both"/>
        <w:ind w:right="60"/>
        <w:spacing w:after="0" w:line="264" w:lineRule="auto"/>
        <w:rPr>
          <w:sz w:val="20"/>
          <w:szCs w:val="20"/>
          <w:color w:val="auto"/>
        </w:rPr>
      </w:pPr>
      <w:r>
        <w:rPr>
          <w:rFonts w:ascii="Times New Roman" w:cs="Times New Roman" w:eastAsia="Times New Roman" w:hAnsi="Times New Roman"/>
          <w:sz w:val="18"/>
          <w:szCs w:val="18"/>
          <w:color w:val="auto"/>
        </w:rPr>
        <w:t>the facility level, insurance, including property, professional, legal and general liability insurance, hospital supplies, including medication, utilities and food service, and general maintenance costs for the facility. We determine which general and administrative costs to exclude and include in same facility results by ensuring those costs directly associated with facility operations are captured at the facility level for reporting.</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providing results on a same facility basis is helpful to our investors as a measure of our financial and operating performance because it neutralizes the impact of corporate-level items that do not arise out of our core operations at our facilities and because it neutralizes the impact of new facilities that are in early stages of operation and facilities that we no longer operate, each of which may distort investors’ understanding of our underlying performance at our existing and continuing facilities. Further, we believe that providing same facility information is helpful to our investors as a measure of the financial and operating performance of our existing and continuing facilities on a comparable basis, and same facility results metrics provide investors with information useful in understanding underlying organic growth in such facilities. For these reasons, we believe that same facility results are particularly useful during periods of significant expansion or contraction.</w:t>
      </w:r>
    </w:p>
    <w:p>
      <w:pPr>
        <w:spacing w:after="0" w:line="79"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8"/>
          <w:szCs w:val="18"/>
          <w:color w:val="auto"/>
        </w:rPr>
        <w:t>Same facility results reflect adjustments that are intended to provide the specific presentation described above and that may be irregular in timing from period to period related to newly opened or acquired facilities or facilities that we no longer operate, and may omit certain results that investors may view as important. Same facility results may therefore not be indicative of the overall performance of our business and should be not be considered as an alternative for net income or any other performance measures derived in accordance with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$158.8 million, or 5.0%, to $3,312.8 million for the year ended December 31, 2025 from $3,154.0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Same facility revenue increased by $151.5 million, or 4.9%, to $3,231.4 million for the year ended December 31, 2025 compared to $3,079.9 million for the year ended December 31, 2024, resulting from same facility growth in patient days of 2.1%, an increase in same facility revenue per patient day of 2.8% and an increase in same facility admissions of 2.3%. Consistent with the same facility patient day growth in 2024, the growth in same facility patient days for the year ended December 31, 2025 compared to the year ended December 31, 2024 resulted from the addition of beds to our existing facilities and ongoing demand for our services.</w:t>
      </w:r>
    </w:p>
    <w:p>
      <w:pPr>
        <w:spacing w:after="0" w:line="7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Salaries, wages and benefits. </w:t>
      </w:r>
      <w:r>
        <w:rPr>
          <w:rFonts w:ascii="Times New Roman" w:cs="Times New Roman" w:eastAsia="Times New Roman" w:hAnsi="Times New Roman"/>
          <w:sz w:val="18"/>
          <w:szCs w:val="18"/>
          <w:color w:val="auto"/>
        </w:rPr>
        <w:t>Salaries, wages and benefits (“SWB”) expense was $1,820.7 million for the year ended December 31,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$1,691.0 million for the year ended December 31, 2024, an increase of $129.7 million. SWB expense included $31.7 million and $37.1 million of equity-based compensation expense for the years ended December 31, 2025 and 2024, respectively. Excluding equity-based compensation expense, SWB expense was $1,789.0 million, or 54.0% of revenue, for the year ended December 31, 2025, compared to $1,653.9 million, or 52.4% of revenue, for the year ended December 31, 2024. The increase in SWB expense, exclusive of equity-based compensation expense, was primarily due to new facility openings. Same facility SWB expense was $1,587.3 million for the year ended December 31, 2025, or 49.1% of revenue, compared to $1,499.1 million for the year ended December 31, 2024, or 48.7% of revenue.</w:t>
      </w:r>
    </w:p>
    <w:p>
      <w:pPr>
        <w:spacing w:after="0" w:line="79"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were $195.5 million for the year ended December 31, 2025, or 5.9% of revenue, compared to $189.7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or 6.0% of revenue. Same facility professional fees were $163.7 million for the year ended December 31, 2025, or 5.1% of revenue, compared to $163.3 million, for the year ended December 31, 2024, or 5.3% of revenue.</w:t>
      </w:r>
    </w:p>
    <w:p>
      <w:pPr>
        <w:spacing w:after="0" w:line="6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Supplies. </w:t>
      </w:r>
      <w:r>
        <w:rPr>
          <w:rFonts w:ascii="Times New Roman" w:cs="Times New Roman" w:eastAsia="Times New Roman" w:hAnsi="Times New Roman"/>
          <w:sz w:val="18"/>
          <w:szCs w:val="18"/>
          <w:color w:val="auto"/>
        </w:rPr>
        <w:t>Supplies expense was $118.0 million for the year ended December 31, 2025, or 3.6% of revenue, compared to $112.7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or 3.6% of revenue. Same facility supplies expense was $113.4 million for the year ended December 31, 2025, or 3.5% of revenue, compared to $109.2 million for the year ended December 31, 2024, or 3.5% of revenue.</w:t>
      </w:r>
    </w:p>
    <w:p>
      <w:pPr>
        <w:spacing w:after="0" w:line="6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Rents and leases. </w:t>
      </w:r>
      <w:r>
        <w:rPr>
          <w:rFonts w:ascii="Times New Roman" w:cs="Times New Roman" w:eastAsia="Times New Roman" w:hAnsi="Times New Roman"/>
          <w:sz w:val="18"/>
          <w:szCs w:val="18"/>
          <w:color w:val="auto"/>
        </w:rPr>
        <w:t>Rents and leases were $48.0 million for the year ended December 31, 2025, or 1.4% of revenue, compared to $47.9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or 1.5% of revenue. Same facility rents and leases were $41.7 million for the year ended December 31, 2025, or 1.3% of revenue, compared to $42.4 million for the year ended December 31, 2024, or 1.4% of revenue.</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consisted primarily of purchased services, utilities, insurance, provider taxes, travel and repairs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expenses. Other operating expenses were $553.3 million for the year ended December 31, 2025, or 16.7% of revenue, compared to $440.8 million for the year ended December 31, 2024, or 14.0% of revenue. Same facility other operating expenses were $500.9 million for the year ended December 31, 2025, or 15.5% of revenue, compared to $410.6 million for the year ended December 31, 2024, or 13.3% of revenue. The years ended December 31, 2025 and 2024 included unfavorable adjustments of $52.7 million and $10.1 million, respectively, to our estimated liability for self-insured professional and general liability claims relating to the settlement or expected settlement of certain prior year claims.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ind w:right="52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$189.2 million for the year ended December 31, 2025, or 5.7%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compared to $149.6 million for the year ended December 31, 2024, or 4.7% of revenue. The increase in depreciation and amortization was primarily due to the opening of new facilities and expansion of existing facilities during the year ended December 31, 2025.</w:t>
      </w:r>
    </w:p>
    <w:p>
      <w:pPr>
        <w:spacing w:after="0" w:line="67"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$138.9 million for the year ended December 31, 2025 compared to $116.4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The increase in interest expense was primarily the result of increased borrowings.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Debt extinguishment costs. </w:t>
      </w:r>
      <w:r>
        <w:rPr>
          <w:rFonts w:ascii="Times New Roman" w:cs="Times New Roman" w:eastAsia="Times New Roman" w:hAnsi="Times New Roman"/>
          <w:sz w:val="18"/>
          <w:szCs w:val="18"/>
          <w:color w:val="auto"/>
        </w:rPr>
        <w:t>Debt extinguishment costs were $1.3 million for the year ended December 31, 2025 related to the refinancing of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Legal settlements expense. </w:t>
      </w:r>
      <w:r>
        <w:rPr>
          <w:rFonts w:ascii="Times New Roman" w:cs="Times New Roman" w:eastAsia="Times New Roman" w:hAnsi="Times New Roman"/>
          <w:sz w:val="18"/>
          <w:szCs w:val="18"/>
          <w:color w:val="auto"/>
        </w:rPr>
        <w:t>Legal settlements expense for the year ended December 31, 2025 was $151.0 million due to $147.5 million of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2019 Securities Litigation and $3.5 million of expense for the Desert Hills Litigation.</w:t>
      </w:r>
    </w:p>
    <w:p>
      <w:pPr>
        <w:spacing w:after="0" w:line="51"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Loss on impairment. </w:t>
      </w:r>
      <w:r>
        <w:rPr>
          <w:rFonts w:ascii="Times New Roman" w:cs="Times New Roman" w:eastAsia="Times New Roman" w:hAnsi="Times New Roman"/>
          <w:sz w:val="17"/>
          <w:szCs w:val="17"/>
          <w:color w:val="auto"/>
        </w:rPr>
        <w:t>During the year ended December 31, 2025, we recorded non-cash impairment charges totaling $1,007.9 million. The 2025 non-cash impairment charges included goodwill impairment of $996.2 million, indefinite-lived intangible asset impairments of $0.3 million, property impairments of $10.4 million and operating lease right-of-use asset impairments of $1.0 million. During the year ended December 31, 2024, we recorded non-cash impairment charges totaling $17.3 million related to the closure of certain facilities. The 2024 non-cash impairment charges included indefinite-lived intangible asset impairments of $3.5 million, property impairments of $12.4 million and operating lease right-of-use asset impairments of $1.4 million.</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Gain on sale of property. </w:t>
      </w:r>
      <w:r>
        <w:rPr>
          <w:rFonts w:ascii="Times New Roman" w:cs="Times New Roman" w:eastAsia="Times New Roman" w:hAnsi="Times New Roman"/>
          <w:sz w:val="18"/>
          <w:szCs w:val="18"/>
          <w:color w:val="auto"/>
        </w:rPr>
        <w:t>During the year ended December 31, 2025, we recorded an $8.7 million gain on facility property sale.</w:t>
      </w:r>
    </w:p>
    <w:p>
      <w:pPr>
        <w:spacing w:after="0" w:line="115" w:lineRule="exact"/>
        <w:rPr>
          <w:sz w:val="20"/>
          <w:szCs w:val="20"/>
          <w:color w:val="auto"/>
        </w:rPr>
      </w:pPr>
    </w:p>
    <w:p>
      <w:pPr>
        <w:ind w:right="100" w:firstLine="509"/>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Transaction, legal and other costs. </w:t>
      </w:r>
      <w:r>
        <w:rPr>
          <w:rFonts w:ascii="Times New Roman" w:cs="Times New Roman" w:eastAsia="Times New Roman" w:hAnsi="Times New Roman"/>
          <w:sz w:val="17"/>
          <w:szCs w:val="17"/>
          <w:color w:val="auto"/>
        </w:rPr>
        <w:t>Transaction, legal and other costs were $163.6 million for the year ended December 31, 2025 compared to $46.8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for the year ended December 31, 2024. Transaction, legal and other costs represent legal, accounting, government investigation, termination, restructuring, management transition, acquisition and other similar costs incurred in the respective periods, as summarized below (in thousands):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1"/>
        </w:trPr>
        <w:tc>
          <w:tcPr>
            <w:tcW w:w="6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investigations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135,259</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Management transition costs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Pr>
          <w:p>
            <w:pPr>
              <w:spacing w:after="0"/>
              <w:rPr>
                <w:sz w:val="18"/>
                <w:szCs w:val="18"/>
                <w:color w:val="auto"/>
              </w:rPr>
            </w:pPr>
          </w:p>
        </w:tc>
      </w:tr>
      <w:tr>
        <w:trPr>
          <w:trHeight w:val="248"/>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163,630</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Government investigations include legal fees and settlement costs related to certain litigation, including the matters referenced in Note 11 — Commitments and Contingencies in the accompanying notes to our consolidated financial statements. Termination and restructuring costs include costs, net of gains, incurred related to workforce reductions, contract amendments, and the closure and disposition of certain facilities, including related lease terminations. Legal, accounting and other acquisition-related costs include costs incurred for the development of new facilities ($2.1 million and $5.0 million for the years ended December 31, 2025 and 2024, respectively); legal and settlement costs incurred related to certain litigation not included in government investigations ($6.3 million and $4.8 million for the years ended December 31, 2025 and 2024, respectively); and direct costs associated with acquisitions ($0.1 million and $1.4 million for the years ended December 31, 2025 and 2024, respectively). Management transition costs include certain costs associated with the transition of the leadership team, including the design and implementation of the revised organizational structure. Management transition costs incurred with the transition of our Chief Executive Officer from Debra K. Osteen to Christopher H. Hunter beginning in the first quarter of 2022 concluded in the fourth quarter of 2024.</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For the year ended December 31, 2025, the provision for income taxes was $26.0 million, reflecting an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(2.4)%, compared to the provision for taxes of $77.4 million, reflecting an effective tax rate of 22.6%, for the year ended December 31, 2024. The Company’s pre-tax loss for the year ended December 31, 2025 included $996.2 million of goodwill impairment expense, which is nondeductible for income tax purposes and results in a decrease to the effective tax rate given the Company’s pre-tax loss position. Similarly, the Company recorded additional tax expense for the year ended December 31, 2025 in connection with a valuation allowance recorded on certain state deferred tax assets, which also resulted in a decrease to the Company’s effective tax rate for the year ended December 31, 2025.</w:t>
      </w:r>
    </w:p>
    <w:p>
      <w:pPr>
        <w:spacing w:after="0" w:line="8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8"/>
          <w:szCs w:val="18"/>
          <w:color w:val="auto"/>
        </w:rPr>
        <w:t>As we continue to monitor the implications of potential tax legislation in each of our jurisdictions, we may adjust our estimates and record additional amounts for tax assets and liabilities. Any adjustments to our tax assets and liabilities could materially impact our provision for income taxes and our effective tax rate in the periods in which they are made.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the Year Ended December 31, 2023</w:t>
      </w:r>
    </w:p>
    <w:p>
      <w:pPr>
        <w:spacing w:after="0" w:line="15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$225.3 million, or 7.7%, to $3,154.0 million for the year ended December 31, 2024 from $2,928.7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Same facility revenue increased by $220.8 million, or 7.7%, to $3,100.0 million for the year ended December 31, 2024 compared to $2,879.2 million for the year ended December 31, 2023, resulting from same facility growth in patient days of 3.2%, an increase in same facility revenue per day of 4.3% and an increase in same facility admissions of 1.3%. Consistent with the same facility patient day growth in 2023, the growth in same facility patient days for the year ended December 31, 2024 compared to the year ended December 31, 2023 resulted from the addition of beds to our existing facilities and ongoing demand for our services.</w:t>
      </w:r>
    </w:p>
    <w:p>
      <w:pPr>
        <w:spacing w:after="0" w:line="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Salaries, wages and benefits. </w:t>
      </w:r>
      <w:r>
        <w:rPr>
          <w:rFonts w:ascii="Times New Roman" w:cs="Times New Roman" w:eastAsia="Times New Roman" w:hAnsi="Times New Roman"/>
          <w:sz w:val="18"/>
          <w:szCs w:val="18"/>
          <w:color w:val="auto"/>
        </w:rPr>
        <w:t>SWB expense was $1,691.0 million for the year ended December 31, 2024 compared to $1,572.3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an increase of $118.7 million. SWB expense included $37.1 million and $32.3 million of equity-based compensation expense for the years ended December 31, 2024 and 2023, respectively. Excluding equity-based compensation expense, SWB expense was $1,653.9 million, or 52.4% of revenue, for the year ended December 31, 2024, compared to $1,540.0 million, or 52.6% of revenue, for the year ended December 31, 2023. Same facility SWB expense was $1,491.9 million for the year ended December 31, 2024, or 48.1% of revenue, compared to $1,393.6 million for the year ended December 31, 2023, or 48.4% of revenue.</w:t>
      </w:r>
    </w:p>
    <w:p>
      <w:pPr>
        <w:spacing w:after="0" w:line="7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were $189.7 million for the year ended December 31, 2024, or 6.0% of revenue, compared to $176.0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or 6.0% of revenue. Same facility professional fees were $166.0 million for the year ended December 31, 2024, or 5.4% of revenue, compared to $156.2 million, for the year ended December 31, 2023, or 5.4% of revenue.</w:t>
      </w:r>
    </w:p>
    <w:p>
      <w:pPr>
        <w:spacing w:after="0" w:line="67"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Supplies. </w:t>
      </w:r>
      <w:r>
        <w:rPr>
          <w:rFonts w:ascii="Times New Roman" w:cs="Times New Roman" w:eastAsia="Times New Roman" w:hAnsi="Times New Roman"/>
          <w:sz w:val="18"/>
          <w:szCs w:val="18"/>
          <w:color w:val="auto"/>
        </w:rPr>
        <w:t>Supplies expense was $112.7 million for the year ended December 31, 2024, or 3.6% of revenue, compared to $106.0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or 3.6% of revenue. Same facility supplies expense was $109.9 million for the year ended December 31, 2024, or 3.5% of revenue, compared to $103.1 million for the year ended December 31, 2023, or 3.6% of revenue.</w:t>
      </w:r>
    </w:p>
    <w:p>
      <w:pPr>
        <w:spacing w:after="0" w:line="67"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Rents and leases. </w:t>
      </w:r>
      <w:r>
        <w:rPr>
          <w:rFonts w:ascii="Times New Roman" w:cs="Times New Roman" w:eastAsia="Times New Roman" w:hAnsi="Times New Roman"/>
          <w:sz w:val="18"/>
          <w:szCs w:val="18"/>
          <w:color w:val="auto"/>
        </w:rPr>
        <w:t>Rents and leases were $47.9 million for the year ended December 31, 2024, or 1.5% of revenue, compared to $46.6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or 1.6% of revenue. Same facility rents and leases were $42.7 million for the year ended December 31, 2024, or 1.4% of revenue, compared to $42.0 million for the year ended December 31, 2023, or 1.5% of revenue.</w:t>
      </w:r>
    </w:p>
    <w:p>
      <w:pPr>
        <w:spacing w:after="0" w:line="6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consisted primarily of purchased services, utilities, insurance, provider taxes, travel and repairs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expenses. Other operating expenses were $440.8 million for the year ended December 31, 2024, or 14.0% of revenue, compared to $388.9 million for the year ended December 31, 2023, or 13.3% of revenue. Same facility other operating expenses were $408.3 million for the year ended December 31, 2024, or 13.2% of revenue, compared to $361.8 million for the year ended December 31, 2023, or 12.6% of revenue.</w:t>
      </w:r>
    </w:p>
    <w:p>
      <w:pPr>
        <w:spacing w:after="0" w:line="7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Income from provider relief fund. </w:t>
      </w:r>
      <w:r>
        <w:rPr>
          <w:rFonts w:ascii="Times New Roman" w:cs="Times New Roman" w:eastAsia="Times New Roman" w:hAnsi="Times New Roman"/>
          <w:sz w:val="18"/>
          <w:szCs w:val="18"/>
          <w:color w:val="auto"/>
        </w:rPr>
        <w:t>For the year ended December 31, 2023, we recorded $6.4 million of income from provider relief fund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ARP funds received in 2022.</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$149.6 million for the year ended December 31, 2024, or 4.7%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compared to $132.3 million for the year ended December 31, 2023, or 4.5% of revenue.</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$116.4 million for the year ended December 31, 2024 compared to $82.1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The increase in interest expense was primarily the result of increased borrowings.</w:t>
      </w:r>
    </w:p>
    <w:p>
      <w:pPr>
        <w:spacing w:after="0" w:line="5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Legal settlements expense. </w:t>
      </w:r>
      <w:r>
        <w:rPr>
          <w:rFonts w:ascii="Times New Roman" w:cs="Times New Roman" w:eastAsia="Times New Roman" w:hAnsi="Times New Roman"/>
          <w:sz w:val="18"/>
          <w:szCs w:val="18"/>
          <w:color w:val="auto"/>
        </w:rPr>
        <w:t>Legal settlements expense for the year ended December 31, 2023 was $394.2 million associated with the Desert Hills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w:t>
      </w:r>
    </w:p>
    <w:p>
      <w:pPr>
        <w:spacing w:after="0" w:line="51"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Loss on impairment. </w:t>
      </w:r>
      <w:r>
        <w:rPr>
          <w:rFonts w:ascii="Times New Roman" w:cs="Times New Roman" w:eastAsia="Times New Roman" w:hAnsi="Times New Roman"/>
          <w:sz w:val="17"/>
          <w:szCs w:val="17"/>
          <w:color w:val="auto"/>
        </w:rPr>
        <w:t>During the year ended December 31, 2024, we recorded non-cash impairment charges totaling $17.3 million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closure of certain facilities. The 2024 non-cash impairment charges included indefinite-lived intangible asset impairments of $3.5 million, property impairments of $12.4 million and operating lease right-of-use asset impairments of $1.4 million. During the year ended December 31, 2023, we recorded non-cash impairment charges totaling $9.8 million related to the closure of certain facilities. The 2023 non-cash impairment charges included indefinite-lived intangible asset impairments of $5.4 million, property impairments of $2.0 million and operating lease right-of-use asset impairments of $2.4 million.</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Gain on sale of property. </w:t>
      </w:r>
      <w:r>
        <w:rPr>
          <w:rFonts w:ascii="Times New Roman" w:cs="Times New Roman" w:eastAsia="Times New Roman" w:hAnsi="Times New Roman"/>
          <w:sz w:val="18"/>
          <w:szCs w:val="18"/>
          <w:color w:val="auto"/>
        </w:rPr>
        <w:t>During the year ended December 31, 2023, we recorded a $9.7 million gain on facility property sale.</w:t>
      </w:r>
    </w:p>
    <w:p>
      <w:pPr>
        <w:spacing w:after="0" w:line="11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Transaction, legal and other costs. </w:t>
      </w:r>
      <w:r>
        <w:rPr>
          <w:rFonts w:ascii="Times New Roman" w:cs="Times New Roman" w:eastAsia="Times New Roman" w:hAnsi="Times New Roman"/>
          <w:sz w:val="18"/>
          <w:szCs w:val="18"/>
          <w:color w:val="auto"/>
        </w:rPr>
        <w:t>Transaction, legal and other costs were $46.8 million for the year ended December 31, 2024 compared to $62.0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2023. Transaction, legal and other costs represent legal, accounting,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47" w:name="page48"/>
    <w:bookmarkEnd w:id="47"/>
    <w:p>
      <w:pPr>
        <w:ind w:right="560"/>
        <w:spacing w:after="0" w:line="280" w:lineRule="auto"/>
        <w:rPr>
          <w:sz w:val="20"/>
          <w:szCs w:val="20"/>
          <w:color w:val="auto"/>
        </w:rPr>
      </w:pPr>
      <w:r>
        <w:rPr>
          <w:rFonts w:ascii="Times New Roman" w:cs="Times New Roman" w:eastAsia="Times New Roman" w:hAnsi="Times New Roman"/>
          <w:sz w:val="18"/>
          <w:szCs w:val="18"/>
          <w:color w:val="auto"/>
        </w:rPr>
        <w:t>government investigation, termination, restructuring, management transition, acquisition and other similar costs incurred in the respective periods, as summarized below (in thousands):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1"/>
        </w:trPr>
        <w:tc>
          <w:tcPr>
            <w:tcW w:w="6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investigations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transition costs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tcPr>
          <w:p>
            <w:pPr>
              <w:spacing w:after="0"/>
              <w:rPr>
                <w:sz w:val="18"/>
                <w:szCs w:val="18"/>
                <w:color w:val="auto"/>
              </w:rPr>
            </w:pPr>
          </w:p>
        </w:tc>
      </w:tr>
      <w:tr>
        <w:trPr>
          <w:trHeight w:val="248"/>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62,026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Government investigations include legal fees and settlement costs related to certain litigation, including the matters referenced in Note 11 — Commitments and Contingencies in the accompanying notes to our consolidated financial statements. Termination and restructuring costs include costs, net of gains, incurred related to workforce reductions, contract amendments, and the closure and disposition of certain facilities, including related lease terminations. Legal, accounting and other acquisition-related costs include costs incurred for the development of new facilities ($5.0 million and $2.9 million for the years ended December 31, 2024 and 2023, respectively); legal and settlement costs incurred related to certain litigation not included in government investigations ($4.8 million and $8.8 million for the years ended December 31, 2024 and 2023, respectively); and direct costs associated with acquisitions ($1.4 million and $1.0 million for the years ended December 31, 2024 and 2023, respectively). Management transition costs include certain costs associated with the transition of the leadership team, including the design and implementation of the revised organizational structure. Management transition costs incurred with the transition of our Chief Executive Officer from Debra K. Osteen to Christopher H. Hunter beginning in the first quarter of 2022 concluded in the fourth quarter of 2024.</w:t>
      </w:r>
    </w:p>
    <w:p>
      <w:pPr>
        <w:spacing w:after="0" w:line="8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For the year ended December 31, 2024, the provision for income taxes was $77.4 million, reflecting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of 22.6%, compared to the benefit from taxes of $(9.7) million, reflecting an effective tax rate of 38.2%, for the year ended December 31, 2023. Our higher pre-tax results for the year ended December 31, 2024 yields lower volatility in the items impacting the effective tax rate for the year ended December 31, 2024 when compared to prior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2025 was $131.9 million compared to $129.7 million for the year ended December 31, 2024. Operating cash flows for the year ended December 31, 2025 were impacted by a decrease in earnings, an increase in cash paid for transaction, legal and other costs and $147.5 million of legal settlements expense for the 2019 Securities Litigation. Operating cash flows for the year ended December 31, 2024 were impacted by Desert Hills Litigation payments of $400.0 million in January 2024. Days sales outstanding at December 31, 2025 was 49 compared to 43 at December 31, 2024 due primarily to new facilities that continue to ramp up during the start up period, as well as identifiable payor delays, with targeted actions underway to accelerate collections.</w:t>
      </w:r>
    </w:p>
    <w:p>
      <w:pPr>
        <w:spacing w:after="0" w:line="7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2025 was $556.2 million compared to $736.5 million for the year ended December 31, 2024. Cash used in investing activities for the year ended December 31, 2025 primarily consisted of $571.8 million of cash paid for capital expenditures, and $8.2 million of cash paid for acquisitions, offset by proceeds from the sale of property and equipment of $23.8 million. Cash paid for capital expenditures for the year ended December 31, 2025 was $571.8 million, consisting of routine or maintenance capital expenditures of $104.4 million and expansion capital expenditures of $467.4 million. We define expansion capital expenditures as those that increase the capacity of our facilities or otherwise enhance revenue. Routine or maintenance capital expenditures, including information technology capital expenditures, were approximately 3% of revenue for the year ended December 31, 2025. Cash used in investing activities for the year ended December 31, 2024 primarily consisted of $690.4 million of cash paid for capital expenditures, $53.6 million of cash paid for acquisitions and $2.9 million of cash paid for other, offset by proceeds from the sale of property and equipment of $10.4 million. Cash paid for capital expenditures for the year ended December 31, 2024 was $690.4 million, consisting of routine or maintenance capital expenditures of $104.0 million and expansion capital expenditures of $586.4 million.</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2025 was $481.3 million compared to $583.0 million for the year ended December 31, 2024. Cash provided by financing activities for the year ended December 31, 2025 primarily consisted of borrowings on long-term debt of $1,200.0 million, borrowings on revolving credit facility of $1,069.0 million and contributions from noncontrolling partners in joint ventures of $8.6 million, offset by principal payments on long-term debt of $12.2 million, principal payments on revolving credit facility of $1,035.0 million, distributions to noncontrolling partners in joint ventures of $3.9 million, repayment of long-term debt of $670.9 million, payment of debt issuance costs of $18.6 million, repurchase of common stock of $50.0 million, repurchase of shares for payroll tax withholdings, net of proceeds from stock option exercises, of $4.2 million, and cash consideration paid of $1.5 million. Cash provided by financing activities for the year ended December 31, 2024 primarily consisted of borrowings on long term debt of $350.0 million, borrowings on revolving credit facility of $305.0 million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ind w:right="260"/>
        <w:spacing w:after="0" w:line="264" w:lineRule="auto"/>
        <w:rPr>
          <w:sz w:val="20"/>
          <w:szCs w:val="20"/>
          <w:color w:val="auto"/>
        </w:rPr>
      </w:pPr>
      <w:r>
        <w:rPr>
          <w:rFonts w:ascii="Times New Roman" w:cs="Times New Roman" w:eastAsia="Times New Roman" w:hAnsi="Times New Roman"/>
          <w:sz w:val="18"/>
          <w:szCs w:val="18"/>
          <w:color w:val="auto"/>
        </w:rPr>
        <w:t>contributions from noncontrolling partners in joint ventures of $5.2 million, offset by principal payments on long-term debt of $56.3 million, principal payments on revolving credit facility of $15.0 million, distributions to noncontrolling partners in joint ventures of $2.9 million, payment of debt issuance costs of $1.5 million and repurchase of shares for payroll tax withholdings, net of proceeds from stock option exercises, of $1.3 million.</w:t>
      </w:r>
    </w:p>
    <w:p>
      <w:pPr>
        <w:spacing w:after="0" w:line="69" w:lineRule="exact"/>
        <w:rPr>
          <w:sz w:val="20"/>
          <w:szCs w:val="20"/>
          <w:color w:val="auto"/>
        </w:rPr>
      </w:pPr>
    </w:p>
    <w:p>
      <w:pPr>
        <w:ind w:right="360" w:firstLine="509"/>
        <w:spacing w:after="0" w:line="264" w:lineRule="auto"/>
        <w:rPr>
          <w:sz w:val="20"/>
          <w:szCs w:val="20"/>
          <w:color w:val="auto"/>
        </w:rPr>
      </w:pPr>
      <w:r>
        <w:rPr>
          <w:rFonts w:ascii="Times New Roman" w:cs="Times New Roman" w:eastAsia="Times New Roman" w:hAnsi="Times New Roman"/>
          <w:sz w:val="18"/>
          <w:szCs w:val="18"/>
          <w:color w:val="auto"/>
        </w:rPr>
        <w:t>We had total available cash and cash equivalents of $133.2 million, $76.3 million and $100.1 million at December 31, 2025, 2024 and 2023, respectively, of which approximately $8.0 million, $7.7 million and $11.3 million, respectively, was held by our foreign subsidiaries. Our strategic plan does not require the repatriation of foreign cash in order to fund our operations in the U.S.</w:t>
      </w:r>
    </w:p>
    <w:p>
      <w:pPr>
        <w:spacing w:after="0" w:line="6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actively manage our capital structure and regularly evaluate the availability of capital in the public and private markets that could strengthen our long-term financial profile. As such, we may opportunistically engage in financing transactions from time to time when we believe that conditions are favorable. Such transactions may include borrowings under credit facilities, the issuance of debt, equity or hybrid securities, the incurrence of term loans, or the refinancing or extinguishment of existing indebtedness. There can be no assurance any such financing opportunities will be available to us on terms and conditions acceptable to us or at all. Although we cannot provide any assurance, we believe that we will have sufficient capital available to fund requirements through the 12 month period following the filing of this Annual Report on Form 10-K, and based on current expectations, the long 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February 25, 2025, our board of directors authorized the Share Repurchase Program pursuant to which we may, from time to time, acquire up to $300.0 million of outstanding shares of our common stock, exclusive of any fees, commissions, or other expenses related to such repurchases. Repurchases made pursuant to the Share Repurchase Program will be made in accordance with applicable securities laws and may be made at management’s discretion from time to time in the open market, in privately negotiated transactions, or through block trades, derivatives transactions, or purchases made in accordance with Rule 10b-18 and Rule 10b5-1 of the Exchange Act. The Share Repurchase Program has no termination date and may be modified, suspended or discontinued by our board of directors at any time. The authorization does not obligate us to repurchase any shares. During the year ended December 31, 2025, we repurchased 1,706,625 shares of our common stock under the Share Repurchase Program that were each cancelled at the time of repurchase for a total of $50.4 million (inclusive of $0.4 million in expenses related thereto). As of December 31, 2025, there was $250.0 million remaining under the Share Repurchase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Desert Hills Litigation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described in more detail in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Commitments and Contingencies in the accompanying notes to our consolidated financial statements,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30, 2023, we entered into settlement agreements in connection with the three lawsuits related to our subsidiary Youth and Family Centered Services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New Mexico. The settlement agreements were approved by the New Mexico State District Court in December 2023 and fully resolved such cases with no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admission of liability or wrongdoing by us. On January 19, 2024, pursuant to the terms of the settlement agreements, we paid an aggregate amount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million in exchange for the release and discharge of all claims arising from, relating to, concerning or with respect to all harm, injuries or damages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asserted in such cases or that may be asserted in the future by the plaintiffs in those cases.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9"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8"/>
          <w:szCs w:val="18"/>
          <w:color w:val="auto"/>
        </w:rPr>
        <w:t>On February 28, 2025, we entered into the Credit Agreement, which provides for the $1.0 billion Revolving Facility (including a $50.0 million sublimit for the issuance of letters of credit and a $50.0 million swingline subfacility) and a $650.0 million Term Loan Facility, each maturing on February 28, 2030.</w:t>
      </w:r>
    </w:p>
    <w:p>
      <w:pPr>
        <w:spacing w:after="0" w:line="110"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8"/>
          <w:szCs w:val="18"/>
          <w:color w:val="auto"/>
        </w:rPr>
        <w:t>On the Credit Facility Closing Date, the full $650.0 million amount of the Term Loan Facility was funded, and $550.0 million was funded under the Revolving Facility, which amounts were used, among other things, to refinance the outstanding obligations under the Prior Credit Facility.</w:t>
      </w:r>
    </w:p>
    <w:p>
      <w:pPr>
        <w:spacing w:after="0" w:line="81"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7"/>
          <w:szCs w:val="17"/>
          <w:color w:val="auto"/>
        </w:rPr>
        <w:t>Borrowings under the Credit Agreement bear interest at a floating rate equal to, at our option, either (i) a SOFR-based rate plus a margin ranging from 1.375% to 2.250% or (ii) a base rate plus a margin ranging from 0.375% to 1.250%, in each case, depending on our Consolidated Total Net Leverage Ratio (as defined in the Credit Agreement). In addition, an unused fee that varies according to our Consolidated Total Net Leverage Ratio ranging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0.200% to 0.350% is payable quarterly in arrears based on the average daily undrawn portion of the commitments in respect of the Revolving Facility.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Facility requires quarterly principal repayments of $4.1 million through March 31, 2026, $8.1 million from June 30, 2026 to March 31, 2028,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from June 30, 2028 to March 31, 2029 and $16.3 million from June 30, 2029 to December 31, 2029, with the remaining outstanding principal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the Term Loan Facility due on the maturity date of February 28, 2030.</w:t>
      </w:r>
    </w:p>
    <w:p>
      <w:pPr>
        <w:spacing w:after="0" w:line="137" w:lineRule="exact"/>
        <w:rPr>
          <w:sz w:val="20"/>
          <w:szCs w:val="20"/>
          <w:color w:val="auto"/>
        </w:rPr>
      </w:pPr>
    </w:p>
    <w:p>
      <w:pPr>
        <w:jc w:val="both"/>
        <w:ind w:right="200" w:firstLine="509"/>
        <w:spacing w:after="0" w:line="264" w:lineRule="auto"/>
        <w:rPr>
          <w:sz w:val="20"/>
          <w:szCs w:val="20"/>
          <w:color w:val="auto"/>
        </w:rPr>
      </w:pPr>
      <w:r>
        <w:rPr>
          <w:rFonts w:ascii="Times New Roman" w:cs="Times New Roman" w:eastAsia="Times New Roman" w:hAnsi="Times New Roman"/>
          <w:sz w:val="18"/>
          <w:szCs w:val="18"/>
          <w:color w:val="auto"/>
        </w:rPr>
        <w:t>We have the ability to increase the amount of the Credit Facility, which may take the form of increases to the Revolving Facility or the Term Loan Facility or the issuance of one or more Incremental Facilities, upon obtaining additional commitments from new or existing lenders and the satisfaction of certain customary conditions precedent for such Incremental Facilities. Such Incremental</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jc w:val="both"/>
        <w:ind w:right="200"/>
        <w:spacing w:after="0" w:line="264" w:lineRule="auto"/>
        <w:rPr>
          <w:sz w:val="20"/>
          <w:szCs w:val="20"/>
          <w:color w:val="auto"/>
        </w:rPr>
      </w:pPr>
      <w:r>
        <w:rPr>
          <w:rFonts w:ascii="Times New Roman" w:cs="Times New Roman" w:eastAsia="Times New Roman" w:hAnsi="Times New Roman"/>
          <w:sz w:val="18"/>
          <w:szCs w:val="18"/>
          <w:color w:val="auto"/>
        </w:rPr>
        <w:t>Facilities may not exceed the sum of (i) the greater of $710.0 million and an amount equal to 100% of our LTM Consolidated EBITDA (as defined in the Credit Agreement) at the time of determination and (ii) additional amounts that would not cause our Consolidated Senior Secured Net Leverage Ratio (as defined in the Credit Agreement) to exceed 4.0 to 1.0.</w:t>
      </w:r>
    </w:p>
    <w:p>
      <w:pPr>
        <w:spacing w:after="0" w:line="110"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Subject to certain exceptions, substantially all of our existing and subsequently acquired or organized direct and indirect wholly-owned U.S. subsidiaries are required to guarantee the repayment of our obligations under the Credit Agreement. The obligations of us and such guarantor subsidiaries are secured by a pledge of substantially all of our and such guarantor subsidiaries’ assets (excluding all real property and certain other customarily excluded assets).</w:t>
      </w:r>
    </w:p>
    <w:p>
      <w:pPr>
        <w:spacing w:after="0" w:line="10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and negative covenants, including limitations on the ability of us and our subsidiaries to: (i) incur debt; (ii) permit additional liens; (iii) make investments and acquisitions; (iv) merge or consolidate with others; (v) dispose of assets; (vi) pay dividends and distributions; (vii) pay junior indebtedness; and (viii) enter into affiliate transactions, in each case, subject to customary exceptions. In addition, the Credit Agreement contains financial covenants requiring us to maintain, on a consolidated basis as of the last day of each quarterly period, a Consolidated Total Net Leverage Ratio of not more than 5.0 to 1.0 (which may be increased in connection with a material acquisition to 5.5 to 1.0 for a four quarter period up to three times during the term of the Credit Agreement) and a Consolidated Interest Coverage Ratio (as defined in the Credit Agreement) of at least 3.0 to 1.0. The Credit Agreement also includes events of default customary for facilities of this type and upon the occurrence of such events of default, among other things, all outstanding loans under the Credit Agreement may be accelerated, lenders commitments terminated, and/or lenders may exercise collateral remedies. At December 31, 2025, our Consolidated Total Net Leverage Ratio was 4.0x, and we were in compliance with all financial covenants. Consolidated Total Net Leverage Ratio is being reported as calculated under the Credit Agreement and not pursuant to GAAP. Investors should refer to the agreements governing the Credit Agreement attached as exhibits to our periodic reports for further information related to the calculation thereof and should not consider Consolidated Total Net Leverage Ratio as an alternative for any measures derived in accordance with GAAP. For risks related to our indebtedness and compliance with these covenants, see “Item 1A. Risk Factors”.</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the year ended December 31, 2025, we borrowed $954.0 million on the Revolving Facility and repaid $550.0 million of the balance outstanding.</w:t>
      </w:r>
    </w:p>
    <w:p>
      <w:pPr>
        <w:spacing w:after="0" w:line="167" w:lineRule="exact"/>
        <w:rPr>
          <w:sz w:val="20"/>
          <w:szCs w:val="20"/>
          <w:color w:val="auto"/>
        </w:rPr>
      </w:pPr>
    </w:p>
    <w:p>
      <w:pPr>
        <w:ind w:right="440" w:firstLine="509"/>
        <w:spacing w:after="0" w:line="280" w:lineRule="auto"/>
        <w:rPr>
          <w:sz w:val="20"/>
          <w:szCs w:val="20"/>
          <w:color w:val="auto"/>
        </w:rPr>
      </w:pPr>
      <w:r>
        <w:rPr>
          <w:rFonts w:ascii="Times New Roman" w:cs="Times New Roman" w:eastAsia="Times New Roman" w:hAnsi="Times New Roman"/>
          <w:sz w:val="18"/>
          <w:szCs w:val="18"/>
          <w:color w:val="auto"/>
        </w:rPr>
        <w:t>At December 31, 2025, we had $594.8 million of availability under the Revolving Facility and had standby letters of credit outstanding of $1.2 million related to security for multiple development projects.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Credit Facility</w:t>
      </w:r>
    </w:p>
    <w:p>
      <w:pPr>
        <w:spacing w:after="0" w:line="117" w:lineRule="exact"/>
        <w:rPr>
          <w:sz w:val="20"/>
          <w:szCs w:val="20"/>
          <w:color w:val="auto"/>
        </w:rPr>
      </w:pPr>
    </w:p>
    <w:p>
      <w:pPr>
        <w:jc w:val="both"/>
        <w:ind w:right="260" w:firstLine="509"/>
        <w:spacing w:after="0" w:line="264" w:lineRule="auto"/>
        <w:rPr>
          <w:sz w:val="20"/>
          <w:szCs w:val="20"/>
          <w:color w:val="auto"/>
        </w:rPr>
      </w:pPr>
      <w:r>
        <w:rPr>
          <w:rFonts w:ascii="Times New Roman" w:cs="Times New Roman" w:eastAsia="Times New Roman" w:hAnsi="Times New Roman"/>
          <w:sz w:val="18"/>
          <w:szCs w:val="18"/>
          <w:color w:val="auto"/>
        </w:rPr>
        <w:t>On March 17, 2021, we entered into the Prior Credit Facility, which provided for a $600.0 million Prior Revolving Facility and Prior Term Loan Facility, each of which was scheduled to mature on March 17, 2026. The Prior Revolving Facility further provided for a $20.0 million subfacility for the issuance of letters of credit.</w:t>
      </w:r>
    </w:p>
    <w:p>
      <w:pPr>
        <w:spacing w:after="0" w:line="69"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2025, we borrowed $115.0 million on the Prior Revolving Facility and repaid $485.0 million of the balance outstanding prior to February 28, 2025, when the Prior Credit Facility was refinanced with the Credit Facility. For the year ended December 31, 2024, we borrowed $305.0 million on the Prior Revolving Facility and repaid $15.0 million of the balance outstanding.</w:t>
      </w:r>
    </w:p>
    <w:p>
      <w:pPr>
        <w:spacing w:after="0" w:line="69"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8"/>
          <w:szCs w:val="18"/>
          <w:color w:val="auto"/>
        </w:rPr>
        <w:t>On February 28, 2025, we refinanced the Prior Credit Facility by using the proceeds of the Credit Facility to repay the outstanding balances of the Prior Term Loan Facility and the Prior Revolving Facility, which totaled $670.9 million and $485.0 million, respectively. In connection therewith, we recorded a loss on extinguishment of $1.3 million, which is included in debt extinguishment costs in the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5.500% Senior Notes due 2028</w:t>
      </w:r>
    </w:p>
    <w:p>
      <w:pPr>
        <w:spacing w:after="0" w:line="119"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8"/>
          <w:szCs w:val="18"/>
          <w:color w:val="auto"/>
        </w:rPr>
        <w:t>On June 24, 2020, we issued $450.0 million of 5.500% Senior Notes due 2028 (the “5.500% Senior Notes”). The 5.500% Senior Notes mature on July 1, 2028 and bear interest at a rate of 5.500% per annum, payable semi-annually in arrears on January 1 and July 1 of each year, commencing on January 1, 2021.</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0" w:name="page51"/>
    <w:bookmarkEnd w:id="50"/>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5.000% Senior Notes due 2029</w:t>
      </w:r>
    </w:p>
    <w:p>
      <w:pPr>
        <w:spacing w:after="0" w:line="11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8"/>
          <w:szCs w:val="18"/>
          <w:color w:val="auto"/>
        </w:rPr>
        <w:t>On October 14, 2020, we issued $475.0 million of 5.000% Senior Notes due 2029 (the “5.000% Senior Notes”). The 5.000% Senior Notes mature on April 15, 2029 and bear interest at a rate of 5.000% per annum, payable semi-annually in arrears on April 15 and October 15 of each year, commencing on April 15, 2021.</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7.375% Senior Notes due 2033</w:t>
      </w:r>
    </w:p>
    <w:p>
      <w:pPr>
        <w:spacing w:after="0" w:line="11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March 10, 2025, we issued $550.0 million of 7.375% Senior Notes due 2033 (the “7.375% Senior Notes”). The 7.375% Senior Notes mature on March 15, 2033 and bear interest at a rate of 7.375% per annum, payable semi-annually in arrears on March 15 and September 15 of each year, commencing on September 15, 2025. The net proceeds from the issuance and sale of the 7.375% Senior Notes, together with cash on hand, were used to pay down $550.0 million of outstanding borrowings under the Revolving Facility.</w:t>
      </w:r>
    </w:p>
    <w:p>
      <w:pPr>
        <w:spacing w:after="0" w:line="7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indentures governing the 5.500% Senior Notes, the 5.000% Senior Notes and the 7.375% Senior Notes (together, the “Senior Notes”) contain covenants that, among other things, limit our ability and the ability of our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our assets; and (vii) create liens on assets.</w:t>
      </w:r>
    </w:p>
    <w:p>
      <w:pPr>
        <w:spacing w:after="0" w:line="79"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The Senior Notes issued by us are guaranteed by each of our subsidiaries that guarantee our obligations under the Credit Facility. The guarantees are full and unconditional and joint and several.</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redeem the Senior Notes at our option, in whole or part, at the dates and amounts set forth in the indentures.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conduct all of our business through our subsidiaries. The Senior Notes are jointly and severally guaranteed on an unsecured senior basis by all of our subsidiaries that guarantee our obligations under the Credit Facility. The summarized financial information presented below is consistent with our consolidated financial statements, except transactions between combining entities have been eliminated. Financial information for our combined non-guarantor entities has been excluded pursuant to SEC Regulation S-X Rule 13-01. Presented below is financial information for the combined wholly-owned subsidiary guarantors at December 31, 2025 and 2024, and for the year ended December 31, 2025.</w:t>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Summarized balance sheet information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598,869</w:t>
            </w:r>
          </w:p>
        </w:tc>
        <w:tc>
          <w:tcPr>
            <w:tcW w:w="96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436,571</w:t>
            </w:r>
          </w:p>
        </w:tc>
        <w:tc>
          <w:tcPr>
            <w:tcW w:w="80" w:type="dxa"/>
            <w:vAlign w:val="bottom"/>
            <w:tcBorders>
              <w:righ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2,026,345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1,819,037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1,163,168</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2,144,452</w:t>
            </w:r>
          </w:p>
        </w:tc>
        <w:tc>
          <w:tcPr>
            <w:tcW w:w="80" w:type="dxa"/>
            <w:vAlign w:val="bottom"/>
            <w:tcBorders>
              <w:righ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3,519,494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4,246,078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vMerge w:val="restart"/>
          </w:tcPr>
          <w:p>
            <w:pPr>
              <w:spacing w:after="0"/>
              <w:rPr>
                <w:sz w:val="18"/>
                <w:szCs w:val="18"/>
                <w:color w:val="auto"/>
              </w:rPr>
            </w:pPr>
          </w:p>
        </w:tc>
        <w:tc>
          <w:tcPr>
            <w:tcW w:w="3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474,194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548,909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2,471,529</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1,880,093</w:t>
            </w:r>
          </w:p>
        </w:tc>
        <w:tc>
          <w:tcPr>
            <w:tcW w:w="80" w:type="dxa"/>
            <w:vAlign w:val="bottom"/>
            <w:tcBorders>
              <w:righ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2,770,469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2,111,252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873,699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2,022,488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Summarized operating results information (in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2,832,572</w:t>
            </w:r>
          </w:p>
        </w:tc>
        <w:tc>
          <w:tcPr>
            <w:tcW w:w="80" w:type="dxa"/>
            <w:vAlign w:val="bottom"/>
            <w:tcBorders>
              <w:right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(1,145,221)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(1,158,524)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Acadia Healthcare Company, Inc.</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(1,158,524)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7"/>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17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contractual obligations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174,751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801,776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1,556,788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641,266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obligations and commitments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853,472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1,595,751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-170180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-170180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-170180</wp:posOffset>
            </wp:positionV>
            <wp:extent cx="679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6292850</wp:posOffset>
            </wp:positionH>
            <wp:positionV relativeFrom="paragraph">
              <wp:posOffset>-170180</wp:posOffset>
            </wp:positionV>
            <wp:extent cx="679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-170180</wp:posOffset>
            </wp:positionV>
            <wp:extent cx="679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1902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244" w:lineRule="exact"/>
        <w:rPr>
          <w:sz w:val="20"/>
          <w:szCs w:val="20"/>
          <w:color w:val="auto"/>
        </w:rPr>
      </w:pPr>
    </w:p>
    <w:p>
      <w:pPr>
        <w:ind w:left="520" w:right="140" w:hanging="513"/>
        <w:spacing w:after="0" w:line="26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required principal and interest payments. The projected interest payments reflect interest rates in place on our variable-rate debt at December 31, 2025.</w:t>
      </w:r>
    </w:p>
    <w:p>
      <w:pPr>
        <w:ind w:left="520" w:hanging="51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exclude variable components of lease payments.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we had standby letters of credit outstanding of $1.2 million related to security for multiple development projects.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interest expense is sensitive to changes in market interest rates. Our long-term debt outstanding at December 31, 2025 was composed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$1,462.2 million of fixed-rate debt and $1,037.8 million of variable-rate debt with interest based on Adjusted Term SOFR plus an applicable margin. Based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borrowing level at December 31, 2025, a hypothetical 1% increase in interest rates would decrease our pretax income on an annual basis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$10.4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U.S. In preparing our financial statements, we are required to make estimates and assumptions that affect the reported amounts of assets, liabilities, revenue, and expenses included in the financial statements. Estimates are based on historical experience and other available information, the results of which form the basis of such estimates. While management believes our estimation processes are reasonable, actual results could differ from our estimates. The following accounting policies are considered critical to the portrayal of our financial condition and operating performance and involve highly subjective and complex assumptions and assessments:</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Revenue and Accounts Receivable</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revenue is primarily derived from services rendered to patients for inpatient psychiatric and substance abuse care, outpatient psychiatric care and adolescent residential treatment. We receive payments from the following sources for services rendered in our facilities: (i) state governments under their respective Medicaid and other programs; (ii) commercial insurers; (iii) the federal government under the Medicare program administered by CMS and other programs; and (iv) individual patients and clients. We determine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w:t>
      </w:r>
    </w:p>
    <w:p>
      <w:pPr>
        <w:spacing w:after="0" w:line="78"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revenue from Medicare, Medicaid and other payors that receive discounts from established billing rates. The Medicare and Medicaid regulations and various managed care contracts under which these discounts must be calculated are complex, subject to interpretation and adjustment, and may include multiple reimbursement mechanisms for different types of services provided in our inpatient facilities and cost settlement provisions. Management estimates the transaction price on a payor-specific basis given its interpretation of the applicable regulations or contract terms. The services authorized and provided and related reimbursement are often subject to interpretation that could result in payments that differ from our estimates. Additionally, updated regulations and contract renegotiations occur frequently, necessitating regular review and assessment of the estimation process by management.</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occurs in subsequent years because of audits by such programs, rights of appeal and the application of numerous technical provisions. In the opinion of management, adequate provision has been made for any adjustments and final settlements. However, there can be no assurance that any such adjustments and final settlements will not have 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2" w:name="page53"/>
    <w:bookmarkEnd w:id="52"/>
    <w:p>
      <w:pPr>
        <w:ind w:right="100"/>
        <w:spacing w:after="0" w:line="256" w:lineRule="auto"/>
        <w:rPr>
          <w:sz w:val="20"/>
          <w:szCs w:val="20"/>
          <w:color w:val="auto"/>
        </w:rPr>
      </w:pPr>
      <w:r>
        <w:rPr>
          <w:rFonts w:ascii="Times New Roman" w:cs="Times New Roman" w:eastAsia="Times New Roman" w:hAnsi="Times New Roman"/>
          <w:sz w:val="18"/>
          <w:szCs w:val="18"/>
          <w:color w:val="auto"/>
        </w:rPr>
        <w:t>material effect on our financial condition or results of operations. We had cost report receivables of $8.4 million as of December 31, 2025 which are included in other current assets on the consolidated balance sheet. Our cost report payables were $0.8 million as of December 31, 2024, and are included in other current liabilities on the consolidated balance sheet. The net adjustments to estimated cost report settlements resulted in a decrease to revenue of $0.7 million for the year ended December 31,2025 and an increase to revenue of $0.2 million and $1.8 million, respectively, for the years ended December 31, 2024 and 2023.</w:t>
      </w:r>
    </w:p>
    <w:p>
      <w:pPr>
        <w:spacing w:after="0" w:line="79" w:lineRule="exact"/>
        <w:rPr>
          <w:sz w:val="20"/>
          <w:szCs w:val="20"/>
          <w:color w:val="auto"/>
        </w:rPr>
      </w:pPr>
    </w:p>
    <w:p>
      <w:pPr>
        <w:ind w:right="520" w:firstLine="509"/>
        <w:spacing w:after="0" w:line="280" w:lineRule="auto"/>
        <w:rPr>
          <w:sz w:val="20"/>
          <w:szCs w:val="20"/>
          <w:color w:val="auto"/>
        </w:rPr>
      </w:pPr>
      <w:r>
        <w:rPr>
          <w:rFonts w:ascii="Times New Roman" w:cs="Times New Roman" w:eastAsia="Times New Roman" w:hAnsi="Times New Roman"/>
          <w:sz w:val="18"/>
          <w:szCs w:val="18"/>
          <w:color w:val="auto"/>
        </w:rPr>
        <w:t>The following table presents revenue by payor type and as a percentage of revenue for the years ended December 31, 2025, 2024 and 2023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608"/>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1048"/>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200" w:type="dxa"/>
            <w:vAlign w:val="bottom"/>
            <w:tcBorders>
              <w:bottom w:val="single" w:sz="8" w:color="auto"/>
            </w:tcBorders>
          </w:tcPr>
          <w:p>
            <w:pPr>
              <w:jc w:val="right"/>
              <w:ind w:right="448"/>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813,788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820,828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820,701</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447,078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441,761</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1,912,168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1,781,615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1,578,518</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3,312,769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3,153,963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2,928,738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-170180</wp:posOffset>
            </wp:positionV>
            <wp:extent cx="679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-170180</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-170180</wp:posOffset>
            </wp:positionV>
            <wp:extent cx="679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-170180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-170180</wp:posOffset>
            </wp:positionV>
            <wp:extent cx="679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-170180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a summary of our aging of accounts receivable at December 31, 2025 and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3"/>
                <w:szCs w:val="13"/>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30-90</w:t>
            </w:r>
          </w:p>
        </w:tc>
        <w:tc>
          <w:tcPr>
            <w:tcW w:w="2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90-150</w:t>
            </w: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&gt;150</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55.7%</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7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19.3%</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430"/>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vMerge w:val="restart"/>
          </w:tcPr>
          <w:p>
            <w:pPr>
              <w:spacing w:after="0"/>
              <w:rPr>
                <w:sz w:val="24"/>
                <w:szCs w:val="24"/>
                <w:color w:val="auto"/>
              </w:rPr>
            </w:pPr>
          </w:p>
        </w:tc>
        <w:tc>
          <w:tcPr>
            <w:tcW w:w="9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30-90</w:t>
            </w:r>
          </w:p>
        </w:tc>
        <w:tc>
          <w:tcPr>
            <w:tcW w:w="2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90-150</w:t>
            </w:r>
          </w:p>
        </w:tc>
        <w:tc>
          <w:tcPr>
            <w:tcW w:w="26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&gt;150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6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7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17.5%</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We are subject to medical malpractice and other lawsuits due to the nature of the services we provide. A portion of our professional liability risks are insured through a wholly-owned insurance subsidiary providing coverage for up to $10.0 million per claim, $15.0 million for certain other claims and $25.0 million for certain batched claims through August 31, 2025 and $15.0 million per claim and $25.0 million for certain batched claims thereafter. We have obtained reinsurance coverage from a third-party to cover claims in excess of those limits. The reinsurance policy has a coverage limit of $80.0 million or $75.0 million in the aggregate for certain other claims through August 31, 2025 and $75.0 million in the aggregate for claims thereafter, with exclusions for certain types of incidents. Our reinsurance receivables are recognized consistent with the related liabilities and include known claims and any incurred but not reported claims that are covered by current insurance policies in place. The reserve for professional and general liability risks was estimated based on historical claims, prior settlements and judgments, industry trends, severity factors, and other actuarial assumptions. The estimated accrual for professional and general liabilities could be significantly affected should current and future occurrences differ from historical claim trends and expectations. While claims are monitored closely when estimating professional and general liability accruals, the complexity of the claims and wide range of potential outcomes often hampers timely adjustments to the assumptions used in these estimates. We recorded unfavorable adjustments of $52.7 million and $10.1 million to our estimated liability for self-insured professional and general liability claims during the years ended December 31, 2025 and 2024, respectively, relating to the settlement or expected settlement of certain prior year claims. In particular, the unfavorable adjustment recorded during the year ended December 31, 2025, was driven by higher expected settlement costs for claims related to policy years prior to September 1, 2024; a significant increase in claim frequency during the policy year ended August 31, 2025, compared to the prior policy year; and less favorable insurance coverage terms compared to prior years. The professional and general liability reserve was $181.8 million at December 31, 2025, of which $31.4 million was included in other accrued liabilities and $150.4 million was included in other long-term liabilities. The professional and general liability reserve was $87.5 million at December 31, 2024,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right="140"/>
        <w:spacing w:after="0" w:line="259" w:lineRule="auto"/>
        <w:rPr>
          <w:sz w:val="20"/>
          <w:szCs w:val="20"/>
          <w:color w:val="auto"/>
        </w:rPr>
      </w:pPr>
      <w:r>
        <w:rPr>
          <w:rFonts w:ascii="Times New Roman" w:cs="Times New Roman" w:eastAsia="Times New Roman" w:hAnsi="Times New Roman"/>
          <w:sz w:val="18"/>
          <w:szCs w:val="18"/>
          <w:color w:val="auto"/>
        </w:rPr>
        <w:t>which $12.5 million was included in other accrued liabilities and $75.0 million was included in other long-term liabilities. We estimate receivables for the portion of professional and general liability reserves that are recoverable under our insurance policies. Such receivable was $28.8 million at December 31, 2025, of which $7.2 million was included in other current assets and $21.6 million was included in other assets, and such receivable was $9.3 million at December 31, 2024, of which $0.5 million was included in other current assets and $8.8 million was included in other assets.</w:t>
      </w:r>
    </w:p>
    <w:p>
      <w:pPr>
        <w:spacing w:after="0" w:line="7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statutory workers’ compensation program is fully insured with a $0.5 million deductible per accident. The workers’ compensation liability was $34.3 million at December 31, 2025, of which $18.5 million was included in accrued salaries and benefits and $15.8 million was included in other long-term liabilities, and such liability was $30.7 million at December 31, 2024, of which $12.0 million was included in accrued salaries and benefits and $18.7 million was included in other long-term liabilities. The reserve for workers compensation claims was based upon independent actuarial estimates of future amounts that will be paid to claimants. Management believes that adequate provisions have been made for workers’ compensation and professional and general liability risk exposures.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Other Long-Lived Assets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on the straight-line basis over the estimated useful lives of the assets, which typically range from 10 to 50 years for buildings and improvements, three to seven years for equipment and the shorter of the lease term or estimated useful lives for leasehold improvements. When assets are sold or retired, the corresponding cost and accumulated depreciation are removed from the related accounts and any gain or loss is recorded in the period of sale or retirement. Repair and maintenance costs are expensed as incurred. Depreciation expense was $189.2 million, $149.6 million and $132.3 million for the years ended December 31, 2025, 2024 and 2023, respectively.</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carrying values of long-lived assets are reviewed for possible impairment whenever events, circumstances or operating results indicate that the carrying amount of an asset may not be recoverable. If this review indicates that the asset will not be recoverable, as determined based upon the undiscounted cash flows of the operating asset over the remaining useful life, the carrying value of the asset will be reduced to its estimated fair value. Fair value estimates are based on independent appraisals, market values of comparable assets or internal evaluations of future net cash flows. During the year ended December 31, 2025, we recorded non-cash property impairment charges of $10.4 million and non-cash operating lease right-of-use asset impairment charges of $1.0 million related to the closure of certain facilities, which is included in loss on impairment in the consolidated statements of operations. During the year ended December 31, 2024, we recorded non-cash property impairment charges of $12.4 million and non-cash operating lease right-of-use asset impairment charges of $1.4 million related to the closure of certain facilities, which is included in loss on impairment in the consolidated statements of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performed an impairment review of long-lived assets in the fourth quarter of 2025, 2024 and 2023 and recorded no impairment.</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19" w:lineRule="exact"/>
        <w:rPr>
          <w:sz w:val="20"/>
          <w:szCs w:val="20"/>
          <w:color w:val="auto"/>
        </w:rPr>
      </w:pPr>
    </w:p>
    <w:p>
      <w:pPr>
        <w:ind w:right="40" w:firstLine="469"/>
        <w:spacing w:after="0" w:line="264" w:lineRule="auto"/>
        <w:rPr>
          <w:sz w:val="20"/>
          <w:szCs w:val="20"/>
          <w:color w:val="auto"/>
        </w:rPr>
      </w:pPr>
      <w:r>
        <w:rPr>
          <w:rFonts w:ascii="Times New Roman" w:cs="Times New Roman" w:eastAsia="Times New Roman" w:hAnsi="Times New Roman"/>
          <w:sz w:val="18"/>
          <w:szCs w:val="18"/>
          <w:color w:val="auto"/>
        </w:rPr>
        <w:t>Our goodwill and other indefinite-lived intangible assets, which consist of licenses and accreditations, trade names and certificates of need intangible assets that are not amortized, are evaluated for impairment annually during the fourth quarter or more frequently if events indicate the carrying value of a reporting unit may not be recoverable.</w:t>
      </w:r>
    </w:p>
    <w:p>
      <w:pPr>
        <w:spacing w:after="0" w:line="69" w:lineRule="exact"/>
        <w:rPr>
          <w:sz w:val="20"/>
          <w:szCs w:val="20"/>
          <w:color w:val="auto"/>
        </w:rPr>
      </w:pPr>
    </w:p>
    <w:p>
      <w:pPr>
        <w:ind w:right="40" w:firstLine="469"/>
        <w:spacing w:after="0" w:line="269" w:lineRule="auto"/>
        <w:rPr>
          <w:sz w:val="20"/>
          <w:szCs w:val="20"/>
          <w:color w:val="auto"/>
        </w:rPr>
      </w:pPr>
      <w:r>
        <w:rPr>
          <w:rFonts w:ascii="Times New Roman" w:cs="Times New Roman" w:eastAsia="Times New Roman" w:hAnsi="Times New Roman"/>
          <w:sz w:val="17"/>
          <w:szCs w:val="17"/>
          <w:color w:val="auto"/>
        </w:rPr>
        <w:t>As of our annual impairment test on October 1, 2025, we had one reporting unit, behavioral healthcare services. In performing the goodwill impairment test, we used a combination of the income and market approaches to estimate the fair value of our reporting unit. Determining fair value requires substantial judgment and use of significant unobservable inputs, which are categorized as Level 3 fair value measurements. For the income approach, we used a discounted cash flow model in which cash flows are projected using internal forecasts over future periods, plus a terminal value, and are discounted to present value using a risk-adjusted rate of return. Our internal forecasts include estimates of growth rates and profitability based on our current views of the long-term outlook of the reporting unit and may materially differ from actual results. Discount rate assumptions are based on an assessment of the risk inherent in the projected future cash flows. For the market approach, we compared our reporting unit to guideline companies actively traded in public markets and included a control premium, which was based on acquisition premiums of selected companies similar to our reporting unit. These estimates and assumptions were determined in connection with support from a third-party valuation specialist. As of our annual impairment test on October 1, 2025, the fair value of our behavioral healthcare services reporting unit exceeded its carrying value, and therefore no impairment was recorded.</w:t>
      </w:r>
    </w:p>
    <w:p>
      <w:pPr>
        <w:spacing w:after="0" w:line="66"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During the fourth quarter of 2025, we revised our 2025 earnings forecast to reflect the impact of higher professional and general liability (“PLGL”) expenses associated primarily with patient-related litigation; lowered our internal revenue projections for future years to reflect changes in Medicaid reimbursement, primarily related to New York State exclusion of Medicaid referrals to our facilities in Pennsylvania; and experienced a sustained decline in our stock price and overall market capitalization. We concluded the combination of these factors constituted a triggering event which warranted a quantitative impairment test of our goodwill at December 31, 2025. We estimated the implied fair value of our goodwill using a combination of the income and market approaches,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4" w:name="page55"/>
    <w:bookmarkEnd w:id="54"/>
    <w:p>
      <w:pPr>
        <w:ind w:right="160"/>
        <w:spacing w:after="0" w:line="256" w:lineRule="auto"/>
        <w:rPr>
          <w:sz w:val="20"/>
          <w:szCs w:val="20"/>
          <w:color w:val="auto"/>
        </w:rPr>
      </w:pPr>
      <w:r>
        <w:rPr>
          <w:rFonts w:ascii="Times New Roman" w:cs="Times New Roman" w:eastAsia="Times New Roman" w:hAnsi="Times New Roman"/>
          <w:sz w:val="18"/>
          <w:szCs w:val="18"/>
          <w:color w:val="auto"/>
        </w:rPr>
        <w:t>as described above. The discounted cash flow model used in the income approach reflected our expectation of higher PLGL expenses and lower revenues and used a higher discount rate to correspond to the risks inherent in the reporting unit. The results of this analysis determined the fair value of our behavioral healthcare services reporting unit was less than its carrying value. Accordingly, we recorded a non-cash goodwill impairment charge of $996.2 million, representing the amount by which the Company’s book value exceeds its fair value, which is included in loss on impairment in the consolidated statement of operations.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goodwill impairment charges were recorded during the years ended December 31, 2024 or 2023.</w:t>
      </w:r>
    </w:p>
    <w:p>
      <w:pPr>
        <w:spacing w:after="0" w:line="115" w:lineRule="exact"/>
        <w:rPr>
          <w:sz w:val="20"/>
          <w:szCs w:val="20"/>
          <w:color w:val="auto"/>
        </w:rPr>
      </w:pPr>
    </w:p>
    <w:p>
      <w:pPr>
        <w:ind w:right="60" w:firstLine="469"/>
        <w:spacing w:after="0" w:line="280" w:lineRule="auto"/>
        <w:rPr>
          <w:sz w:val="20"/>
          <w:szCs w:val="20"/>
          <w:color w:val="auto"/>
        </w:rPr>
      </w:pPr>
      <w:r>
        <w:rPr>
          <w:rFonts w:ascii="Times New Roman" w:cs="Times New Roman" w:eastAsia="Times New Roman" w:hAnsi="Times New Roman"/>
          <w:sz w:val="18"/>
          <w:szCs w:val="18"/>
          <w:color w:val="auto"/>
        </w:rPr>
        <w:t>During the years ended December 31, 2025 and 2024, we recorded non-cash indefinite-lived intangible asset impairment charges of $0.3 million and $3.5 million related to the closure of certain facilities, which is included in loss on impairment in the consolidated statements of operations.</w:t>
      </w:r>
    </w:p>
    <w:p>
      <w:pPr>
        <w:spacing w:after="0" w:line="55"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Assessment of the potential impairment of goodwill and intangible assets is an integral part of our normal ongoing review of operations. Testing for potential impairment of these assets is significantly dependent on numerous assumptions and reflects management’s best estimates at a particular point in time. In particular, estimating the fair value of our reporting unit includes substantial judgment and significant estimates and may materially differ from actual results. Changes in assumptions, industry or peer groups could negatively impact estimated fair value and impact the existence and magnitude of impairments, as well as the period in which such impairments are recognized. Impairment charges have no effect on liquidity or capital resources; however, they are a non-cash charge and could adversely affect our financial results in the period recognized.</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this method, deferred income taxes reflect the net tax effects of temporary differences between the carrying amounts of assets and liabilities for financial reporting purposes and the amounts used for income tax purposes and net operating loss and tax credit carryforwards. The amount of deferred taxes on these temporary differences is determined using the tax rates that are expected to apply in the period when the asset is realized or the liability is settled, as applicable, based on tax rates and laws in the respective tax jurisdiction enacted as of the balance sheet date.</w:t>
      </w:r>
    </w:p>
    <w:p>
      <w:pPr>
        <w:spacing w:after="0" w:line="79" w:lineRule="exact"/>
        <w:rPr>
          <w:sz w:val="20"/>
          <w:szCs w:val="20"/>
          <w:color w:val="auto"/>
        </w:rPr>
      </w:pPr>
    </w:p>
    <w:p>
      <w:pPr>
        <w:ind w:right="320" w:firstLine="509"/>
        <w:spacing w:after="0" w:line="264"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 a valuation allowance based on historical taxable income, projected future taxable income, applicable tax strategies, and the expected timing of the reversals of existing temporary differences. A valuation allowance is provided when it is more likely than not that some portion or all of the deferred tax assets will not be realized.</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records a liability for unrecognized tax benefits resulting from uncertain tax positions taken or expected to be taken in a tax return.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income tax expense.</w:t>
      </w:r>
    </w:p>
    <w:p>
      <w:pPr>
        <w:spacing w:after="0" w:line="97"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The Company has accruals for taxes and associated interest that may become payable in future years as a result of audits by tax authorities. The Company accrues for tax contingencies when it is more likely than not that a liability to a taxing authority has been incurred and the amount of the contingency can be reasonably estimated. Although management believes that the positions taken on previously filed tax returns are reasonable, the Company nevertheless has established tax and interest reserves in recognition that various taxing authorities may challenge the positions taken by the Company resulting in additional liabilities for taxes and interest. These amounts are reviewed as circumstances warrant and adjusted as events occur that affect the Company’s potential liability for additional taxes, such as lapsing of applicable statutes of limitations, conclusion of tax audits, additional exposure based on current calculations, identification of new issues, release of administrative guidance, or rendering of a court decision affecting a particular tax issue.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9" w:lineRule="exact"/>
        <w:rPr>
          <w:sz w:val="20"/>
          <w:szCs w:val="20"/>
          <w:color w:val="auto"/>
        </w:rPr>
      </w:pPr>
    </w:p>
    <w:p>
      <w:pPr>
        <w:ind w:right="640" w:firstLine="509"/>
        <w:spacing w:after="0" w:line="280" w:lineRule="auto"/>
        <w:rPr>
          <w:sz w:val="20"/>
          <w:szCs w:val="20"/>
          <w:color w:val="auto"/>
        </w:rPr>
      </w:pPr>
      <w:r>
        <w:rPr>
          <w:rFonts w:ascii="Times New Roman" w:cs="Times New Roman" w:eastAsia="Times New Roman" w:hAnsi="Times New Roman"/>
          <w:sz w:val="18"/>
          <w:szCs w:val="18"/>
          <w:color w:val="auto"/>
        </w:rPr>
        <w:t>Information with respect to this Item is provided under the caption “Market Risk” under “Item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Information with respect to this Item is contained in our consolidated financial statements beginning on Page F-1 of this Annual Report on Form 10-</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As of the end of the period covered by this report, our management conducted an evaluation,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have concluded that our disclosure controls and procedures are effective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on Internal Control Over Financial Reporting</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have included a report of management’s assessment of the design and operating effectiveness of our internal controls as part of this report. Our independent registered public accounting firm also reported on the effectiveness of internal control over financial reporting. Management’s report and the independent registered public accounting firm’s report are included in our consolidated financial statements beginning on page F-1 of this report under the captions entitled “Management’s Report on Internal Control Over Financial Reporting” and “Report of Independent Registered Public Accounting Firm.”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9" w:lineRule="exact"/>
        <w:rPr>
          <w:sz w:val="20"/>
          <w:szCs w:val="20"/>
          <w:color w:val="auto"/>
        </w:rPr>
      </w:pPr>
    </w:p>
    <w:p>
      <w:pPr>
        <w:ind w:right="160" w:firstLine="509"/>
        <w:spacing w:after="0" w:line="28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jc w:val="both"/>
        <w:ind w:right="140" w:firstLine="509"/>
        <w:spacing w:after="0" w:line="264" w:lineRule="auto"/>
        <w:rPr>
          <w:sz w:val="20"/>
          <w:szCs w:val="20"/>
          <w:color w:val="auto"/>
        </w:rPr>
      </w:pPr>
      <w:r>
        <w:rPr>
          <w:rFonts w:ascii="Times New Roman" w:cs="Times New Roman" w:eastAsia="Times New Roman" w:hAnsi="Times New Roman"/>
          <w:sz w:val="18"/>
          <w:szCs w:val="18"/>
          <w:color w:val="auto"/>
        </w:rPr>
        <w:t>From time to time, certain of our executive officers and directors may enter into, amend or terminate written trading arrangements pursuant to Rule 10b5-1 of the Exchange Act or otherwise. During the three months ended December 31, 2025, none of our directors or officers adopted or terminated any Rule 10b5-1 trading arrangement or non-Rule 10b5-1 trading arrangement (as such terms are defined in Item 408 of Regulation 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ind w:right="260" w:firstLine="509"/>
        <w:spacing w:after="0" w:line="280" w:lineRule="auto"/>
        <w:rPr>
          <w:sz w:val="20"/>
          <w:szCs w:val="20"/>
          <w:color w:val="auto"/>
        </w:rPr>
      </w:pPr>
      <w:r>
        <w:rPr>
          <w:rFonts w:ascii="Times New Roman" w:cs="Times New Roman" w:eastAsia="Times New Roman" w:hAnsi="Times New Roman"/>
          <w:sz w:val="18"/>
          <w:szCs w:val="18"/>
          <w:color w:val="auto"/>
        </w:rPr>
        <w:t>The information with respect to our directors set forth under the caption “Election of Directors” in our Definitive Proxy Statement for the Annual Meeting of Stockholders to be held May 6, 2026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Risk Committee</w:t>
      </w:r>
    </w:p>
    <w:p>
      <w:pPr>
        <w:spacing w:after="0" w:line="119"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8"/>
          <w:szCs w:val="18"/>
          <w:color w:val="auto"/>
        </w:rPr>
        <w:t>The information with respect to our Audit and Risk Committee and our audit committee financial experts serving on the Audit and Risk Committee set forth under the caption “Corporate Governance – Committees of the Board of Directors – Audit and Risk Committee” in our Definitive Proxy Statement for the Annual Meeting of Stockholders to be held May 6, 2026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ind w:right="500" w:firstLine="509"/>
        <w:spacing w:after="0" w:line="280" w:lineRule="auto"/>
        <w:rPr>
          <w:sz w:val="20"/>
          <w:szCs w:val="20"/>
          <w:color w:val="auto"/>
        </w:rPr>
      </w:pPr>
      <w:r>
        <w:rPr>
          <w:rFonts w:ascii="Times New Roman" w:cs="Times New Roman" w:eastAsia="Times New Roman" w:hAnsi="Times New Roman"/>
          <w:sz w:val="18"/>
          <w:szCs w:val="18"/>
          <w:color w:val="auto"/>
        </w:rPr>
        <w:t>The information with respect to our executive officers set forth under the caption “Management – Executive Officers” in our Definitive Proxy Statement for the Annual Meeting of Stockholders to be held May 6, 2026 is incorporated herein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Compliance</w:t>
      </w:r>
    </w:p>
    <w:p>
      <w:pPr>
        <w:spacing w:after="0" w:line="11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8"/>
          <w:szCs w:val="18"/>
          <w:color w:val="auto"/>
        </w:rPr>
        <w:t>The information with respect to compliance with Section 16(a) of the Exchange Act set forth under the caption “Security Ownership of Certain Beneficial Owners and Management — Delinquent Section 16(a) Reports” in our Definitive Proxy Statement for the Annual Meeting of Stockholders to be held May 6, 2026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Nominees</w:t>
      </w:r>
    </w:p>
    <w:p>
      <w:pPr>
        <w:spacing w:after="0" w:line="11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The information with respect to the procedures by which stockholders may recommend nominees to the board of directors set forth under the caption “Corporate Governance – Nomination of Directors – Nominations by Our Stockholders” in our Definitive Proxy Statement for the Annual Meeting of Stockholders to be held May 6, 2026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Documents</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and a Code of Ethics for Senior Financial Officers. These documents, as well as the charters of the Audit and Risk Committee, Compensation Committee, Compliance Committee, and Nominating and Governance Committee, are available on our website at www.acadiahealthcare.com on the Investors webpage under the caption “Corporate Governance.” Upon the written request of any person, we will furnish, without charge, a copy of any of these documents. Requests should be directed to Acadia Healthcare Company, Inc., 4020 Aspen Grove Dr, Suite 900 Franklin, Tennessee 37067, Attention: Brian Farley, Esq. We intend to disclose any amendments to our Code of Ethics and any waiver from a provision of our code, as required by the SEC, on our website.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other employees that we believe is reasonably designed to promote compliance with insider trading laws, rules and regulations, and the exchange listing standards applicable to us. A copy of our Insider Trading Policy is filed as Exhibit 19 to this Annual Report on Form 10-K. It is our policy to comply with all applicable securities laws and regulations (including appropriate approvals by our board of directors, if required) when engaging in transactions in our securities. The information with respect to our Insider Trading Policy set forth under the caption “Corporate Governance – Stock Ownership Guidelines, Insider Trading Policy, Hedging and Pledging” in our Definitive Proxy Statement for the Annual Meeting of Stockholders to be held May 6, 2026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9"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The information with respect to the compensation of our executive officers set forth under the captions “Executive Compensation” and “Compensation Discussion and Analysis” and the information set forth under the captions “Director Compensation,” “Corporate Governance – Compensation Committee Interlocks and Insider Participation,” and “Compensation Committee Report” in our Definitive Proxy Statement for the Annual Meeting of Stockholders to be held May 6, 2026 is incorporated herein by reference.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8"/>
          <w:szCs w:val="18"/>
          <w:color w:val="auto"/>
        </w:rPr>
        <w:t>The information with respect to security ownership of certain beneficial owners and management and related stockholder matters set forth under the caption “Security Ownership of Certain Beneficial Owners and Management” in our Definitive Proxy Statement for the Annual Meeting of Stockholders to be held May 6, 2026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9" w:lineRule="exact"/>
        <w:rPr>
          <w:sz w:val="20"/>
          <w:szCs w:val="20"/>
          <w:color w:val="auto"/>
        </w:rPr>
      </w:pPr>
    </w:p>
    <w:p>
      <w:pPr>
        <w:ind w:right="900" w:firstLine="509"/>
        <w:spacing w:after="0" w:line="280" w:lineRule="auto"/>
        <w:rPr>
          <w:sz w:val="20"/>
          <w:szCs w:val="20"/>
          <w:color w:val="auto"/>
        </w:rPr>
      </w:pPr>
      <w:r>
        <w:rPr>
          <w:rFonts w:ascii="Times New Roman" w:cs="Times New Roman" w:eastAsia="Times New Roman" w:hAnsi="Times New Roman"/>
          <w:sz w:val="18"/>
          <w:szCs w:val="18"/>
          <w:color w:val="auto"/>
        </w:rPr>
        <w:t>The following table provides information at December 31, 2025 with respect to compensation plans (including individual compensation arrangements) under which shares of Common Stock are authorized for issuance: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2"/>
                <w:szCs w:val="12"/>
                <w:color w:val="auto"/>
              </w:rPr>
            </w:pPr>
          </w:p>
        </w:tc>
        <w:tc>
          <w:tcPr>
            <w:tcW w:w="17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2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2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42"/>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0" w:type="dxa"/>
            <w:vAlign w:val="bottom"/>
          </w:tcPr>
          <w:p>
            <w:pPr>
              <w:spacing w:after="0"/>
              <w:rPr>
                <w:sz w:val="12"/>
                <w:szCs w:val="12"/>
                <w:color w:val="auto"/>
              </w:rPr>
            </w:pPr>
          </w:p>
        </w:tc>
        <w:tc>
          <w:tcPr>
            <w:tcW w:w="17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12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22"/>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 w:type="dxa"/>
            <w:vAlign w:val="bottom"/>
          </w:tcPr>
          <w:p>
            <w:pPr>
              <w:spacing w:after="0"/>
              <w:rPr>
                <w:sz w:val="12"/>
                <w:szCs w:val="12"/>
                <w:color w:val="auto"/>
              </w:rPr>
            </w:pPr>
          </w:p>
        </w:tc>
        <w:tc>
          <w:tcPr>
            <w:tcW w:w="17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2"/>
        </w:trPr>
        <w:tc>
          <w:tcPr>
            <w:tcW w:w="48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Plans (a)</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300" w:type="dxa"/>
            <w:vAlign w:val="bottom"/>
            <w:gridSpan w:val="2"/>
            <w:shd w:val="clear" w:color="auto" w:fill="CFF0FC"/>
          </w:tcPr>
          <w:p>
            <w:pPr>
              <w:spacing w:after="0" w:line="190"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8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4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Stockholders (b)</w:t>
            </w:r>
          </w:p>
        </w:tc>
        <w:tc>
          <w:tcPr>
            <w:tcW w:w="212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2,521,580  (c)</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3,711,225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3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Stockholders</w:t>
            </w:r>
          </w:p>
        </w:tc>
        <w:tc>
          <w:tcPr>
            <w:tcW w:w="1680" w:type="dxa"/>
            <w:vAlign w:val="bottom"/>
            <w:tcBorders>
              <w:bottom w:val="single" w:sz="8" w:color="auto"/>
            </w:tcBorders>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2,521,580</w:t>
            </w: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3,711,225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9"/>
                <w:szCs w:val="9"/>
                <w:color w:val="auto"/>
              </w:rPr>
            </w:pPr>
          </w:p>
        </w:tc>
        <w:tc>
          <w:tcPr>
            <w:tcW w:w="2420" w:type="dxa"/>
            <w:vAlign w:val="bottom"/>
            <w:tcBorders>
              <w:top w:val="single" w:sz="8" w:color="CFF0FC"/>
              <w:bottom w:val="single" w:sz="8" w:color="auto"/>
            </w:tcBorders>
          </w:tcPr>
          <w:p>
            <w:pPr>
              <w:spacing w:after="0"/>
              <w:rPr>
                <w:sz w:val="9"/>
                <w:szCs w:val="9"/>
                <w:color w:val="auto"/>
              </w:rPr>
            </w:pPr>
          </w:p>
        </w:tc>
        <w:tc>
          <w:tcPr>
            <w:tcW w:w="1880" w:type="dxa"/>
            <w:vAlign w:val="bottom"/>
            <w:tcBorders>
              <w:top w:val="single" w:sz="8" w:color="CFF0FC"/>
            </w:tcBorders>
          </w:tcPr>
          <w:p>
            <w:pPr>
              <w:spacing w:after="0"/>
              <w:rPr>
                <w:sz w:val="9"/>
                <w:szCs w:val="9"/>
                <w:color w:val="auto"/>
              </w:rPr>
            </w:pPr>
          </w:p>
        </w:tc>
        <w:tc>
          <w:tcPr>
            <w:tcW w:w="1680" w:type="dxa"/>
            <w:vAlign w:val="bottom"/>
            <w:tcBorders>
              <w:top w:val="single" w:sz="8" w:color="auto"/>
            </w:tcBorders>
          </w:tcPr>
          <w:p>
            <w:pPr>
              <w:spacing w:after="0"/>
              <w:rPr>
                <w:sz w:val="9"/>
                <w:szCs w:val="9"/>
                <w:color w:val="auto"/>
              </w:rPr>
            </w:pPr>
          </w:p>
        </w:tc>
        <w:tc>
          <w:tcPr>
            <w:tcW w:w="44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50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-118745</wp:posOffset>
            </wp:positionV>
            <wp:extent cx="679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-101600</wp:posOffset>
            </wp:positionV>
            <wp:extent cx="67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6719570</wp:posOffset>
            </wp:positionH>
            <wp:positionV relativeFrom="paragraph">
              <wp:posOffset>-118745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6719570</wp:posOffset>
            </wp:positionH>
            <wp:positionV relativeFrom="paragraph">
              <wp:posOffset>-101600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 w:lineRule="exact"/>
        <w:rPr>
          <w:sz w:val="20"/>
          <w:szCs w:val="20"/>
          <w:color w:val="auto"/>
        </w:rPr>
      </w:pPr>
    </w:p>
    <w:p>
      <w:pPr>
        <w:ind w:left="520" w:hanging="51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to be issued upon exercise of outstanding options and vesting of outstanding performance stock units.</w:t>
      </w:r>
    </w:p>
    <w:p>
      <w:pPr>
        <w:spacing w:after="0" w:line="26" w:lineRule="exact"/>
        <w:rPr>
          <w:rFonts w:ascii="Times New Roman" w:cs="Times New Roman" w:eastAsia="Times New Roman" w:hAnsi="Times New Roman"/>
          <w:sz w:val="18"/>
          <w:szCs w:val="18"/>
          <w:color w:val="auto"/>
        </w:rPr>
      </w:pPr>
    </w:p>
    <w:p>
      <w:pPr>
        <w:ind w:left="520" w:right="160" w:hanging="513"/>
        <w:spacing w:after="0" w:line="249"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issued or available for issuance under the Acadia Healthcare Company, Inc. Amended and Restated Incentive Compensation Plan.</w:t>
      </w:r>
    </w:p>
    <w:p>
      <w:pPr>
        <w:ind w:left="520" w:right="60" w:hanging="513"/>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249,752 shares that may be issued upon vesting of outstanding performance stock units that vest over three years, assuming that maximum performance goals are attained in all three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8"/>
          <w:szCs w:val="18"/>
          <w:color w:val="auto"/>
        </w:rPr>
        <w:t>The information with respect to certain relationships and related transactions and director independence set forth under the captions “Certain Relationships and Related Transactions” and “Corporate Governance – Independence of the Board of Directors” in our Definitive Proxy Statement for the Annual Meeting of Stockholders to be held May 6, 2026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9"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8"/>
          <w:szCs w:val="18"/>
          <w:color w:val="auto"/>
        </w:rPr>
        <w:t>The information with respect to the fees paid to and services provided by our principal accountants set forth under the caption “Ratification of Appointment of Independent Registered Public Accounting Firm” in our Definitive Proxy Statement for the Annual Meeting of Stockholders to be held May 6, 2026 is incorporated herein by reference.</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192" w:right="4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3"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509"/>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required to be included in Part II, Item 8, Financial Statements and Supplementary Data, begin on Page F-1 and are submitted as a separate section of this report.</w:t>
      </w:r>
    </w:p>
    <w:p>
      <w:pPr>
        <w:spacing w:after="0" w:line="53"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80" w:firstLine="509"/>
        <w:spacing w:after="0" w:line="280"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are not required, or because the required information is included in the consolidated financial statements or notes in this report.</w:t>
      </w:r>
    </w:p>
    <w:p>
      <w:pPr>
        <w:spacing w:after="0" w:line="53"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80" w:type="dxa"/>
            <w:vAlign w:val="bottom"/>
            <w:gridSpan w:val="18"/>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7"/>
        </w:trPr>
        <w:tc>
          <w:tcPr>
            <w:tcW w:w="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89"/>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Certificate of Incorporation, as amended. (a)</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Bylaws of the Company, as amended. (b)</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Indenture, dated June 24, 2020, by and among the Company, the guarantors party thereto and U.S. Bank National Association, as</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Trustee. (c)</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5.500% Senior Note due 2028 (included as Exhibit A1 in Exhibit 4.1).</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October 14, 2020, by and among the Company, the guarantors party thereto and U.S. Bank National Association, as</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Trustee. (d)</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5.000% Senior Note due 2029 (included as Exhibit A1 in Exhibit 4.3)</w:t>
              </w:r>
            </w:hyperlink>
            <w:r>
              <w:rPr>
                <w:rFonts w:ascii="Times New Roman" w:cs="Times New Roman" w:eastAsia="Times New Roman" w:hAnsi="Times New Roman"/>
                <w:sz w:val="18"/>
                <w:szCs w:val="18"/>
                <w:color w:val="0000FF"/>
              </w:rPr>
              <w:t>.</w:t>
            </w:r>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March 10, 2025, by and among the Company, the guarantors party thereto and U.S. Bank</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Trust Company, National Association, as Trustee. (e)</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7.375% Senior Note due 2033 (included as Exhibit A1 in Exhibit 4.5)</w:t>
              </w:r>
            </w:hyperlink>
            <w:r>
              <w:rPr>
                <w:rFonts w:ascii="Times New Roman" w:cs="Times New Roman" w:eastAsia="Times New Roman" w:hAnsi="Times New Roman"/>
                <w:sz w:val="18"/>
                <w:szCs w:val="18"/>
                <w:color w:val="0000FF"/>
              </w:rPr>
              <w:t>.</w:t>
            </w:r>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Amended and Restated Stockholders Agreement, dated as of October 29, 2014, by and among the Company and each of the</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stockholders named therein. (f)</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Specimen Common Stock Certificate to be issued to holders of the Company’s Common Stock</w:t>
              </w:r>
            </w:hyperlink>
            <w:r>
              <w:rPr>
                <w:rFonts w:ascii="Times New Roman" w:cs="Times New Roman" w:eastAsia="Times New Roman" w:hAnsi="Times New Roman"/>
                <w:sz w:val="18"/>
                <w:szCs w:val="18"/>
                <w:color w:val="0000FF"/>
              </w:rPr>
              <w:t>. (g)</w:t>
            </w:r>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Third Amended and Restated Registration Rights Agreement, dated as of December 31, 2015, by and among the Company and each of</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the parties named therein. (h)</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Joinder, dated February 16, 2016, to the Third Amended and Restated Registration Rights Agreement dated as of December 31, 2015,</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by and among the Company and each of the parties named therein. (i)</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Description of the Company’s Securities</w:t>
              </w:r>
            </w:hyperlink>
            <w:r>
              <w:rPr>
                <w:rFonts w:ascii="Times New Roman" w:cs="Times New Roman" w:eastAsia="Times New Roman" w:hAnsi="Times New Roman"/>
                <w:sz w:val="18"/>
                <w:szCs w:val="18"/>
                <w:color w:val="0000FF"/>
              </w:rPr>
              <w:t>. (j)</w:t>
            </w:r>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EE"/>
            </w:tcBorders>
            <w:gridSpan w:val="4"/>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Credit Agreement, dated as of March 17, 2021, by and among the Company, certain subsidiaries of the Company, as guarantors, the</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several banks and other financial institutions as may from time to time become parties thereunder as lenders, and Bank of America,</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N.A., as Administrative Agent and Swingline Lender. (k)</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20" w:type="dxa"/>
            <w:vAlign w:val="bottom"/>
            <w:tcBorders>
              <w:right w:val="single" w:sz="8" w:color="0000EE"/>
            </w:tcBorders>
            <w:gridSpan w:val="5"/>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6"/>
        </w:trPr>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1 to Credit Agreement, dated as of March 30, 2023, by and among the Company, certain subsidiaries of the Company,</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tcBorders>
              <w:right w:val="single" w:sz="8" w:color="0000FF"/>
            </w:tcBorders>
            <w:gridSpan w:val="9"/>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 guarantors, the several banks and other financial institutions as may from time to time become parties thereunder as lenders, and</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tcBorders>
              <w:right w:val="single" w:sz="8" w:color="0000FF"/>
            </w:tcBorders>
            <w:gridSpan w:val="9"/>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Bank of America, N.A., as Administrative Agent and Swingline Lender. (l)</w:t>
              </w:r>
            </w:hyperlink>
          </w:p>
        </w:tc>
      </w:tr>
      <w:tr>
        <w:trPr>
          <w:trHeight w:val="20"/>
        </w:trPr>
        <w:tc>
          <w:tcPr>
            <w:tcW w:w="13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140" w:type="dxa"/>
            <w:vAlign w:val="bottom"/>
            <w:tcBorders>
              <w:right w:val="single" w:sz="8" w:color="0000EE"/>
            </w:tcBorders>
            <w:gridSpan w:val="9"/>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16"/>
        </w:trPr>
        <w:tc>
          <w:tcPr>
            <w:tcW w:w="13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2 to Credit Agreement, dated as of January 18, 2024, by and among the Company, certain subsidiaries of the</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40" w:type="dxa"/>
            <w:vAlign w:val="bottom"/>
            <w:gridSpan w:val="11"/>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Company, as guarantors, the several banks and other financial institutions as may from time to time become parties thereunder as</w:t>
              </w:r>
            </w:hyperlink>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40" w:type="dxa"/>
            <w:vAlign w:val="bottom"/>
            <w:gridSpan w:val="11"/>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23"/>
          </w:tcPr>
          <w:p>
            <w:pPr>
              <w:spacing w:after="0" w:line="19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lenders, and Bank of America, N.A., as Administrative Agent and Swingline Lender. (m)</w:t>
              </w:r>
            </w:hyperlink>
          </w:p>
        </w:tc>
      </w:tr>
      <w:tr>
        <w:trPr>
          <w:trHeight w:val="451"/>
        </w:trPr>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tcBorders>
              <w:top w:val="single" w:sz="8" w:color="0000FF"/>
            </w:tcBorders>
            <w:gridSpan w:val="6"/>
          </w:tcPr>
          <w:p>
            <w:pPr>
              <w:ind w:left="410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9"/>
        </w:trPr>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Security and Pledge Agreement, dated as of March 17, 2021, by and among the Company, the other obligors party thereto and Bank of</w:t>
              </w:r>
            </w:hyperlink>
          </w:p>
        </w:tc>
      </w:tr>
      <w:tr>
        <w:trPr>
          <w:trHeight w:val="20"/>
        </w:trPr>
        <w:tc>
          <w:tcPr>
            <w:tcW w:w="1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America, N.A., as Administrative Agent. (k)</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Credit Agreement, dated as of February 28, 2025, among the Company, the several banks and other financial institutions as may from</w:t>
              </w:r>
            </w:hyperlink>
          </w:p>
        </w:tc>
      </w:tr>
      <w:tr>
        <w:trPr>
          <w:trHeight w:val="20"/>
        </w:trPr>
        <w:tc>
          <w:tcPr>
            <w:tcW w:w="1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time to time become parties thereunder as lenders, and JPMorgan Chase Bank, N.A., as Administrative Agent. (n)</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Employment Agreement, dated as of January 19, 2026, by and between Acadia Management Company, Inc. and Debra K. Osteen</w:t>
              </w:r>
            </w:hyperlink>
            <w:r>
              <w:rPr>
                <w:rFonts w:ascii="Times New Roman" w:cs="Times New Roman" w:eastAsia="Times New Roman" w:hAnsi="Times New Roman"/>
                <w:sz w:val="18"/>
                <w:szCs w:val="18"/>
                <w:color w:val="0000FF"/>
              </w:rPr>
              <w:t>. (o)</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Employment Agreement, dated October 7, 2025, by and between Acadia Management Company, Inc. and Todd Young</w:t>
              </w:r>
            </w:hyperlink>
            <w:r>
              <w:rPr>
                <w:rFonts w:ascii="Times New Roman" w:cs="Times New Roman" w:eastAsia="Times New Roman" w:hAnsi="Times New Roman"/>
                <w:sz w:val="18"/>
                <w:szCs w:val="18"/>
                <w:color w:val="0000FF"/>
              </w:rPr>
              <w:t>. (p)</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Employment Agreement, dated June 30, 2023, by and between Acadia Management Company, Inc. and</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Brian Farley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(q)</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Amendment to Employment Agreement, dated July 6, 2023, by and between Acadia Management</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Company, Inc. and Brian Farley, dated as of June 30, 2023. (q)</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Employment Agreement, dated March 31, 2022, by and among the Company, Acadia Management Company, Inc. and Christopher H.</w:t>
              </w:r>
            </w:hyperlink>
          </w:p>
        </w:tc>
      </w:tr>
      <w:tr>
        <w:trPr>
          <w:trHeight w:val="20"/>
        </w:trPr>
        <w:tc>
          <w:tcPr>
            <w:tcW w:w="1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Hunter. (r)</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Separation and Release Agreement, dated January 20, 2026, between Acadia Management Company, LLC</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and Christopher Hunter. (s)</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Employment Agreement, dated June 1, 2023, by and between Acadia Management Company, Inc. and Heather B. Dixon. (t)</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Employment Agreement, dated May 23, 2024, by and between Acadia Management Company, Inc. and Dr. Nasser Khan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(a)</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Transition and Separation Agreement, dated October 31, 2025, between Acadia Management Company, Inc. and Dr. Nasser Khan. (u)</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1"/>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98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Severance Agreement, dated April 29, 2022, by and between Acadia Management Company, Inc. and Timothy Sides.</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Cash Retention Award Agreement</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(v)</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Cash Retention Award Agreement, dated as of July 25, 2025, by and between Acadia Management Company, LLC and Brian Farley.</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24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87"/>
              </w:rPr>
              <w:t>(w)</w:t>
            </w:r>
          </w:p>
        </w:tc>
        <w:tc>
          <w:tcPr>
            <w:tcW w:w="9560" w:type="dxa"/>
            <w:vAlign w:val="bottom"/>
            <w:gridSpan w:val="32"/>
          </w:tcPr>
          <w:p>
            <w:pPr>
              <w:spacing w:after="0"/>
              <w:rPr>
                <w:sz w:val="16"/>
                <w:szCs w:val="16"/>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Cash Retention Award Agreement, dated as of July 25, 2025, by and between Acadia Management Company, LLC and Dr. Nasser</w:t>
              </w:r>
            </w:hyperlink>
          </w:p>
        </w:tc>
      </w:tr>
      <w:tr>
        <w:trPr>
          <w:trHeight w:val="20"/>
        </w:trPr>
        <w:tc>
          <w:tcPr>
            <w:tcW w:w="1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9"/>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Khan. (w)</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†10.19</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Cash Retention Award Agreement, dated as of December 19, 2024, by and between Acadia Management Company, LLC and Timothy</w:t>
              </w:r>
            </w:hyperlink>
          </w:p>
        </w:tc>
      </w:tr>
      <w:tr>
        <w:trPr>
          <w:trHeight w:val="20"/>
        </w:trPr>
        <w:tc>
          <w:tcPr>
            <w:tcW w:w="1440" w:type="dxa"/>
            <w:vAlign w:val="bottom"/>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gridSpan w:val="1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440" w:type="dxa"/>
            <w:vAlign w:val="bottom"/>
          </w:tcPr>
          <w:p>
            <w:pPr>
              <w:spacing w:after="0"/>
              <w:rPr>
                <w:sz w:val="16"/>
                <w:szCs w:val="16"/>
                <w:color w:val="auto"/>
              </w:rPr>
            </w:pPr>
          </w:p>
        </w:tc>
        <w:tc>
          <w:tcPr>
            <w:tcW w:w="9800" w:type="dxa"/>
            <w:vAlign w:val="bottom"/>
            <w:gridSpan w:val="33"/>
          </w:tcPr>
          <w:p>
            <w:pPr>
              <w:spacing w:after="0" w:line="195"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Sides, as amended as of August 6, 2025. (w)</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13"/>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Acadia Healthcare Company, Inc. Amended and Restated Incentive Compensation Plan. (x)</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13"/>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†10.21</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Amendment to the Acadia Healthcare Company, Inc. Amended and Restated Incentive Compensation Plan. (y)</w:t>
              </w:r>
            </w:hyperlink>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40" w:type="dxa"/>
            <w:vAlign w:val="bottom"/>
            <w:gridSpan w:val="13"/>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†10.22</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Unit Agreement</w:t>
              </w:r>
            </w:hyperlink>
            <w:r>
              <w:rPr>
                <w:rFonts w:ascii="Times New Roman" w:cs="Times New Roman" w:eastAsia="Times New Roman" w:hAnsi="Times New Roman"/>
                <w:sz w:val="18"/>
                <w:szCs w:val="18"/>
                <w:color w:val="0000FF"/>
              </w:rPr>
              <w:t>. (z)</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†10.23</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Incentive Stock Option Agreement</w:t>
              </w:r>
            </w:hyperlink>
            <w:r>
              <w:rPr>
                <w:rFonts w:ascii="Times New Roman" w:cs="Times New Roman" w:eastAsia="Times New Roman" w:hAnsi="Times New Roman"/>
                <w:sz w:val="18"/>
                <w:szCs w:val="18"/>
                <w:color w:val="0000FF"/>
              </w:rPr>
              <w:t>. (aa)</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†10.24</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Non-Qualified Stock Option Agreement</w:t>
              </w:r>
            </w:hyperlink>
            <w:r>
              <w:rPr>
                <w:rFonts w:ascii="Times New Roman" w:cs="Times New Roman" w:eastAsia="Times New Roman" w:hAnsi="Times New Roman"/>
                <w:sz w:val="18"/>
                <w:szCs w:val="18"/>
                <w:color w:val="0000FF"/>
              </w:rPr>
              <w:t>. (aa)</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6"/>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†10.25</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Stock Agreement</w:t>
              </w:r>
            </w:hyperlink>
            <w:r>
              <w:rPr>
                <w:rFonts w:ascii="Times New Roman" w:cs="Times New Roman" w:eastAsia="Times New Roman" w:hAnsi="Times New Roman"/>
                <w:sz w:val="18"/>
                <w:szCs w:val="18"/>
                <w:color w:val="0000FF"/>
              </w:rPr>
              <w:t>. (z)</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EE"/>
            </w:tcBorders>
            <w:gridSpan w:val="6"/>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†10.26</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Stock Appreciation Rights Agreement</w:t>
              </w:r>
            </w:hyperlink>
            <w:r>
              <w:rPr>
                <w:rFonts w:ascii="Times New Roman" w:cs="Times New Roman" w:eastAsia="Times New Roman" w:hAnsi="Times New Roman"/>
                <w:sz w:val="18"/>
                <w:szCs w:val="18"/>
                <w:color w:val="0000FF"/>
              </w:rPr>
              <w:t>. (aa)</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EE"/>
            </w:tcBorders>
            <w:gridSpan w:val="11"/>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†10.27</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Acadia Healthcare Company, Inc. Nonqualified Deferred Compensation Plan, effective February 1, 2013</w:t>
              </w:r>
            </w:hyperlink>
            <w:r>
              <w:rPr>
                <w:rFonts w:ascii="Times New Roman" w:cs="Times New Roman" w:eastAsia="Times New Roman" w:hAnsi="Times New Roman"/>
                <w:sz w:val="18"/>
                <w:szCs w:val="18"/>
                <w:color w:val="0000FF"/>
              </w:rPr>
              <w:t>. (bb)</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14"/>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†10.28</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Nonmanagement Director Compensation Program, effective January 1, 2013</w:t>
              </w:r>
            </w:hyperlink>
            <w:r>
              <w:rPr>
                <w:rFonts w:ascii="Times New Roman" w:cs="Times New Roman" w:eastAsia="Times New Roman" w:hAnsi="Times New Roman"/>
                <w:sz w:val="18"/>
                <w:szCs w:val="18"/>
                <w:color w:val="0000FF"/>
              </w:rPr>
              <w:t>. (bb)</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gridSpan w:val="14"/>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10.29</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Indemnification Agreement (for directors and officers affiliated with Waud Capital Partners)</w:t>
              </w:r>
            </w:hyperlink>
            <w:r>
              <w:rPr>
                <w:rFonts w:ascii="Times New Roman" w:cs="Times New Roman" w:eastAsia="Times New Roman" w:hAnsi="Times New Roman"/>
                <w:sz w:val="18"/>
                <w:szCs w:val="18"/>
                <w:color w:val="0000FF"/>
              </w:rPr>
              <w:t>. (cc)</w:t>
            </w: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EE"/>
            </w:tcBorders>
            <w:gridSpan w:val="1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r>
      <w:tr>
        <w:trPr>
          <w:trHeight w:val="316"/>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10.30</w:t>
            </w:r>
          </w:p>
        </w:tc>
        <w:tc>
          <w:tcPr>
            <w:tcW w:w="9800" w:type="dxa"/>
            <w:vAlign w:val="bottom"/>
            <w:gridSpan w:val="3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Indemnification Agreement (for directors and officers not affiliated with Waud Capital Partners)</w:t>
              </w:r>
            </w:hyperlink>
            <w:r>
              <w:rPr>
                <w:rFonts w:ascii="Times New Roman" w:cs="Times New Roman" w:eastAsia="Times New Roman" w:hAnsi="Times New Roman"/>
                <w:sz w:val="18"/>
                <w:szCs w:val="18"/>
                <w:color w:val="0000FF"/>
              </w:rPr>
              <w:t>. (cc)</w:t>
            </w:r>
          </w:p>
        </w:tc>
      </w:tr>
      <w:tr>
        <w:trPr>
          <w:trHeight w:val="451"/>
        </w:trPr>
        <w:tc>
          <w:tcPr>
            <w:tcW w:w="1440" w:type="dxa"/>
            <w:vAlign w:val="bottom"/>
          </w:tcPr>
          <w:p>
            <w:pPr>
              <w:spacing w:after="0"/>
              <w:rPr>
                <w:sz w:val="24"/>
                <w:szCs w:val="24"/>
                <w:color w:val="auto"/>
              </w:rPr>
            </w:pPr>
          </w:p>
        </w:tc>
        <w:tc>
          <w:tcPr>
            <w:tcW w:w="5520" w:type="dxa"/>
            <w:vAlign w:val="bottom"/>
            <w:tcBorders>
              <w:top w:val="single" w:sz="8" w:color="0000FF"/>
            </w:tcBorders>
            <w:gridSpan w:val="14"/>
          </w:tcPr>
          <w:p>
            <w:pPr>
              <w:jc w:val="right"/>
              <w:ind w:right="124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9"/>
        </w:trPr>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0" w:name="page61"/>
    <w:bookmarkEnd w:id="60"/>
    <w:tbl>
      <w:tblPr>
        <w:tblLayout w:type="fixed"/>
        <w:tblInd w:w="180" w:type="dxa"/>
        <w:tblCellMar>
          <w:top w:w="0" w:type="dxa"/>
          <w:left w:w="0" w:type="dxa"/>
          <w:bottom w:w="0" w:type="dxa"/>
          <w:right w:w="0" w:type="dxa"/>
        </w:tblCellMar>
      </w:tblPr>
      <w:tr>
        <w:trPr>
          <w:trHeight w:val="207"/>
        </w:trPr>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8"/>
              </w:rPr>
              <w:t>10.31</w:t>
            </w:r>
          </w:p>
        </w:tc>
        <w:tc>
          <w:tcPr>
            <w:tcW w:w="9480" w:type="dxa"/>
            <w:vAlign w:val="bottom"/>
            <w:gridSpan w:val="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Settlement Agreement, Release in Full and Indemnification Agreement, dated October 30, 2023, by and among Acadia Healthcare</w:t>
              </w:r>
            </w:hyperlink>
          </w:p>
        </w:tc>
      </w:tr>
      <w:tr>
        <w:trPr>
          <w:trHeight w:val="20"/>
        </w:trPr>
        <w:tc>
          <w:tcPr>
            <w:tcW w:w="120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9480" w:type="dxa"/>
            <w:vAlign w:val="bottom"/>
            <w:gridSpan w:val="6"/>
          </w:tcPr>
          <w:p>
            <w:pPr>
              <w:spacing w:after="0" w:line="195"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Company, Inc., Youth and Family Centered Services of New Mexico, Inc. d/b/a Desert Hills, and Shasta N. Inman, as Guardian Ad</w:t>
              </w:r>
            </w:hyperlink>
          </w:p>
        </w:tc>
      </w:tr>
      <w:tr>
        <w:trPr>
          <w:trHeight w:val="20"/>
        </w:trPr>
        <w:tc>
          <w:tcPr>
            <w:tcW w:w="120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9480" w:type="dxa"/>
            <w:vAlign w:val="bottom"/>
            <w:gridSpan w:val="6"/>
          </w:tcPr>
          <w:p>
            <w:pPr>
              <w:spacing w:after="0" w:line="195"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Litem. (dd)</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6"/>
        </w:trPr>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8"/>
              </w:rPr>
              <w:t>10.32</w:t>
            </w:r>
          </w:p>
        </w:tc>
        <w:tc>
          <w:tcPr>
            <w:tcW w:w="9480" w:type="dxa"/>
            <w:vAlign w:val="bottom"/>
            <w:gridSpan w:val="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Settlement Agreement, Release in Full and Indemnification Agreement, dated October 30, 2023, by and among Acadia Healthcare</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9480" w:type="dxa"/>
            <w:vAlign w:val="bottom"/>
            <w:gridSpan w:val="6"/>
          </w:tcPr>
          <w:p>
            <w:pPr>
              <w:spacing w:after="0" w:line="195"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Company, Inc., Youth and Family Centered Services of New Mexico, Inc. d/b/a Desert Hills, and Feliz Rael, as Guardian Ad Litem</w:t>
              </w:r>
            </w:hyperlink>
            <w:r>
              <w:rPr>
                <w:rFonts w:ascii="Times New Roman" w:cs="Times New Roman" w:eastAsia="Times New Roman" w:hAnsi="Times New Roman"/>
                <w:sz w:val="18"/>
                <w:szCs w:val="18"/>
                <w:color w:val="0000FF"/>
                <w:w w:val="99"/>
              </w:rPr>
              <w:t>.</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(dd)</w:t>
            </w:r>
          </w:p>
        </w:tc>
      </w:tr>
      <w:tr>
        <w:trPr>
          <w:trHeight w:val="295"/>
        </w:trPr>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8"/>
              </w:rPr>
              <w:t>10.33</w:t>
            </w:r>
          </w:p>
        </w:tc>
        <w:tc>
          <w:tcPr>
            <w:tcW w:w="9480" w:type="dxa"/>
            <w:vAlign w:val="bottom"/>
            <w:gridSpan w:val="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Settlement Agreement, Release in Full and Indemnification Agreement, dated October 30, 2023, by and among Acadia Healthcare</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9480" w:type="dxa"/>
            <w:vAlign w:val="bottom"/>
            <w:gridSpan w:val="6"/>
          </w:tcPr>
          <w:p>
            <w:pPr>
              <w:spacing w:after="0" w:line="195"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Company, Inc., Youth and Family Centered Services of New Mexico, Inc. d/b/a Desert Hills, and Alison Endicott-Quiñones, as</w:t>
              </w:r>
            </w:hyperlink>
          </w:p>
        </w:tc>
      </w:tr>
      <w:tr>
        <w:trPr>
          <w:trHeight w:val="20"/>
        </w:trPr>
        <w:tc>
          <w:tcPr>
            <w:tcW w:w="120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9480" w:type="dxa"/>
            <w:vAlign w:val="bottom"/>
            <w:gridSpan w:val="6"/>
          </w:tcPr>
          <w:p>
            <w:pPr>
              <w:spacing w:after="0" w:line="195"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Guardian Ad Litem. (dd)</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9" w:lineRule="exact"/>
        <w:rPr>
          <w:sz w:val="20"/>
          <w:szCs w:val="20"/>
          <w:color w:val="auto"/>
        </w:rPr>
      </w:pPr>
    </w:p>
    <w:p>
      <w:pPr>
        <w:ind w:left="1360" w:hanging="1173"/>
        <w:spacing w:after="0"/>
        <w:tabs>
          <w:tab w:leader="none" w:pos="1360" w:val="left"/>
        </w:tabs>
        <w:numPr>
          <w:ilvl w:val="0"/>
          <w:numId w:val="28"/>
        </w:numPr>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u w:val="single" w:color="auto"/>
            <w:color w:val="0000FF"/>
          </w:rPr>
          <w:t>Acadia Healthcare Company. Inc. Insider Trading Policy</w:t>
        </w:r>
      </w:hyperlink>
      <w:r>
        <w:rPr>
          <w:rFonts w:ascii="Times New Roman" w:cs="Times New Roman" w:eastAsia="Times New Roman" w:hAnsi="Times New Roman"/>
          <w:sz w:val="18"/>
          <w:szCs w:val="18"/>
          <w:color w:val="0000FF"/>
        </w:rPr>
        <w:t>.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-8255</wp:posOffset>
            </wp:positionV>
            <wp:extent cx="28289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the Company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-8255</wp:posOffset>
            </wp:positionV>
            <wp:extent cx="13169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09" w:lineRule="exact"/>
        <w:rPr>
          <w:sz w:val="20"/>
          <w:szCs w:val="20"/>
          <w:color w:val="auto"/>
        </w:rPr>
      </w:pPr>
    </w:p>
    <w:p>
      <w:pPr>
        <w:ind w:left="1360" w:hanging="1173"/>
        <w:spacing w:after="0"/>
        <w:tabs>
          <w:tab w:leader="none" w:pos="1360" w:val="left"/>
        </w:tabs>
        <w:numPr>
          <w:ilvl w:val="0"/>
          <w:numId w:val="29"/>
        </w:numPr>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u w:val="single" w:color="auto"/>
            <w:color w:val="0000FF"/>
          </w:rPr>
          <w:t>List of Subsidiary Guarantors and Issuers of Guaranteed Securities.</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-8255</wp:posOffset>
            </wp:positionV>
            <wp:extent cx="3066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9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960" w:type="dxa"/>
            <w:vAlign w:val="bottom"/>
            <w:tcBorders>
              <w:right w:val="single" w:sz="8" w:color="0000EE"/>
            </w:tcBorders>
            <w:gridSpan w:val="2"/>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the Chief Executive Officer of the Company pursuant to Section 302 of the Sarbanes-Oxley Act of</w:t>
            </w:r>
          </w:p>
        </w:tc>
      </w:tr>
      <w:tr>
        <w:trPr>
          <w:trHeight w:val="20"/>
        </w:trPr>
        <w:tc>
          <w:tcPr>
            <w:tcW w:w="1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50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9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2002.</w:t>
            </w:r>
          </w:p>
        </w:tc>
        <w:tc>
          <w:tcPr>
            <w:tcW w:w="33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Rule 13a-14(a) Certification of the Chief Financial Officer of the Company pursuant to Section 302 of the Sarbanes-Oxley Act of 2002.</w:t>
            </w: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3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Certification of Chief Executive Officer of the Company pursuant to Section 906 of the Sarbanes-Oxley Act of 2002.</w:t>
            </w: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3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Certification of Chief Financial Officer of the Company pursuant to Section 906 of the Sarbanes-Oxley Act of 2002.</w:t>
            </w: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50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9" w:lineRule="exact"/>
        <w:rPr>
          <w:sz w:val="20"/>
          <w:szCs w:val="20"/>
          <w:color w:val="auto"/>
        </w:rPr>
      </w:pPr>
    </w:p>
    <w:p>
      <w:pPr>
        <w:ind w:left="1360" w:hanging="1173"/>
        <w:spacing w:after="0"/>
        <w:tabs>
          <w:tab w:leader="none" w:pos="1360" w:val="left"/>
        </w:tabs>
        <w:numPr>
          <w:ilvl w:val="0"/>
          <w:numId w:val="30"/>
        </w:numPr>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u w:val="single" w:color="auto"/>
            <w:color w:val="0000FF"/>
          </w:rPr>
          <w:t>Acadia Healthcare Company, Inc. Policy Regarding the Mandatory Recovery of Compensation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-8255</wp:posOffset>
            </wp:positionV>
            <wp:extent cx="4332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4332605" cy="8255"/>
                    </a:xfrm>
                    <a:prstGeom prst="rect">
                      <a:avLst/>
                    </a:prstGeom>
                    <a:noFill/>
                  </pic:spPr>
                </pic:pic>
              </a:graphicData>
            </a:graphic>
          </wp:anchor>
        </w:drawing>
      </w:r>
    </w:p>
    <w:p>
      <w:pPr>
        <w:sectPr>
          <w:pgSz w:w="11900" w:h="16838" w:orient="portrait"/>
          <w:cols w:equalWidth="0" w:num="1">
            <w:col w:w="11100"/>
          </w:cols>
          <w:pgMar w:left="380" w:top="1088" w:right="419" w:bottom="1440"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8" w:lineRule="exact"/>
        <w:rPr>
          <w:sz w:val="20"/>
          <w:szCs w:val="20"/>
          <w:color w:val="auto"/>
        </w:rPr>
      </w:pPr>
    </w:p>
    <w:p>
      <w:pPr>
        <w:sectPr>
          <w:pgSz w:w="11900" w:h="16838" w:orient="portrait"/>
          <w:cols w:equalWidth="0" w:num="2">
            <w:col w:w="880" w:space="480"/>
            <w:col w:w="9740"/>
          </w:cols>
          <w:pgMar w:left="380" w:top="1088"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w:t>
      </w:r>
    </w:p>
    <w:p>
      <w:pPr>
        <w:spacing w:after="0" w:line="140" w:lineRule="exact"/>
        <w:rPr>
          <w:sz w:val="20"/>
          <w:szCs w:val="20"/>
          <w:color w:val="auto"/>
        </w:rPr>
      </w:pPr>
    </w:p>
    <w:p>
      <w:pPr>
        <w:sectPr>
          <w:pgSz w:w="11900" w:h="16838" w:orient="portrait"/>
          <w:cols w:equalWidth="0" w:num="2">
            <w:col w:w="940" w:space="420"/>
            <w:col w:w="9740"/>
          </w:cols>
          <w:pgMar w:left="380" w:top="1088" w:right="419" w:bottom="1440" w:gutter="0" w:footer="0" w:header="0"/>
          <w:type w:val="continuous"/>
        </w:sectPr>
      </w:pPr>
    </w:p>
    <w:p>
      <w:pPr>
        <w:ind w:left="1360" w:right="40" w:hanging="1352"/>
        <w:spacing w:after="0" w:line="280" w:lineRule="auto"/>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2025, has been formatted in Inline XBRL.</w:t>
      </w:r>
    </w:p>
    <w:p>
      <w:pPr>
        <w:spacing w:after="0" w:line="81" w:lineRule="exact"/>
        <w:rPr>
          <w:sz w:val="20"/>
          <w:szCs w:val="20"/>
          <w:color w:val="auto"/>
        </w:rPr>
      </w:pPr>
    </w:p>
    <w:p>
      <w:pPr>
        <w:ind w:left="1360" w:hanging="1352"/>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-127635</wp:posOffset>
            </wp:positionV>
            <wp:extent cx="8616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7" w:lineRule="exact"/>
        <w:rPr>
          <w:sz w:val="20"/>
          <w:szCs w:val="20"/>
          <w:color w:val="auto"/>
        </w:rPr>
      </w:pPr>
    </w:p>
    <w:p>
      <w:pPr>
        <w:ind w:left="1360" w:hanging="1352"/>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8" w:lineRule="exact"/>
        <w:rPr>
          <w:sz w:val="20"/>
          <w:szCs w:val="20"/>
          <w:color w:val="auto"/>
        </w:rPr>
      </w:pPr>
    </w:p>
    <w:p>
      <w:pPr>
        <w:ind w:left="1360" w:hanging="1352"/>
        <w:spacing w:after="0"/>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8" w:lineRule="exact"/>
        <w:rPr>
          <w:rFonts w:ascii="Times New Roman" w:cs="Times New Roman" w:eastAsia="Times New Roman" w:hAnsi="Times New Roman"/>
          <w:sz w:val="18"/>
          <w:szCs w:val="18"/>
          <w:color w:val="auto"/>
        </w:rPr>
      </w:pPr>
    </w:p>
    <w:p>
      <w:pPr>
        <w:jc w:val="both"/>
        <w:ind w:left="1360" w:right="40" w:hanging="1352"/>
        <w:spacing w:after="0" w:line="263"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XBRL related information in Exhibit 101 to this Annual Report on Form 10-K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w:t>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specific reference in such filing or document.</w:t>
      </w:r>
    </w:p>
    <w:p>
      <w:pPr>
        <w:spacing w:after="0" w:line="8" w:lineRule="exact"/>
        <w:rPr>
          <w:sz w:val="20"/>
          <w:szCs w:val="20"/>
          <w:color w:val="auto"/>
        </w:rPr>
      </w:pPr>
    </w:p>
    <w:p>
      <w:pPr>
        <w:ind w:left="1360" w:right="400" w:hanging="1352"/>
        <w:spacing w:after="0" w:line="249"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on May 24, 2024 (File No. 001-35331).</w:t>
      </w:r>
    </w:p>
    <w:p>
      <w:pPr>
        <w:ind w:left="1360" w:hanging="1352"/>
        <w:spacing w:after="0"/>
        <w:tabs>
          <w:tab w:leader="none" w:pos="1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exhibits filed with the Company’s Current Report on Form 8-K filed May 25, 2017 (File No. 001-35331).</w:t>
      </w:r>
    </w:p>
    <w:p>
      <w:pPr>
        <w:spacing w:after="0" w:line="19" w:lineRule="exact"/>
        <w:rPr>
          <w:rFonts w:ascii="Times New Roman" w:cs="Times New Roman" w:eastAsia="Times New Roman" w:hAnsi="Times New Roman"/>
          <w:sz w:val="17"/>
          <w:szCs w:val="17"/>
          <w:color w:val="auto"/>
        </w:rPr>
      </w:pPr>
    </w:p>
    <w:p>
      <w:pPr>
        <w:ind w:left="1360" w:hanging="1352"/>
        <w:spacing w:after="0"/>
        <w:tabs>
          <w:tab w:leader="none" w:pos="1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exhibits filed with the Company’s Current Report on Form 8-K filed June 24, 2020 (File No. 001-35331).</w:t>
      </w:r>
    </w:p>
    <w:p>
      <w:pPr>
        <w:spacing w:after="0" w:line="19" w:lineRule="exact"/>
        <w:rPr>
          <w:rFonts w:ascii="Times New Roman" w:cs="Times New Roman" w:eastAsia="Times New Roman" w:hAnsi="Times New Roman"/>
          <w:sz w:val="17"/>
          <w:szCs w:val="17"/>
          <w:color w:val="auto"/>
        </w:rPr>
      </w:pPr>
    </w:p>
    <w:p>
      <w:pPr>
        <w:ind w:left="1360" w:right="380" w:hanging="1352"/>
        <w:spacing w:after="0" w:line="249"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14, 2020 (File No. 001-35331).</w:t>
      </w:r>
    </w:p>
    <w:p>
      <w:pPr>
        <w:ind w:left="1360" w:right="2240" w:hanging="1352"/>
        <w:spacing w:after="0" w:line="249"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March 10, 2025 (File No. 001-35331).</w:t>
      </w:r>
    </w:p>
    <w:p>
      <w:pPr>
        <w:ind w:left="1360" w:right="380" w:hanging="1352"/>
        <w:spacing w:after="0" w:line="249"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30, 2014 (File No. 001-35331).</w:t>
      </w:r>
    </w:p>
    <w:p>
      <w:pPr>
        <w:ind w:left="1360" w:right="40" w:hanging="1352"/>
        <w:spacing w:after="0" w:line="258"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registration statement on Form S-1, as amended (File No. 333-175523), originally filed with the SEC on November 23, 2011.</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481965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80" w:top="1088" w:right="419" w:bottom="1440" w:gutter="0" w:footer="0" w:header="0"/>
          <w:type w:val="continuous"/>
        </w:sectPr>
      </w:pPr>
    </w:p>
    <w:bookmarkStart w:id="61" w:name="page62"/>
    <w:bookmarkEnd w:id="61"/>
    <w:p>
      <w:pPr>
        <w:ind w:left="1420" w:right="460" w:hanging="1352"/>
        <w:spacing w:after="0" w:line="260"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4, 2016 (File No. 001-35331).</w:t>
      </w:r>
    </w:p>
    <w:p>
      <w:pPr>
        <w:ind w:left="1420" w:right="28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February 16, 2016 (File No. 001-35331).</w:t>
      </w:r>
    </w:p>
    <w:p>
      <w:pPr>
        <w:ind w:left="1420" w:right="22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Annual Report on Form 10-K for the year ended December 31, 2020 (File No. 001-35331).</w:t>
      </w:r>
    </w:p>
    <w:p>
      <w:pPr>
        <w:ind w:left="1420" w:right="24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10-Q for the three months ended March 31, 2021 (File No. 001-35331).</w:t>
      </w:r>
    </w:p>
    <w:p>
      <w:pPr>
        <w:ind w:left="1420" w:right="24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10-Q for the three months ended March 31, 2023 (File No. 001-35331).</w:t>
      </w:r>
    </w:p>
    <w:p>
      <w:pPr>
        <w:ind w:left="1420" w:right="36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19, 2024 (File No. 001-35331).</w:t>
      </w:r>
    </w:p>
    <w:p>
      <w:pPr>
        <w:ind w:left="1420" w:right="28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February 28, 2025 (File No. 001-35331).</w:t>
      </w:r>
    </w:p>
    <w:p>
      <w:pPr>
        <w:ind w:left="1420" w:right="32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20, 2026 (File No. 001-35331).</w:t>
      </w:r>
    </w:p>
    <w:p>
      <w:pPr>
        <w:ind w:left="1420" w:right="44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7, 2025 (File No. 001-35331).</w:t>
      </w:r>
    </w:p>
    <w:p>
      <w:pPr>
        <w:ind w:left="1420" w:right="206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10-Q for the three months ended June 30, 2023 (File No. 001-35331).</w:t>
      </w:r>
    </w:p>
    <w:p>
      <w:pPr>
        <w:ind w:left="1420" w:right="10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March 31, 2022 (File No. 001-35331).</w:t>
      </w:r>
    </w:p>
    <w:p>
      <w:pPr>
        <w:ind w:left="1420" w:right="36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23, 2026 (File No. 001-35331).</w:t>
      </w:r>
    </w:p>
    <w:p>
      <w:pPr>
        <w:ind w:left="1420" w:hanging="1352"/>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June 2, 2023 (File No. 001-35331).</w:t>
      </w:r>
    </w:p>
    <w:p>
      <w:pPr>
        <w:spacing w:after="0" w:line="8" w:lineRule="exact"/>
        <w:rPr>
          <w:rFonts w:ascii="Times New Roman" w:cs="Times New Roman" w:eastAsia="Times New Roman" w:hAnsi="Times New Roman"/>
          <w:sz w:val="18"/>
          <w:szCs w:val="18"/>
          <w:color w:val="auto"/>
        </w:rPr>
      </w:pPr>
    </w:p>
    <w:p>
      <w:pPr>
        <w:ind w:left="1420" w:right="26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November 5, 2025 (File No. 001-35331).</w:t>
      </w:r>
    </w:p>
    <w:p>
      <w:pPr>
        <w:ind w:left="1420" w:right="24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June 30, 2025 (File No. 001-35331).</w:t>
      </w:r>
    </w:p>
    <w:p>
      <w:pPr>
        <w:ind w:left="1420" w:right="8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September 30, 2025 (File No. 001-35331).</w:t>
      </w:r>
    </w:p>
    <w:p>
      <w:pPr>
        <w:ind w:left="1420" w:hanging="1352"/>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to the Company’s Definitive Proxy Statement filed April 10, 2025 (File No. 001-35331).</w:t>
      </w:r>
    </w:p>
    <w:p>
      <w:pPr>
        <w:spacing w:after="0" w:line="8" w:lineRule="exact"/>
        <w:rPr>
          <w:rFonts w:ascii="Times New Roman" w:cs="Times New Roman" w:eastAsia="Times New Roman" w:hAnsi="Times New Roman"/>
          <w:sz w:val="18"/>
          <w:szCs w:val="18"/>
          <w:color w:val="auto"/>
        </w:rPr>
      </w:pPr>
    </w:p>
    <w:p>
      <w:pPr>
        <w:ind w:left="1420" w:hanging="1352"/>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filed April 10, 2025 (File No. 001-35331).</w:t>
      </w:r>
    </w:p>
    <w:p>
      <w:pPr>
        <w:spacing w:after="0" w:line="8" w:lineRule="exact"/>
        <w:rPr>
          <w:rFonts w:ascii="Times New Roman" w:cs="Times New Roman" w:eastAsia="Times New Roman" w:hAnsi="Times New Roman"/>
          <w:sz w:val="18"/>
          <w:szCs w:val="18"/>
          <w:color w:val="auto"/>
        </w:rPr>
      </w:pPr>
    </w:p>
    <w:p>
      <w:pPr>
        <w:ind w:left="1420" w:right="100" w:hanging="1352"/>
        <w:spacing w:after="0" w:line="249"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March 31, 2018 (File No. 001-35331).</w:t>
      </w:r>
    </w:p>
    <w:p>
      <w:pPr>
        <w:ind w:left="1420" w:hanging="1352"/>
        <w:spacing w:after="0" w:line="249"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registration statement on Form S-4, as amended (File No. 333-175523), originally filed with the SEC on July 13, 2011.</w:t>
      </w:r>
    </w:p>
    <w:p>
      <w:pPr>
        <w:ind w:left="1420" w:right="100" w:hanging="1352"/>
        <w:spacing w:after="0" w:line="249"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Quarterly Report on Form 10-Q for the three months ended March 31, 2013 (File No. 001-35331).</w:t>
      </w:r>
    </w:p>
    <w:p>
      <w:pPr>
        <w:ind w:left="1420" w:right="260" w:hanging="1352"/>
        <w:spacing w:after="0" w:line="249"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November 1, 2011 (File No. 001-35331).</w:t>
      </w:r>
    </w:p>
    <w:p>
      <w:pPr>
        <w:ind w:left="1420" w:right="340" w:hanging="1352"/>
        <w:spacing w:after="0" w:line="249"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30, 2023 (File No. 001-35331).</w:t>
      </w:r>
    </w:p>
    <w:p>
      <w:pPr>
        <w:ind w:left="1420" w:right="220" w:hanging="1352"/>
        <w:spacing w:after="0" w:line="249"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Annual Report on Form 10-K for the year ended December 31, 2024 (File No. 001-35331).</w:t>
      </w:r>
    </w:p>
    <w:p>
      <w:pPr>
        <w:ind w:left="1420" w:right="220" w:hanging="1352"/>
        <w:spacing w:after="0" w:line="258"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Annual Report on Form 10-K for the year ended December 31, 2023 (File No. 001-35331).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60" w:firstLine="509"/>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By:/s/ Debra K. Osteen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16510</wp:posOffset>
            </wp:positionV>
            <wp:extent cx="3549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Debra K. Osteen</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23" w:lineRule="exact"/>
        <w:rPr>
          <w:sz w:val="20"/>
          <w:szCs w:val="20"/>
          <w:color w:val="auto"/>
        </w:rPr>
      </w:pPr>
    </w:p>
    <w:p>
      <w:pPr>
        <w:ind w:right="340" w:firstLine="509"/>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90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Debra K. Osteen</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Debra K. Osteen</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Young</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Todd Young</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Reeve B. Waud</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Reeve B. Waud</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R. Bernhard</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R. Bernhard</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 Perot Bissell</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Perot Bissell</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Fucci</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Fucci</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Vicky B. Gregg</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Vicky B. Gregg</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F. Grieco</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F. Grieco</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Patrice A. Harris</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Patrice A. Harris</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 David Kelly</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 David Kelly</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Wade D. Miquelon</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Wade D. Miquelon</w:t>
            </w:r>
          </w:p>
        </w:tc>
        <w:tc>
          <w:tcPr>
            <w:tcW w:w="49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27"/>
        </w:trPr>
        <w:tc>
          <w:tcPr>
            <w:tcW w:w="4060" w:type="dxa"/>
            <w:vAlign w:val="bottom"/>
          </w:tcPr>
          <w:p>
            <w:pPr>
              <w:spacing w:after="0"/>
              <w:rPr>
                <w:sz w:val="24"/>
                <w:szCs w:val="24"/>
                <w:color w:val="auto"/>
              </w:rPr>
            </w:pPr>
          </w:p>
        </w:tc>
        <w:tc>
          <w:tcPr>
            <w:tcW w:w="49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61</w:t>
            </w:r>
          </w:p>
        </w:tc>
        <w:tc>
          <w:tcPr>
            <w:tcW w:w="2280" w:type="dxa"/>
            <w:vAlign w:val="bottom"/>
          </w:tcPr>
          <w:p>
            <w:pPr>
              <w:spacing w:after="0"/>
              <w:rPr>
                <w:sz w:val="24"/>
                <w:szCs w:val="24"/>
                <w:color w:val="auto"/>
              </w:rPr>
            </w:pPr>
          </w:p>
        </w:tc>
      </w:tr>
      <w:tr>
        <w:trPr>
          <w:trHeight w:val="759"/>
        </w:trPr>
        <w:tc>
          <w:tcPr>
            <w:tcW w:w="40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8"/>
        </w:trPr>
        <w:tc>
          <w:tcPr>
            <w:tcW w:w="10560" w:type="dxa"/>
            <w:vAlign w:val="bottom"/>
            <w:gridSpan w:val="9"/>
            <w:vMerge w:val="continue"/>
          </w:tcPr>
          <w:p>
            <w:pPr>
              <w:spacing w:after="0"/>
              <w:rPr>
                <w:sz w:val="14"/>
                <w:szCs w:val="14"/>
                <w:color w:val="auto"/>
              </w:rPr>
            </w:pPr>
          </w:p>
        </w:tc>
        <w:tc>
          <w:tcPr>
            <w:tcW w:w="6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42)</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Consolidated Balance Sheets at December 31, 2025 and 2024</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Equity for the years ended December 31, 2025, 2024 and 2023</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6"/>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at December 31, 2025 based on the framework in Internal Control — Integrated Framework issued by the Committee of Sponsoring Organizations of the Treadway Commission (2013 framework) (COSO). Based on that evaluation, our management concluded that our internal control over financial reporting was effective at December 31, 2025.</w:t>
      </w:r>
    </w:p>
    <w:p>
      <w:pPr>
        <w:spacing w:after="0" w:line="7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Our accompanying consolidated financial statements have been audited by the independent registered public accounting firm of Ernst &amp; Young LLP. Reports of the independent registered public accounting firm, including the independent registered public accounting firm’s report on our internal control over financial reporting, are included in this report.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65" w:name="page66"/>
    <w:bookmarkEnd w:id="6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Acadia Healthcare Company, Inc.’s internal control over financial reporting as of December 31, 2025, based on criteria established in Internal Control—Integrated Framework issued by the Committee of Sponsoring Organizations of the Treadway Commission (2013 framework) (the COSO criteria). In our opinion, Acadia Healthcare Company, Inc. (the Company) maintained, in all material respects, effective internal control over financial reporting as of December 31, 2025, based on the COSO criteria.</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equity and cash flows for each of the three years in the period ended December 31, 2025, and the related notes and our report dated February 26, 2026 expressed an unqualified opinion thereon.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Acadia Healthcare Company,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Acadia Healthcare Company, Inc. (the Company) as of December 31, 2025 and 2024, the related consolidated statements of operations,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For the year ended December 31, 2025, the Company recognized $3.3 billion of revenue from continuing operations. As</w:t>
      </w:r>
    </w:p>
    <w:p>
      <w:pPr>
        <w:spacing w:after="0" w:line="29" w:lineRule="exact"/>
        <w:rPr>
          <w:sz w:val="20"/>
          <w:szCs w:val="20"/>
          <w:color w:val="auto"/>
        </w:rPr>
      </w:pPr>
    </w:p>
    <w:p>
      <w:pPr>
        <w:jc w:val="both"/>
        <w:ind w:left="1740" w:right="360" w:hanging="1739"/>
        <w:spacing w:after="0" w:line="251" w:lineRule="auto"/>
        <w:tabs>
          <w:tab w:leader="none" w:pos="17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discussed in Note 3 of the consolidated financial statements, the Company determines the transaction price for services to patients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primarily on historical collection experience.</w:t>
      </w:r>
    </w:p>
    <w:p>
      <w:pPr>
        <w:spacing w:after="0" w:line="187" w:lineRule="exact"/>
        <w:rPr>
          <w:sz w:val="20"/>
          <w:szCs w:val="20"/>
          <w:color w:val="auto"/>
        </w:rPr>
      </w:pPr>
    </w:p>
    <w:p>
      <w:pPr>
        <w:jc w:val="right"/>
        <w:ind w:right="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Auditing the Company’s revenue recognition and its estimates of contractual adjustments, discounts and implicit price</w:t>
      </w:r>
      <w:r>
        <w:rPr>
          <w:rFonts w:ascii="Times New Roman" w:cs="Times New Roman" w:eastAsia="Times New Roman" w:hAnsi="Times New Roman"/>
          <w:sz w:val="18"/>
          <w:szCs w:val="18"/>
          <w:i w:val="1"/>
          <w:iCs w:val="1"/>
          <w:color w:val="auto"/>
        </w:rPr>
        <w:t xml:space="preserve"> the Matter in Our Audit </w:t>
      </w:r>
      <w:r>
        <w:rPr>
          <w:rFonts w:ascii="Times New Roman" w:cs="Times New Roman" w:eastAsia="Times New Roman" w:hAnsi="Times New Roman"/>
          <w:sz w:val="18"/>
          <w:szCs w:val="18"/>
          <w:color w:val="auto"/>
        </w:rPr>
        <w:t>concessions was complex and judgmental due to the significant data inputs and subjective assumptions utilized in estimating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amounts. Various reimbursement programs under which these amounts must be estimated are complex and subject</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to interpretation and adjustment. Additionally, updated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7" w:name="page68"/>
    <w:bookmarkEnd w:id="67"/>
    <w:p>
      <w:pPr>
        <w:jc w:val="both"/>
        <w:ind w:left="1740" w:right="20"/>
        <w:spacing w:after="0" w:line="280" w:lineRule="auto"/>
        <w:rPr>
          <w:sz w:val="20"/>
          <w:szCs w:val="20"/>
          <w:color w:val="auto"/>
        </w:rPr>
      </w:pPr>
      <w:r>
        <w:rPr>
          <w:rFonts w:ascii="Times New Roman" w:cs="Times New Roman" w:eastAsia="Times New Roman" w:hAnsi="Times New Roman"/>
          <w:sz w:val="18"/>
          <w:szCs w:val="18"/>
          <w:color w:val="auto"/>
        </w:rPr>
        <w:t>regulations and contract renegotiations occur frequently, necessitating regular review and assessment of the estimation process by management.</w:t>
      </w:r>
    </w:p>
    <w:p>
      <w:pPr>
        <w:spacing w:after="0" w:line="162" w:lineRule="exact"/>
        <w:rPr>
          <w:sz w:val="20"/>
          <w:szCs w:val="20"/>
          <w:color w:val="auto"/>
        </w:rPr>
      </w:pPr>
    </w:p>
    <w:p>
      <w:pPr>
        <w:jc w:val="both"/>
        <w:ind w:left="1740" w:right="20"/>
        <w:spacing w:after="0" w:line="25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revenue recognition, including controls over key data inputs to the contractual adjustment, discount and implicit price concession estimates and management’s review and consideration of retrospective analyses of historical expected cash collections compared to subsequent actual collections.</w:t>
      </w:r>
    </w:p>
    <w:p>
      <w:pPr>
        <w:spacing w:after="0" w:line="181" w:lineRule="exact"/>
        <w:rPr>
          <w:sz w:val="20"/>
          <w:szCs w:val="20"/>
          <w:color w:val="auto"/>
        </w:rPr>
      </w:pPr>
    </w:p>
    <w:p>
      <w:pPr>
        <w:jc w:val="both"/>
        <w:ind w:left="1740" w:right="20"/>
        <w:spacing w:after="0" w:line="255" w:lineRule="auto"/>
        <w:rPr>
          <w:sz w:val="20"/>
          <w:szCs w:val="20"/>
          <w:color w:val="auto"/>
        </w:rPr>
      </w:pPr>
      <w:r>
        <w:rPr>
          <w:rFonts w:ascii="Times New Roman" w:cs="Times New Roman" w:eastAsia="Times New Roman" w:hAnsi="Times New Roman"/>
          <w:sz w:val="18"/>
          <w:szCs w:val="18"/>
          <w:color w:val="auto"/>
        </w:rPr>
        <w:t>To test the revenue recognized, we performed audit procedures that included, among others, testing the validity of a sample of revenue transactions and the completeness and accuracy of data inputs to the estimates of contractual adjustments, discounts and implicit price concessions, including payor contractual terms and historical collection experience. We assessed the historical accuracy of management’s estimates based on subsequent collection experience and used the assessment as a source of potential corroborative or contrary evidence supporting management’s assumptions of future collections of existing accounts receivable.</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22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2025, the Company’s goodwill was $1.3 billion. As discussed in Note 5 to the consolidated financial</w:t>
      </w:r>
    </w:p>
    <w:p>
      <w:pPr>
        <w:spacing w:after="0" w:line="29" w:lineRule="exact"/>
        <w:rPr>
          <w:sz w:val="20"/>
          <w:szCs w:val="20"/>
          <w:color w:val="auto"/>
        </w:rPr>
      </w:pPr>
    </w:p>
    <w:p>
      <w:pPr>
        <w:jc w:val="both"/>
        <w:ind w:left="1740" w:right="20" w:hanging="1739"/>
        <w:spacing w:after="0" w:line="253" w:lineRule="auto"/>
        <w:tabs>
          <w:tab w:leader="none" w:pos="17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statements, goodwill is evaluated by the Company for impairment annually during the fourth quarter or more frequently if events indicate the carrying value of the reporting unit may not be recoverable. During 2025, the Company recorded a $996.2 million non-cash impairment charge to goodwill.</w:t>
      </w:r>
    </w:p>
    <w:p>
      <w:pPr>
        <w:spacing w:after="0" w:line="185" w:lineRule="exact"/>
        <w:rPr>
          <w:sz w:val="20"/>
          <w:szCs w:val="20"/>
          <w:color w:val="auto"/>
        </w:rPr>
      </w:pPr>
    </w:p>
    <w:p>
      <w:pPr>
        <w:jc w:val="right"/>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Auditing the Company’s impairment tests for goodwill was complex and involved auditor judgment and the involvement of a</w:t>
      </w:r>
      <w:r>
        <w:rPr>
          <w:rFonts w:ascii="Times New Roman" w:cs="Times New Roman" w:eastAsia="Times New Roman" w:hAnsi="Times New Roman"/>
          <w:sz w:val="18"/>
          <w:szCs w:val="18"/>
          <w:i w:val="1"/>
          <w:iCs w:val="1"/>
          <w:color w:val="auto"/>
        </w:rPr>
        <w:t xml:space="preserve"> the Matter in Our Audit </w:t>
      </w:r>
      <w:r>
        <w:rPr>
          <w:rFonts w:ascii="Times New Roman" w:cs="Times New Roman" w:eastAsia="Times New Roman" w:hAnsi="Times New Roman"/>
          <w:sz w:val="18"/>
          <w:szCs w:val="18"/>
          <w:color w:val="auto"/>
        </w:rPr>
        <w:t>valuation specialist due to the significant estimation required to determine the fair value of the reporting unit. In particular,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estimation uncertainty was due to the sensitivity of the fair values to the underlying assumptions. Significant assumptions used in the Company’s fair value estimate include growth rates and discount rates. These assumptions are sensitive to and affected by expected future market or economic conditions, and industry and company-specific qualitative</w:t>
      </w:r>
    </w:p>
    <w:p>
      <w:pPr>
        <w:ind w:left="1740"/>
        <w:spacing w:after="0"/>
        <w:rPr>
          <w:sz w:val="20"/>
          <w:szCs w:val="20"/>
          <w:color w:val="auto"/>
        </w:rPr>
      </w:pPr>
      <w:r>
        <w:rPr>
          <w:rFonts w:ascii="Times New Roman" w:cs="Times New Roman" w:eastAsia="Times New Roman" w:hAnsi="Times New Roman"/>
          <w:sz w:val="18"/>
          <w:szCs w:val="18"/>
          <w:color w:val="auto"/>
        </w:rPr>
        <w:t>factors.</w:t>
      </w:r>
    </w:p>
    <w:p>
      <w:pPr>
        <w:spacing w:after="0" w:line="8" w:lineRule="exact"/>
        <w:rPr>
          <w:sz w:val="20"/>
          <w:szCs w:val="20"/>
          <w:color w:val="auto"/>
        </w:rPr>
      </w:pPr>
    </w:p>
    <w:p>
      <w:pPr>
        <w:jc w:val="both"/>
        <w:ind w:left="1740"/>
        <w:spacing w:after="0" w:line="25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including controls over management’s review of the significant assumptions described above. This included evaluating controls over the Company’s forecasting process used to develop the estimated future cash flows. We also tested controls over management’s review of the data used in their valuation models and review of the significant assumptions such as estimation of growth rates and discount rates.</w:t>
      </w:r>
    </w:p>
    <w:p>
      <w:pPr>
        <w:spacing w:after="0" w:line="189" w:lineRule="exact"/>
        <w:rPr>
          <w:sz w:val="20"/>
          <w:szCs w:val="20"/>
          <w:color w:val="auto"/>
        </w:rPr>
      </w:pPr>
    </w:p>
    <w:p>
      <w:pPr>
        <w:jc w:val="both"/>
        <w:ind w:left="1740"/>
        <w:spacing w:after="0" w:line="253" w:lineRule="auto"/>
        <w:rPr>
          <w:sz w:val="20"/>
          <w:szCs w:val="20"/>
          <w:color w:val="auto"/>
        </w:rPr>
      </w:pPr>
      <w:r>
        <w:rPr>
          <w:rFonts w:ascii="Times New Roman" w:cs="Times New Roman" w:eastAsia="Times New Roman" w:hAnsi="Times New Roman"/>
          <w:sz w:val="18"/>
          <w:szCs w:val="18"/>
          <w:color w:val="auto"/>
        </w:rPr>
        <w:t>To test the estimated fair value of the Company’s reporting unit, we performed audit procedures that included, among others, evaluating the Company’s valuation methodologies, testing the significant assumptions discussed above and testing the underlying data used by the Company in its analysis. We compared the projected cash flows to the Company’s historical cash flows and other available industry and market forecast information. We involved our valuation specialists to assist in reviewing the valuation methodology and testing certain significant assumptions. We assessed the historical accuracy of management’s estimates and performed sensitivity analyses of significant assumptions to evaluate the changes in the fair value of the reporting unit that would result from changes in the assumptions. In addition, we also tested management’s reconciliation of the fair value of their reporting unit to the market capitalization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320" w:top="981" w:right="6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73"/>
              </w:rPr>
              <w:t>except</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right"/>
              <w:ind w:right="33"/>
              <w:spacing w:after="0" w:line="117"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gridSpan w:val="2"/>
            <w:vMerge w:val="continue"/>
          </w:tcPr>
          <w:p>
            <w:pPr>
              <w:spacing w:after="0"/>
              <w:rPr>
                <w:sz w:val="10"/>
                <w:szCs w:val="10"/>
                <w:color w:val="auto"/>
              </w:rPr>
            </w:pPr>
          </w:p>
        </w:tc>
        <w:tc>
          <w:tcPr>
            <w:tcW w:w="1560" w:type="dxa"/>
            <w:vAlign w:val="bottom"/>
            <w:gridSpan w:val="2"/>
          </w:tcPr>
          <w:p>
            <w:pPr>
              <w:jc w:val="right"/>
              <w:ind w:right="551"/>
              <w:spacing w:after="0" w:line="117" w:lineRule="exact"/>
              <w:rPr>
                <w:sz w:val="20"/>
                <w:szCs w:val="20"/>
                <w:color w:val="auto"/>
              </w:rPr>
            </w:pPr>
            <w:r>
              <w:rPr>
                <w:rFonts w:ascii="Times New Roman" w:cs="Times New Roman" w:eastAsia="Times New Roman" w:hAnsi="Times New Roman"/>
                <w:sz w:val="13"/>
                <w:szCs w:val="13"/>
                <w:b w:val="1"/>
                <w:bCs w:val="1"/>
                <w:color w:val="auto"/>
              </w:rPr>
              <w:t>share and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3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133,242</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3,111,212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5,527,448</w:t>
            </w:r>
          </w:p>
        </w:tc>
        <w:tc>
          <w:tcPr>
            <w:tcW w:w="1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5,956,915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60" w:type="dxa"/>
            <w:vAlign w:val="bottom"/>
            <w:tcBorders>
              <w:top w:val="single" w:sz="8" w:color="CFF0FC"/>
            </w:tcBorders>
          </w:tcPr>
          <w:p>
            <w:pPr>
              <w:ind w:left="258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28,438</w:t>
            </w:r>
          </w:p>
        </w:tc>
        <w:tc>
          <w:tcPr>
            <w:tcW w:w="160" w:type="dxa"/>
            <w:vAlign w:val="bottom"/>
          </w:tcPr>
          <w:p>
            <w:pPr>
              <w:spacing w:after="0"/>
              <w:rPr>
                <w:sz w:val="18"/>
                <w:szCs w:val="18"/>
                <w:color w:val="auto"/>
              </w:rPr>
            </w:pPr>
          </w:p>
        </w:tc>
        <w:tc>
          <w:tcPr>
            <w:tcW w:w="5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FF0FC"/>
          </w:tcPr>
          <w:p>
            <w:pPr>
              <w:ind w:left="120"/>
              <w:spacing w:after="0" w:line="197" w:lineRule="exact"/>
              <w:rPr>
                <w:sz w:val="20"/>
                <w:szCs w:val="20"/>
                <w:color w:val="auto"/>
              </w:rPr>
            </w:pPr>
            <w:r>
              <w:rPr>
                <w:rFonts w:ascii="Times New Roman" w:cs="Times New Roman" w:eastAsia="Times New Roman" w:hAnsi="Times New Roman"/>
                <w:sz w:val="18"/>
                <w:szCs w:val="18"/>
                <w:color w:val="auto"/>
              </w:rPr>
              <w:t>Preferred stock, $0.01 par value; 10,000,000 shares authorized,</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 shares issued</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Common stock, $0.01 par value; 180,000,000 shares authorized;</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90,452,843 and 91,775,264 issued and outstanding as of</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2,713,896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360" w:type="dxa"/>
            <w:vAlign w:val="bottom"/>
          </w:tcPr>
          <w:p>
            <w:pPr>
              <w:spacing w:after="0"/>
              <w:rPr>
                <w:sz w:val="18"/>
                <w:szCs w:val="18"/>
                <w:color w:val="auto"/>
              </w:rPr>
            </w:pP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(765,841)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5,527,448</w:t>
            </w:r>
          </w:p>
        </w:tc>
        <w:tc>
          <w:tcPr>
            <w:tcW w:w="160" w:type="dxa"/>
            <w:vAlign w:val="bottom"/>
          </w:tcPr>
          <w:p>
            <w:pPr>
              <w:spacing w:after="0"/>
              <w:rPr>
                <w:sz w:val="18"/>
                <w:szCs w:val="18"/>
                <w:color w:val="auto"/>
              </w:rPr>
            </w:pPr>
          </w:p>
        </w:tc>
        <w:tc>
          <w:tcPr>
            <w:tcW w:w="58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-4470400</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-4470400</wp:posOffset>
            </wp:positionV>
            <wp:extent cx="6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-3361055</wp:posOffset>
            </wp:positionV>
            <wp:extent cx="679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-3343910</wp:posOffset>
            </wp:positionV>
            <wp:extent cx="679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-3361055</wp:posOffset>
            </wp:positionV>
            <wp:extent cx="67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-3343910</wp:posOffset>
            </wp:positionV>
            <wp:extent cx="67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-1688465</wp:posOffset>
            </wp:positionV>
            <wp:extent cx="679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-1688465</wp:posOffset>
            </wp:positionV>
            <wp:extent cx="67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-170180</wp:posOffset>
            </wp:positionV>
            <wp:extent cx="67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-170180</wp:posOffset>
            </wp:positionV>
            <wp:extent cx="67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1"/>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4"/>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4"/>
              </w:rPr>
              <w:t>thousands, except per share</w:t>
            </w:r>
          </w:p>
        </w:tc>
        <w:tc>
          <w:tcPr>
            <w:tcW w:w="6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amounts)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3,312,769</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3,153,963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Salaries, wages and benefits (including equity-based compensation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of $31,708, $37,113, and $32,289, respectively)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1,820,703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1,691,024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189,706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Rents and leases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440,788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provider relief fund</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116,368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settlements expense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150,966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property</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legal and other costs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4,378,710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2,812,084</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2,954,098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(1,065,941)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341,879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77,395</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(1,091,923)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(8,872)</w:t>
            </w: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Acadia Healthcare Company, Inc.</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(1,102,772)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255,612</w:t>
            </w:r>
          </w:p>
        </w:tc>
        <w:tc>
          <w:tcPr>
            <w:tcW w:w="260" w:type="dxa"/>
            <w:vAlign w:val="bottom"/>
          </w:tcPr>
          <w:p>
            <w:pPr>
              <w:spacing w:after="0"/>
              <w:rPr>
                <w:sz w:val="18"/>
                <w:szCs w:val="18"/>
                <w:color w:val="auto"/>
              </w:rPr>
            </w:pPr>
          </w:p>
        </w:tc>
        <w:tc>
          <w:tcPr>
            <w:tcW w:w="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6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(Loss) earnings per share attributable to Acadia Healthcare</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Company, Inc. stockholders: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8"/>
                <w:szCs w:val="18"/>
                <w:color w:val="auto"/>
              </w:rPr>
            </w:pPr>
          </w:p>
        </w:tc>
        <w:tc>
          <w:tcPr>
            <w:tcW w:w="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20" w:type="dxa"/>
            <w:vAlign w:val="bottom"/>
            <w:shd w:val="clear" w:color="auto" w:fill="CFF0FC"/>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(12.16)</w:t>
            </w:r>
          </w:p>
        </w:tc>
        <w:tc>
          <w:tcPr>
            <w:tcW w:w="480" w:type="dxa"/>
            <w:vAlign w:val="bottom"/>
            <w:gridSpan w:val="2"/>
            <w:shd w:val="clear" w:color="auto" w:fill="CFF0FC"/>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2.78</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center"/>
              <w:ind w:right="2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20" w:type="dxa"/>
            <w:vAlign w:val="bottom"/>
            <w:tcBorders>
              <w:top w:val="single" w:sz="8" w:color="CFF0FC"/>
            </w:tcBorders>
          </w:tcPr>
          <w:p>
            <w:pPr>
              <w:spacing w:after="0" w:line="195"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-1751965</wp:posOffset>
            </wp:positionV>
            <wp:extent cx="679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-1751965</wp:posOffset>
            </wp:positionV>
            <wp:extent cx="67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-1751965</wp:posOffset>
            </wp:positionV>
            <wp:extent cx="67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-1470025</wp:posOffset>
            </wp:positionV>
            <wp:extent cx="67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-1470025</wp:posOffset>
            </wp:positionV>
            <wp:extent cx="679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-1470025</wp:posOffset>
            </wp:positionV>
            <wp:extent cx="67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-1188720</wp:posOffset>
            </wp:positionV>
            <wp:extent cx="679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-1188720</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-1188720</wp:posOffset>
            </wp:positionV>
            <wp:extent cx="67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-446405</wp:posOffset>
            </wp:positionV>
            <wp:extent cx="679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-429260</wp:posOffset>
            </wp:positionV>
            <wp:extent cx="679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-446405</wp:posOffset>
            </wp:positionV>
            <wp:extent cx="679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-429260</wp:posOffset>
            </wp:positionV>
            <wp:extent cx="67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-446405</wp:posOffset>
            </wp:positionV>
            <wp:extent cx="67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-429260</wp:posOffset>
            </wp:positionV>
            <wp:extent cx="679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40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160" w:type="dxa"/>
            <w:vAlign w:val="bottom"/>
            <w:gridSpan w:val="4"/>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in Capital</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right"/>
              <w:ind w:right="40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89,914</w:t>
            </w: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4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2,658,440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153,388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2,812,727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issued under stock incentive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Repurchase of shares for payroll tax withholdings,</w:t>
            </w: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of proceeds from stock option exercises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(52,532)</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attributable to Acadia Healthcare</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(21,667)</w:t>
            </w:r>
          </w:p>
        </w:tc>
        <w:tc>
          <w:tcPr>
            <w:tcW w:w="200" w:type="dxa"/>
            <w:vAlign w:val="bottom"/>
          </w:tcPr>
          <w:p>
            <w:pPr>
              <w:spacing w:after="0"/>
              <w:rPr>
                <w:sz w:val="16"/>
                <w:szCs w:val="16"/>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(21,667)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jc w:val="right"/>
              <w:ind w:right="2779"/>
              <w:spacing w:after="0"/>
              <w:rPr>
                <w:sz w:val="20"/>
                <w:szCs w:val="20"/>
                <w:color w:val="auto"/>
              </w:rPr>
            </w:pPr>
            <w:r>
              <w:rPr>
                <w:rFonts w:ascii="Times New Roman" w:cs="Times New Roman" w:eastAsia="Times New Roman" w:hAnsi="Times New Roman"/>
                <w:sz w:val="16"/>
                <w:szCs w:val="16"/>
                <w:color w:val="auto"/>
              </w:rPr>
              <w:t>Company, Inc. stockholders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FF0FC"/>
          </w:tcPr>
          <w:p>
            <w:pPr>
              <w:jc w:val="right"/>
              <w:ind w:right="2759"/>
              <w:spacing w:after="0"/>
              <w:rPr>
                <w:sz w:val="20"/>
                <w:szCs w:val="20"/>
                <w:color w:val="auto"/>
              </w:rPr>
            </w:pPr>
            <w:r>
              <w:rPr>
                <w:rFonts w:ascii="Times New Roman" w:cs="Times New Roman" w:eastAsia="Times New Roman" w:hAnsi="Times New Roman"/>
                <w:sz w:val="16"/>
                <w:szCs w:val="16"/>
                <w:color w:val="auto"/>
                <w:w w:val="99"/>
              </w:rPr>
              <w:t>Balance at December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91,264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2,649,340</w:t>
            </w: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131,721</w:t>
            </w: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2,781,974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issued under stock incentive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Repurchase of shares for payroll tax withholdings,</w:t>
            </w: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of proceeds from stock option exercises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(8,551)</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 attributable to Acadia Healthcare</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255,612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255,612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jc w:val="right"/>
              <w:ind w:right="2779"/>
              <w:spacing w:after="0"/>
              <w:rPr>
                <w:sz w:val="20"/>
                <w:szCs w:val="20"/>
                <w:color w:val="auto"/>
              </w:rPr>
            </w:pPr>
            <w:r>
              <w:rPr>
                <w:rFonts w:ascii="Times New Roman" w:cs="Times New Roman" w:eastAsia="Times New Roman" w:hAnsi="Times New Roman"/>
                <w:sz w:val="16"/>
                <w:szCs w:val="16"/>
                <w:color w:val="auto"/>
              </w:rPr>
              <w:t>Company, Inc. stockholders</w:t>
            </w: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FF0FC"/>
          </w:tcPr>
          <w:p>
            <w:pPr>
              <w:jc w:val="right"/>
              <w:ind w:right="2759"/>
              <w:spacing w:after="0"/>
              <w:rPr>
                <w:sz w:val="20"/>
                <w:szCs w:val="20"/>
                <w:color w:val="auto"/>
              </w:rPr>
            </w:pPr>
            <w:r>
              <w:rPr>
                <w:rFonts w:ascii="Times New Roman" w:cs="Times New Roman" w:eastAsia="Times New Roman" w:hAnsi="Times New Roman"/>
                <w:sz w:val="16"/>
                <w:szCs w:val="16"/>
                <w:color w:val="auto"/>
                <w:w w:val="99"/>
              </w:rPr>
              <w:t>Balance at December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91,775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2,685,464</w:t>
            </w: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387,333</w:t>
            </w: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3,073,715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issued under stock incentive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Repurchase of shares for payroll tax withholding, net of</w:t>
            </w: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Repurchase of common stock, including excise tax</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(50,402)</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 attributable to Acadia Healthcare</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(1,102,772)</w:t>
            </w:r>
          </w:p>
        </w:tc>
        <w:tc>
          <w:tcPr>
            <w:tcW w:w="200" w:type="dxa"/>
            <w:vAlign w:val="bottom"/>
            <w:shd w:val="clear" w:color="auto" w:fill="CFF0FC"/>
          </w:tcPr>
          <w:p>
            <w:pPr>
              <w:spacing w:after="0"/>
              <w:rPr>
                <w:sz w:val="16"/>
                <w:szCs w:val="16"/>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(1,102,772)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FF0FC"/>
          </w:tcPr>
          <w:p>
            <w:pPr>
              <w:jc w:val="right"/>
              <w:ind w:right="2779"/>
              <w:spacing w:after="0"/>
              <w:rPr>
                <w:sz w:val="20"/>
                <w:szCs w:val="20"/>
                <w:color w:val="auto"/>
              </w:rPr>
            </w:pPr>
            <w:r>
              <w:rPr>
                <w:rFonts w:ascii="Times New Roman" w:cs="Times New Roman" w:eastAsia="Times New Roman" w:hAnsi="Times New Roman"/>
                <w:sz w:val="16"/>
                <w:szCs w:val="16"/>
                <w:color w:val="auto"/>
              </w:rPr>
              <w:t>Company, Inc. stockholders</w:t>
            </w:r>
          </w:p>
        </w:tc>
        <w:tc>
          <w:tcPr>
            <w:tcW w:w="1120" w:type="dxa"/>
            <w:vAlign w:val="bottom"/>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20" w:type="dxa"/>
            <w:vAlign w:val="bottom"/>
          </w:tcPr>
          <w:p>
            <w:pPr>
              <w:jc w:val="right"/>
              <w:ind w:right="2759"/>
              <w:spacing w:after="0"/>
              <w:rPr>
                <w:sz w:val="20"/>
                <w:szCs w:val="20"/>
                <w:color w:val="auto"/>
              </w:rPr>
            </w:pPr>
            <w:r>
              <w:rPr>
                <w:rFonts w:ascii="Times New Roman" w:cs="Times New Roman" w:eastAsia="Times New Roman" w:hAnsi="Times New Roman"/>
                <w:sz w:val="16"/>
                <w:szCs w:val="16"/>
                <w:color w:val="auto"/>
                <w:w w:val="99"/>
              </w:rPr>
              <w:t>Balance at December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2,713,896</w:t>
            </w:r>
          </w:p>
        </w:tc>
        <w:tc>
          <w:tcPr>
            <w:tcW w:w="2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(765,841)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1,948,960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-161290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4629150</wp:posOffset>
            </wp:positionH>
            <wp:positionV relativeFrom="paragraph">
              <wp:posOffset>-161290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-161290</wp:posOffset>
            </wp:positionV>
            <wp:extent cx="67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-161290</wp:posOffset>
            </wp:positionV>
            <wp:extent cx="679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-161290</wp:posOffset>
            </wp:positionV>
            <wp:extent cx="679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93"/>
              <w:spacing w:after="0" w:line="128"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3"/>
              <w:spacing w:after="0" w:line="128"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93"/>
              <w:spacing w:after="0" w:line="128"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253"/>
              <w:spacing w:after="0" w:line="12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Net (loss) income</w:t>
            </w:r>
          </w:p>
        </w:tc>
        <w:tc>
          <w:tcPr>
            <w:tcW w:w="320" w:type="dxa"/>
            <w:vAlign w:val="bottom"/>
          </w:tcPr>
          <w:p>
            <w:pPr>
              <w:jc w:val="right"/>
              <w:ind w:right="17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(1,091,923)</w:t>
            </w:r>
          </w:p>
        </w:tc>
        <w:tc>
          <w:tcPr>
            <w:tcW w:w="3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264,484</w:t>
            </w:r>
          </w:p>
        </w:tc>
        <w:tc>
          <w:tcPr>
            <w:tcW w:w="240" w:type="dxa"/>
            <w:vAlign w:val="bottom"/>
          </w:tcPr>
          <w:p>
            <w:pPr>
              <w:spacing w:after="0"/>
              <w:rPr>
                <w:sz w:val="12"/>
                <w:szCs w:val="12"/>
                <w:color w:val="auto"/>
              </w:rPr>
            </w:pPr>
          </w:p>
        </w:tc>
        <w:tc>
          <w:tcPr>
            <w:tcW w:w="300" w:type="dxa"/>
            <w:vAlign w:val="bottom"/>
          </w:tcPr>
          <w:p>
            <w:pPr>
              <w:jc w:val="right"/>
              <w:ind w:right="15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(15,661)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Adjustments to reconcile net (loss) income to net cash provided by operating activities: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189,249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149,595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132,349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Amortization of debt issuance costs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4,864</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4,088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3,322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Equity-based compensation expense</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31,708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37,113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32,289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1,094</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67,708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(93,984)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Debt extinguishment costs</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Non-cash legal settlements expense</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3,504</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394,181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Loss on impairment</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1,007,892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17,276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9,790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Gain on sale of property</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(8,715)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(9,747)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1,623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(4,686)</w:t>
            </w: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Change in operating assets and liabilities, net of effect of acquisitions: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20"/>
              <w:spacing w:after="0" w:line="148" w:lineRule="exact"/>
              <w:rPr>
                <w:sz w:val="20"/>
                <w:szCs w:val="20"/>
                <w:color w:val="auto"/>
              </w:rPr>
            </w:pPr>
            <w:r>
              <w:rPr>
                <w:rFonts w:ascii="Times New Roman" w:cs="Times New Roman" w:eastAsia="Times New Roman" w:hAnsi="Times New Roman"/>
                <w:sz w:val="13"/>
                <w:szCs w:val="13"/>
                <w:color w:val="auto"/>
              </w:rPr>
              <w:t>Accounts receivable, net</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(75,024)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(2,329)</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(39,012)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220"/>
              <w:spacing w:after="0" w:line="148" w:lineRule="exact"/>
              <w:rPr>
                <w:sz w:val="20"/>
                <w:szCs w:val="20"/>
                <w:color w:val="auto"/>
              </w:rPr>
            </w:pPr>
            <w:r>
              <w:rPr>
                <w:rFonts w:ascii="Times New Roman" w:cs="Times New Roman" w:eastAsia="Times New Roman" w:hAnsi="Times New Roman"/>
                <w:sz w:val="13"/>
                <w:szCs w:val="13"/>
                <w:color w:val="auto"/>
              </w:rPr>
              <w:t>Other current assets</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(47,209)</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(7,462)</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8,880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20"/>
              <w:spacing w:after="0" w:line="148" w:lineRule="exact"/>
              <w:rPr>
                <w:sz w:val="20"/>
                <w:szCs w:val="20"/>
                <w:color w:val="auto"/>
              </w:rPr>
            </w:pPr>
            <w:r>
              <w:rPr>
                <w:rFonts w:ascii="Times New Roman" w:cs="Times New Roman" w:eastAsia="Times New Roman" w:hAnsi="Times New Roman"/>
                <w:sz w:val="13"/>
                <w:szCs w:val="13"/>
                <w:color w:val="auto"/>
              </w:rPr>
              <w:t>Other assets</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(11,291)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521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220"/>
              <w:spacing w:after="0" w:line="148" w:lineRule="exact"/>
              <w:rPr>
                <w:sz w:val="20"/>
                <w:szCs w:val="20"/>
                <w:color w:val="auto"/>
              </w:rPr>
            </w:pPr>
            <w:r>
              <w:rPr>
                <w:rFonts w:ascii="Times New Roman" w:cs="Times New Roman" w:eastAsia="Times New Roman" w:hAnsi="Times New Roman"/>
                <w:sz w:val="13"/>
                <w:szCs w:val="13"/>
                <w:color w:val="auto"/>
              </w:rPr>
              <w:t>Accounts payable and other accrued liabilities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14,882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(420,893)</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17,404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20"/>
              <w:spacing w:after="0" w:line="148" w:lineRule="exact"/>
              <w:rPr>
                <w:sz w:val="20"/>
                <w:szCs w:val="20"/>
                <w:color w:val="auto"/>
              </w:rPr>
            </w:pPr>
            <w:r>
              <w:rPr>
                <w:rFonts w:ascii="Times New Roman" w:cs="Times New Roman" w:eastAsia="Times New Roman" w:hAnsi="Times New Roman"/>
                <w:sz w:val="13"/>
                <w:szCs w:val="13"/>
                <w:color w:val="auto"/>
              </w:rPr>
              <w:t>Accrued salaries and benefits</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26,678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12,115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16,532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ind w:left="220"/>
              <w:spacing w:after="0" w:line="148" w:lineRule="exact"/>
              <w:rPr>
                <w:sz w:val="20"/>
                <w:szCs w:val="20"/>
                <w:color w:val="auto"/>
              </w:rPr>
            </w:pPr>
            <w:r>
              <w:rPr>
                <w:rFonts w:ascii="Times New Roman" w:cs="Times New Roman" w:eastAsia="Times New Roman" w:hAnsi="Times New Roman"/>
                <w:sz w:val="13"/>
                <w:szCs w:val="13"/>
                <w:color w:val="auto"/>
              </w:rPr>
              <w:t>Other liabilities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83,297</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12,163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10,815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ind w:left="220"/>
              <w:spacing w:after="0" w:line="148" w:lineRule="exact"/>
              <w:rPr>
                <w:sz w:val="20"/>
                <w:szCs w:val="20"/>
                <w:color w:val="auto"/>
              </w:rPr>
            </w:pPr>
            <w:r>
              <w:rPr>
                <w:rFonts w:ascii="Times New Roman" w:cs="Times New Roman" w:eastAsia="Times New Roman" w:hAnsi="Times New Roman"/>
                <w:sz w:val="13"/>
                <w:szCs w:val="13"/>
                <w:color w:val="auto"/>
              </w:rPr>
              <w:t>Government relief funds</w:t>
            </w:r>
          </w:p>
        </w:tc>
        <w:tc>
          <w:tcPr>
            <w:tcW w:w="320" w:type="dxa"/>
            <w:vAlign w:val="bottom"/>
          </w:tcPr>
          <w:p>
            <w:pPr>
              <w:spacing w:after="0"/>
              <w:rPr>
                <w:sz w:val="12"/>
                <w:szCs w:val="12"/>
                <w:color w:val="auto"/>
              </w:rPr>
            </w:pPr>
          </w:p>
        </w:tc>
        <w:tc>
          <w:tcPr>
            <w:tcW w:w="118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(8,975)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54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131,898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129,693</w:t>
            </w:r>
          </w:p>
        </w:tc>
        <w:tc>
          <w:tcPr>
            <w:tcW w:w="2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462,340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(8,165)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(53,550)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Cash paid for capital expenditures</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(571,807)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(690,385)</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(424,133)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23,848</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10,435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29,422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(2,979)</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(2,159)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654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(556,214)</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(736,479)</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1" w:lineRule="exact"/>
              <w:rPr>
                <w:sz w:val="20"/>
                <w:szCs w:val="20"/>
                <w:color w:val="auto"/>
              </w:rPr>
            </w:pPr>
            <w:r>
              <w:rPr>
                <w:rFonts w:ascii="Times New Roman" w:cs="Times New Roman" w:eastAsia="Times New Roman" w:hAnsi="Times New Roman"/>
                <w:sz w:val="13"/>
                <w:szCs w:val="13"/>
                <w:color w:val="auto"/>
              </w:rPr>
              <w:t>(397,219)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Borrowings on long-term debt</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1,200,000</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350,000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Borrowings on revolving credit facility</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1,069,000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305,000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Principal payments on revolving credit facility</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(1,035,000)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(15,000)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(35,000)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Principal payments on long-term debt</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(12,188)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(56,331)</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(21,250)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Repayment of long-term debt</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(670,856)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(18,615)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(1,518)</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Repurchase of shares for payroll tax withholdings, net of proceeds from stock option exercises</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(4,226)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(1,341)</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(44,335)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Repurchase of common stock</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(50,034)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Contributions from noncontrolling partners in joint ventures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8,639</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5,180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2,958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Distributions to noncontrolling partners in joint ventures</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(3,877)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(2,972)</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(5,107)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Cash paid for contingent consideration</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(1,500)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Other</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654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481,253</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583,018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1" w:lineRule="exact"/>
              <w:rPr>
                <w:sz w:val="20"/>
                <w:szCs w:val="20"/>
                <w:color w:val="auto"/>
              </w:rPr>
            </w:pPr>
            <w:r>
              <w:rPr>
                <w:rFonts w:ascii="Times New Roman" w:cs="Times New Roman" w:eastAsia="Times New Roman" w:hAnsi="Times New Roman"/>
                <w:sz w:val="13"/>
                <w:szCs w:val="13"/>
                <w:color w:val="auto"/>
              </w:rPr>
              <w:t>(62,697)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32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56,937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(23,768)</w:t>
            </w:r>
          </w:p>
        </w:tc>
        <w:tc>
          <w:tcPr>
            <w:tcW w:w="30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Borders>
              <w:bottom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Cash and cash equivalents at beginning of the period</w:t>
            </w:r>
          </w:p>
        </w:tc>
        <w:tc>
          <w:tcPr>
            <w:tcW w:w="3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76,305</w:t>
            </w: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100,073</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97,649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5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Cash and cash equivalents at end of the period</w:t>
            </w:r>
          </w:p>
        </w:tc>
        <w:tc>
          <w:tcPr>
            <w:tcW w:w="320" w:type="dxa"/>
            <w:vAlign w:val="bottom"/>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133,242</w:t>
            </w:r>
          </w:p>
        </w:tc>
        <w:tc>
          <w:tcPr>
            <w:tcW w:w="140" w:type="dxa"/>
            <w:vAlign w:val="bottom"/>
          </w:tcPr>
          <w:p>
            <w:pPr>
              <w:spacing w:after="0"/>
              <w:rPr>
                <w:sz w:val="12"/>
                <w:szCs w:val="12"/>
                <w:color w:val="auto"/>
              </w:rPr>
            </w:pPr>
          </w:p>
        </w:tc>
        <w:tc>
          <w:tcPr>
            <w:tcW w:w="3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76,305</w:t>
            </w:r>
          </w:p>
        </w:tc>
        <w:tc>
          <w:tcPr>
            <w:tcW w:w="240" w:type="dxa"/>
            <w:vAlign w:val="bottom"/>
          </w:tcPr>
          <w:p>
            <w:pPr>
              <w:spacing w:after="0"/>
              <w:rPr>
                <w:sz w:val="12"/>
                <w:szCs w:val="12"/>
                <w:color w:val="auto"/>
              </w:rPr>
            </w:pPr>
          </w:p>
        </w:tc>
        <w:tc>
          <w:tcPr>
            <w:tcW w:w="300" w:type="dxa"/>
            <w:vAlign w:val="bottom"/>
          </w:tcPr>
          <w:p>
            <w:pPr>
              <w:jc w:val="right"/>
              <w:ind w:right="153"/>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100,073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5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Cash paid for interest</w:t>
            </w:r>
          </w:p>
        </w:tc>
        <w:tc>
          <w:tcPr>
            <w:tcW w:w="320" w:type="dxa"/>
            <w:vAlign w:val="bottom"/>
          </w:tcPr>
          <w:p>
            <w:pPr>
              <w:jc w:val="right"/>
              <w:ind w:right="17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124,663</w:t>
            </w:r>
          </w:p>
        </w:tc>
        <w:tc>
          <w:tcPr>
            <w:tcW w:w="140" w:type="dxa"/>
            <w:vAlign w:val="bottom"/>
          </w:tcPr>
          <w:p>
            <w:pPr>
              <w:spacing w:after="0"/>
              <w:rPr>
                <w:sz w:val="12"/>
                <w:szCs w:val="12"/>
                <w:color w:val="auto"/>
              </w:rPr>
            </w:pPr>
          </w:p>
        </w:tc>
        <w:tc>
          <w:tcPr>
            <w:tcW w:w="3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113,401</w:t>
            </w:r>
          </w:p>
        </w:tc>
        <w:tc>
          <w:tcPr>
            <w:tcW w:w="240" w:type="dxa"/>
            <w:vAlign w:val="bottom"/>
          </w:tcPr>
          <w:p>
            <w:pPr>
              <w:spacing w:after="0"/>
              <w:rPr>
                <w:sz w:val="12"/>
                <w:szCs w:val="12"/>
                <w:color w:val="auto"/>
              </w:rPr>
            </w:pPr>
          </w:p>
        </w:tc>
        <w:tc>
          <w:tcPr>
            <w:tcW w:w="300" w:type="dxa"/>
            <w:vAlign w:val="bottom"/>
          </w:tcPr>
          <w:p>
            <w:pPr>
              <w:jc w:val="right"/>
              <w:ind w:right="15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80,745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54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3"/>
                <w:szCs w:val="13"/>
                <w:color w:val="auto"/>
              </w:rPr>
              <w:t>Cash paid for income taxes</w:t>
            </w:r>
          </w:p>
        </w:tc>
        <w:tc>
          <w:tcPr>
            <w:tcW w:w="320" w:type="dxa"/>
            <w:vAlign w:val="bottom"/>
            <w:shd w:val="clear" w:color="auto" w:fill="CFF0FC"/>
          </w:tcPr>
          <w:p>
            <w:pPr>
              <w:jc w:val="right"/>
              <w:ind w:right="173"/>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28" w:lineRule="exact"/>
              <w:rPr>
                <w:sz w:val="20"/>
                <w:szCs w:val="20"/>
                <w:color w:val="auto"/>
              </w:rPr>
            </w:pPr>
            <w:r>
              <w:rPr>
                <w:rFonts w:ascii="Times New Roman" w:cs="Times New Roman" w:eastAsia="Times New Roman" w:hAnsi="Times New Roman"/>
                <w:sz w:val="13"/>
                <w:szCs w:val="13"/>
                <w:color w:val="auto"/>
              </w:rPr>
              <w:t>30,094</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00"/>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28" w:lineRule="exact"/>
              <w:rPr>
                <w:sz w:val="20"/>
                <w:szCs w:val="20"/>
                <w:color w:val="auto"/>
              </w:rPr>
            </w:pPr>
            <w:r>
              <w:rPr>
                <w:rFonts w:ascii="Times New Roman" w:cs="Times New Roman" w:eastAsia="Times New Roman" w:hAnsi="Times New Roman"/>
                <w:sz w:val="13"/>
                <w:szCs w:val="13"/>
                <w:color w:val="auto"/>
              </w:rPr>
              <w:t>28,148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53"/>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28" w:lineRule="exact"/>
              <w:rPr>
                <w:sz w:val="20"/>
                <w:szCs w:val="20"/>
                <w:color w:val="auto"/>
              </w:rPr>
            </w:pPr>
            <w:r>
              <w:rPr>
                <w:rFonts w:ascii="Times New Roman" w:cs="Times New Roman" w:eastAsia="Times New Roman" w:hAnsi="Times New Roman"/>
                <w:sz w:val="13"/>
                <w:szCs w:val="13"/>
                <w:color w:val="auto"/>
              </w:rPr>
              <w:t>66,397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540" w:type="dxa"/>
            <w:vAlign w:val="bottom"/>
            <w:tcBorders>
              <w:top w:val="single" w:sz="8" w:color="CFF0FC"/>
            </w:tcBorders>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Effect of acquisitions:</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Assets acquired, excluding cash</w:t>
            </w:r>
          </w:p>
        </w:tc>
        <w:tc>
          <w:tcPr>
            <w:tcW w:w="320" w:type="dxa"/>
            <w:vAlign w:val="bottom"/>
            <w:shd w:val="clear" w:color="auto" w:fill="CFF0FC"/>
          </w:tcPr>
          <w:p>
            <w:pPr>
              <w:jc w:val="right"/>
              <w:ind w:right="17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53,647</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59,235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6,766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Liabilities assumed</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(893)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(4,185)</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Contingent consideration issued in connection with an acquisition</w:t>
            </w: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line="148" w:lineRule="exact"/>
              <w:rPr>
                <w:sz w:val="20"/>
                <w:szCs w:val="20"/>
                <w:color w:val="auto"/>
              </w:rPr>
            </w:pPr>
            <w:r>
              <w:rPr>
                <w:rFonts w:ascii="Times New Roman" w:cs="Times New Roman" w:eastAsia="Times New Roman" w:hAnsi="Times New Roman"/>
                <w:sz w:val="13"/>
                <w:szCs w:val="13"/>
                <w:color w:val="auto"/>
              </w:rPr>
              <w:t>(1,500)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Redeemable noncontrolling interest resulting from an acquisition</w:t>
            </w:r>
          </w:p>
        </w:tc>
        <w:tc>
          <w:tcPr>
            <w:tcW w:w="3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(44,589)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260"/>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(6,289)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654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320" w:type="dxa"/>
            <w:vAlign w:val="bottom"/>
            <w:shd w:val="clear" w:color="auto" w:fill="CFF0FC"/>
          </w:tcPr>
          <w:p>
            <w:pPr>
              <w:jc w:val="right"/>
              <w:ind w:right="173"/>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8,165</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53,550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53"/>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-1057275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-1057275</wp:posOffset>
            </wp:positionV>
            <wp:extent cx="679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-1057275</wp:posOffset>
            </wp:positionV>
            <wp:extent cx="67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-622300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-605155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-622300</wp:posOffset>
            </wp:positionV>
            <wp:extent cx="679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-605155</wp:posOffset>
            </wp:positionV>
            <wp:extent cx="67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-622300</wp:posOffset>
            </wp:positionV>
            <wp:extent cx="679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-605155</wp:posOffset>
            </wp:positionV>
            <wp:extent cx="67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-24765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-7620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-24765</wp:posOffset>
            </wp:positionV>
            <wp:extent cx="679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6071235</wp:posOffset>
            </wp:positionH>
            <wp:positionV relativeFrom="paragraph">
              <wp:posOffset>-7620</wp:posOffset>
            </wp:positionV>
            <wp:extent cx="679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comprehensive treatment centers (“CTCs”), residential treatment centers and facilities providing outpatient behavioral healthcare services to serve the behavioral healthcare and recovery needs of communities throughout the United States (the “U.S.”) and Puerto Rico. At December 31, 2025, these subsidiaries operated 277 behavioral healthcare facilities with over 12,500 beds in 40 states and Puerto Rico. The terms “facilities,” “centers,” “clinics,” and “hospitals” refer to entities owned, operated, or managed by subsidiaries of Acadia Healthcare Company, Inc. References herein to “employees” refer to employees of subsidiaries of Acadia Healthcare Company, Inc.</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right="360" w:firstLine="509"/>
        <w:spacing w:after="0" w:line="259" w:lineRule="auto"/>
        <w:rPr>
          <w:sz w:val="20"/>
          <w:szCs w:val="20"/>
          <w:color w:val="auto"/>
        </w:rPr>
      </w:pPr>
      <w:r>
        <w:rPr>
          <w:rFonts w:ascii="Times New Roman" w:cs="Times New Roman" w:eastAsia="Times New Roman" w:hAnsi="Times New Roman"/>
          <w:sz w:val="18"/>
          <w:szCs w:val="18"/>
          <w:color w:val="auto"/>
        </w:rPr>
        <w:t>The business of the Company is conducted through limited liability companies, partnerships and C-corporations. The Company’s consolidated financial statements include the accounts of the Company and all subsidiaries controlled by the Company through its direct or indirect ownership of majority interests and exclusive rights granted to the Company as the controlling member of an entity. All intercompany accounts and transactions have been eliminated in consolidation.</w:t>
      </w:r>
    </w:p>
    <w:p>
      <w:pPr>
        <w:spacing w:after="0" w:line="74" w:lineRule="exact"/>
        <w:rPr>
          <w:sz w:val="20"/>
          <w:szCs w:val="20"/>
          <w:color w:val="auto"/>
        </w:rPr>
      </w:pPr>
    </w:p>
    <w:p>
      <w:pPr>
        <w:ind w:right="280" w:firstLine="509"/>
        <w:spacing w:after="0" w:line="275"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(“GAAP”). The preparation of financial statements in conformity with GAAP requires management to make estimates and assumptions that affect the amounts reported in the consolidated financial statements and accompanying notes. Actual results could differ from those estimates. The majority of the Company’s expenses are “cost of revenue” items. Costs that could be classified as general and administrative expenses include the Company’s corporate office costs, which were $177.6 million, $156.8 million and $153.3 million for the years ended December 31, 2025, 2024 and 2023, respectively.</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to prior years to conform to the current year presentation.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At times, cash and cash equivalent balances may exceed federally insured limits. Management believes that the Company mitigates any risks by depositing cash and investing in cash equivalents with major financial institutions.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1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Company is subject to medical malpractice and other lawsuits due to the nature of the services the Company provides. A portion of the Company’s professional liability risks are insured through a wholly-owned insurance subsidiary providing coverage for up to $10.0 million per claim, $15.0 million for certain other claims and $25.0 million for certain batched claims through August 31, 2025 and $15.0 million per claim and $25.0 million for certain batched claims thereafter. The Company has obtained reinsurance coverage from a third-party to cover claims in excess of those limits. The reinsurance policy has a coverage limit of $80.0 million or $75.0 million in the aggregate for certain other claims through August 31, 2025 and $75.0 million in the aggregate for claims thereafter, with exclusions for certain types of incidents. The Company’s reinsurance receivables are recognized consistent with the related liabilities and include known claims and any incurred but not reported claims that are covered by current insurance policies in place. The reserve for professional and general liability risks was estimated based on historical claims, prior settlements and judgments, industry trends, severity factors, and other actuarial assumptions. The estimated accrual for professional and general liabilities could be significantly affected should current and future occurrences differ from historical claim trends and expectations. While claims are monitored closely when estimating professional and general liability accruals, the complexity of the claims and wide range of potential outcomes often hampers timely adjustments to the assumptions used in these estimates. The Company recorded unfavorable adjustments of $52.7 million and $10.1 million to its estimated liability for self-insured professional and general liability claims during the years ended December 31, 2025 and 2024, respectively, relating to the settlement or expected settlement of certain prior year claims. In particular, the unfavorable adjustment recorded during the year ended December 31, 2025 was driven by higher expected settlement costs for claims related to policy years prior to September 1, 2024; a significant increase in claim frequency during the policy year ended August 31, 2025, compared to the prior policy year; and less favorable insurance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3" w:name="page74"/>
    <w:bookmarkEnd w:id="73"/>
    <w:p>
      <w:pPr>
        <w:ind w:right="200"/>
        <w:spacing w:after="0" w:line="254" w:lineRule="auto"/>
        <w:rPr>
          <w:sz w:val="20"/>
          <w:szCs w:val="20"/>
          <w:color w:val="auto"/>
        </w:rPr>
      </w:pPr>
      <w:r>
        <w:rPr>
          <w:rFonts w:ascii="Times New Roman" w:cs="Times New Roman" w:eastAsia="Times New Roman" w:hAnsi="Times New Roman"/>
          <w:sz w:val="18"/>
          <w:szCs w:val="18"/>
          <w:color w:val="auto"/>
        </w:rPr>
        <w:t>coverage terms compared to prior years. The professional and general liability reserve was $181.8 million at December 31, 2025, of which $31.4 million was included in other accrued liabilities and $150.4 million was included in other long-term liabilities. The professional and general liability reserve was $87.5 million at December 31, 2024, of which $12.5 million was included in other accrued liabilities and $75.0 million was included in other long-term liabilities. The Company estimates receivables for the portion of professional and general liability reserves that are recoverable under the Company’s insurance policies. Such receivable was $28.8 million at December 31, 2025, of which $7.2 million was included in other current assets and $21.6 million was included in other assets, and such receivable was $9.3 million at December 31, 2024, of which $0.5 million was included in other current assets and $8.8 million was included in other assets.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statutory workers’ compensation program is fully insured with a $0.5 million deductible per accident. The workers’ compensation liability was $34.3 million at December 31, 2025, of which $18.5 million was included in accrued salaries and benefits and $15.8 million was included in other long-term liabilities, and such liability was $30.7 million at December 31, 2024, of which $12.0 million was included in accrued salaries and benefits and $18.7 million was included in other long-term liabilities. The reserve for workers compensation claims was based upon independent actuarial estimates of future amounts that will be paid to claimants. Management believes that adequate provisions have been made for workers’ compensation and professional and general liability risk exposures.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Other Long-Lived Assets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on the straight-line basis over the estimated useful lives of the assets, which typically range from 10 to 50 years for buildings and improvements, three to seven years for equipment and the shorter of the lease term or estimated useful lives for leasehold improvements. When assets are sold or retired, the corresponding cost and accumulated depreciation are removed from the related accounts and any gain or loss is recorded in the period of sale or retirement. Repair and maintenance costs are expensed as incurred. Depreciation expense was $189.2 million, $149.6 million and $132.3 million for the years ended December 31, 2025, 2024 and 2023, respectively.</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carrying values of long-lived assets are reviewed for possible impairment whenever events, circumstances or operating results indicate that the carrying amount of an asset may not be recoverable. If this review indicates that the asset will not be recoverable, as determined based upon the undiscounted cash flows of the operating asset over the remaining useful life, the carrying value of the asset will be reduced to its estimated fair value. Fair value estimates are based on independent appraisals, market values of comparable assets or internal evaluations of future net cash flows. During the years ended December 31, 2025 and 2024, the Company recorded non-cash property impairment charges of $10.4 million and $12.4 million, respectively, and non-cash operating lease right-of-use asset impairment charges of $1.0 million and $1.4 million, respectively, related to the closure of certain facilities, which is included in loss on impairment in the consolidated statements of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performed an impairment review of long-lived assets in the fourth quarter of 2025, 2024 and 2023 and recorded no impairment.</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19" w:lineRule="exact"/>
        <w:rPr>
          <w:sz w:val="20"/>
          <w:szCs w:val="20"/>
          <w:color w:val="auto"/>
        </w:rPr>
      </w:pPr>
    </w:p>
    <w:p>
      <w:pPr>
        <w:ind w:right="300" w:firstLine="509"/>
        <w:spacing w:after="0" w:line="259" w:lineRule="auto"/>
        <w:rPr>
          <w:sz w:val="20"/>
          <w:szCs w:val="20"/>
          <w:color w:val="auto"/>
        </w:rPr>
      </w:pPr>
      <w:r>
        <w:rPr>
          <w:rFonts w:ascii="Times New Roman" w:cs="Times New Roman" w:eastAsia="Times New Roman" w:hAnsi="Times New Roman"/>
          <w:sz w:val="18"/>
          <w:szCs w:val="18"/>
          <w:color w:val="auto"/>
        </w:rPr>
        <w:t>The Company’s goodwill and other indefinite-lived intangible assets, which consist of licenses and accreditations, trade names and certificates of need intangible assets that are not amortized, are evaluated for impairment annually during the fourth quarter or more frequently if events indicate the carrying value of a reporting unit may not be recoverable. See Note 5 – Acquisitions and Note 8 – Other Intangible Assets for further discussion of the Company’s goodwill and other intangible assets, respectively.</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measures and recognizes the cost of employee services received in exchange for awards of equity instruments based on the grant-date fair value in accordance with the Financial Accounting Standards Board (the “FASB”) Accounting Standards Codification (“ASC”) 718, “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uses the Black-Scholes valuation model to determine grant-date fair value for stock options and recognizes straight-line amortization of share-based compensation expense over the requisite service period of the respective awards. The fair values of performance stock units are determined based on the closing price of the Company’s common stock on the trading date immediately prior to the grant date for units subject to performance conditions.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7"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Basic and diluted earnings per share are calculated in accordance with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based on the weighted-average number of shares outstanding in each period and dilutive stock options and non-vested shares, to the extent such securities have a dilutive effect on earnings per share.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this method, deferred income taxes reflect the net tax effects of temporary differences between the carrying amounts of assets and liabilities for financial reporting purposes and the amounts used for income tax purposes and net operating loss and tax credit carryforwards. The amount of deferred taxes on these temporary differences is determined using the tax rates that are expected to apply in the period when the asset is realized or the liability is settled, as applicable, based on tax rates and laws in the respective tax jurisdiction enacted as of the balance sheet date.</w:t>
      </w:r>
    </w:p>
    <w:p>
      <w:pPr>
        <w:spacing w:after="0" w:line="79"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historical taxable income, projected future taxable income, applicable tax strategies, and the expected timing of the reversals of existing temporary differences. A valuation allowance is provided when it is more likely than not that some portion or all of the deferred tax assets will not be realized.</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records a liability for unrecognized tax benefits resulting from uncertain tax positions taken or expected to be taken in a tax return.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income tax expense.</w:t>
      </w:r>
    </w:p>
    <w:p>
      <w:pPr>
        <w:spacing w:after="0" w:line="97" w:lineRule="exact"/>
        <w:rPr>
          <w:sz w:val="20"/>
          <w:szCs w:val="20"/>
          <w:color w:val="auto"/>
        </w:rPr>
      </w:pPr>
    </w:p>
    <w:p>
      <w:pPr>
        <w:ind w:right="280" w:firstLine="509"/>
        <w:spacing w:after="0" w:line="253" w:lineRule="auto"/>
        <w:rPr>
          <w:sz w:val="20"/>
          <w:szCs w:val="20"/>
          <w:color w:val="auto"/>
        </w:rPr>
      </w:pPr>
      <w:r>
        <w:rPr>
          <w:rFonts w:ascii="Times New Roman" w:cs="Times New Roman" w:eastAsia="Times New Roman" w:hAnsi="Times New Roman"/>
          <w:sz w:val="18"/>
          <w:szCs w:val="18"/>
          <w:color w:val="auto"/>
        </w:rPr>
        <w:t>The Company has accruals for taxes and associated interest that may become payable in future years as a result of audits by tax authorities. The Company accrues for tax contingencies when it is more likely than not that a liability to a taxing authority has been incurred and the amount of the contingency can be reasonably estimated. Although management believes that the positions taken on previously filed tax returns are reasonable, the Company nevertheless has established tax and interest reserves in recognition that various taxing authorities may challenge the positions taken by the Company resulting in additional liabilities for taxes and interest. These amounts are reviewed as circumstances warrant and adjusted as events occur that affect the Company’s potential liability for additional taxes, such as lapsing of applicable statutes of limitations, conclusion of tax audits, additional exposure based on current calculations, identification of new issues, release of administrative guidance, or rendering of a court decision affecting a particular tax issue.</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7"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August 2023, the FASB issued Accounting Standards Update (“ASU”) 2023-05 </w:t>
      </w:r>
      <w:r>
        <w:rPr>
          <w:rFonts w:ascii="Times New Roman" w:cs="Times New Roman" w:eastAsia="Times New Roman" w:hAnsi="Times New Roman"/>
          <w:sz w:val="18"/>
          <w:szCs w:val="18"/>
          <w:i w:val="1"/>
          <w:iCs w:val="1"/>
          <w:color w:val="auto"/>
        </w:rPr>
        <w:t>Business Combinations—Joint Venture Formations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805-60): “Recognition and Initial Measurement” </w:t>
      </w:r>
      <w:r>
        <w:rPr>
          <w:rFonts w:ascii="Times New Roman" w:cs="Times New Roman" w:eastAsia="Times New Roman" w:hAnsi="Times New Roman"/>
          <w:sz w:val="18"/>
          <w:szCs w:val="18"/>
          <w:color w:val="auto"/>
        </w:rPr>
        <w:t>(“ASU 2023-05”). ASU 2023-05 requires entities to recognize and initially measure a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at fair value on the formation date. This guidance is effective prospectively for all joint ventures formed on or after January 1, 2025, and may be applied either prospectively or retrospectively. The Company prospectively adopted ASU 2023-05 on January 1, 2025, and such adoption did not have a significant impact on the Company’s consolidated financial statements.</w:t>
      </w:r>
    </w:p>
    <w:p>
      <w:pPr>
        <w:spacing w:after="0" w:line="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is intended to improve reportable segment disclosure requirements, primarily through enhanced disclosures about significant segment expenses. This guidance is effective for fiscal years beginning after December 15, 2023, and the interim periods within the fiscal years beginning after December 15, 2024, with early adoption permitted and applied retrospectively. The Company adopted ASU 2023-07 for the year ended December 31, 2024. See Note 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Segments for additional information on the Company’s accounting for segment reporting. This adoption did not have a significant impact on the Company’s consolidated financial statements.</w:t>
      </w:r>
    </w:p>
    <w:p>
      <w:pPr>
        <w:spacing w:after="0" w:line="7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(“ASU 2023-09”). ASU 2023-09 is intended to enhance the transparency and decision usefulness of income tax disclosures. This guidance is effective for fiscal years beginning after December 15, 2024, with early adoption permitted, and may be applied either prospectively or retrospectively. The Company adopted this standard on a prospective basis for the year ended December 31, 2025. See Note 19 – Income Taxes for additional information.</w:t>
      </w:r>
    </w:p>
    <w:p>
      <w:pPr>
        <w:spacing w:after="0" w:line="7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requires disaggregated disclosure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expenses. This guidance is effective for fiscal years beginning after December 15, 2026 and interim periods within fiscal years beginning after December 15, 2027. Early adoption is permitted and must be applied prospectively. The Company is currently evaluating the impact of ASU 2023-09 on the Company’s consolidated financial statements.</w:t>
      </w:r>
    </w:p>
    <w:p>
      <w:pPr>
        <w:spacing w:after="0" w:line="74" w:lineRule="exact"/>
        <w:rPr>
          <w:sz w:val="20"/>
          <w:szCs w:val="20"/>
          <w:color w:val="auto"/>
        </w:rPr>
      </w:pPr>
    </w:p>
    <w:p>
      <w:pPr>
        <w:ind w:right="240" w:firstLine="509"/>
        <w:spacing w:after="0" w:line="276" w:lineRule="auto"/>
        <w:rPr>
          <w:sz w:val="20"/>
          <w:szCs w:val="20"/>
          <w:color w:val="auto"/>
        </w:rPr>
      </w:pPr>
      <w:r>
        <w:rPr>
          <w:rFonts w:ascii="Times New Roman" w:cs="Times New Roman" w:eastAsia="Times New Roman" w:hAnsi="Times New Roman"/>
          <w:sz w:val="17"/>
          <w:szCs w:val="17"/>
          <w:color w:val="auto"/>
        </w:rPr>
        <w:t xml:space="preserve">In July 2025, the FASB issued ASU 2025-05 </w:t>
      </w:r>
      <w:r>
        <w:rPr>
          <w:rFonts w:ascii="Times New Roman" w:cs="Times New Roman" w:eastAsia="Times New Roman" w:hAnsi="Times New Roman"/>
          <w:sz w:val="17"/>
          <w:szCs w:val="17"/>
          <w:i w:val="1"/>
          <w:iCs w:val="1"/>
          <w:color w:val="auto"/>
        </w:rPr>
        <w:t>Financial Instruments—Credit Losses (Topic 326): “Measurement of Credit losses for Accounts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Receivable and Contract Assets” </w:t>
      </w:r>
      <w:r>
        <w:rPr>
          <w:rFonts w:ascii="Times New Roman" w:cs="Times New Roman" w:eastAsia="Times New Roman" w:hAnsi="Times New Roman"/>
          <w:sz w:val="17"/>
          <w:szCs w:val="17"/>
          <w:color w:val="auto"/>
        </w:rPr>
        <w:t>(“ASU 2025-05”). ASU 2025-05 allows entities to elect a practical expedient to assume the current conditions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balance sheet date remain unchanged for the remaining life of the asset in the development of a reasonable and supportable forecast for current accounts receivable and current contract assets arising from transactions accounted for under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This guidance is effective for fiscal years beginning after December 15, 2025, and interim reporting periods within those fiscal years, and must be adopted prospectively.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75" w:name="page76"/>
    <w:bookmarkEnd w:id="75"/>
    <w:p>
      <w:pPr>
        <w:ind w:right="240"/>
        <w:spacing w:after="0" w:line="280" w:lineRule="auto"/>
        <w:rPr>
          <w:sz w:val="20"/>
          <w:szCs w:val="20"/>
          <w:color w:val="auto"/>
        </w:rPr>
      </w:pPr>
      <w:r>
        <w:rPr>
          <w:rFonts w:ascii="Times New Roman" w:cs="Times New Roman" w:eastAsia="Times New Roman" w:hAnsi="Times New Roman"/>
          <w:sz w:val="18"/>
          <w:szCs w:val="18"/>
          <w:color w:val="auto"/>
        </w:rPr>
        <w:t>Early adoption is permitted and must be applied as of the beginning of the annual reporting period in which it is early adopted. The Company is currently evaluating the impact of ASU 2025-05 on the Company’s consolidated financial statements.</w:t>
      </w:r>
    </w:p>
    <w:p>
      <w:pPr>
        <w:spacing w:after="0" w:line="5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ASU 2025-06 is intended to clarify and modernize the accounting for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internal-use software. This guidance is effective for fiscal years beginning after December 15, 2027, and interim periods within those fiscal years, and may be adopted using a prospective, retrospective, or modified transition approach. Early adoption is permitted and must be applied as of the beginning of the annual reporting period in which it is early adopted. The Company is currently evaluating the impact of ASU 2025-06 on the Company’s consolidated financial statements.</w:t>
      </w:r>
    </w:p>
    <w:p>
      <w:pPr>
        <w:spacing w:after="0" w:line="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ASU 2025-10 establishes guidance on the recognition, measurement, and presentation of government grants received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entities. This guidance leverages the principles in the accounting framework for government assistance in International Accounting Standard 20, </w:t>
      </w:r>
      <w:r>
        <w:rPr>
          <w:rFonts w:ascii="Times New Roman" w:cs="Times New Roman" w:eastAsia="Times New Roman" w:hAnsi="Times New Roman"/>
          <w:sz w:val="18"/>
          <w:szCs w:val="18"/>
          <w:i w:val="1"/>
          <w:iCs w:val="1"/>
          <w:color w:val="auto"/>
        </w:rPr>
        <w:t xml:space="preserve">Accounting for Government Grants and Disclosure of Government Assistance </w:t>
      </w:r>
      <w:r>
        <w:rPr>
          <w:rFonts w:ascii="Times New Roman" w:cs="Times New Roman" w:eastAsia="Times New Roman" w:hAnsi="Times New Roman"/>
          <w:sz w:val="18"/>
          <w:szCs w:val="18"/>
          <w:color w:val="auto"/>
        </w:rPr>
        <w:t>(“IAS 20”), makes certain targeted improvements, and modifies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existing disclosure requirements in ASC 832,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ASU 2025-10 is effective for fiscal years beginning after December 15, 2028, and interim reporting periods within those fiscal years, and may be adopted on a modified prospective basis, a modified retrospective basis, or a full retrospective basis. Early adoption is permitted in any period for which financial statements have not been issued. The Company is currently evaluating the impact of ASU 2025-06 on the Company’s consolidated financial statements.</w:t>
      </w:r>
    </w:p>
    <w:p>
      <w:pPr>
        <w:spacing w:after="0" w:line="7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clarifies the interim reporting requirements in GAAP by improving the navigability of Topic 270 and more clearly specifying what disclosures are required in an interim reporting period. This guidance is effective for interim reporting periods in fiscal years beginning after December 15, 2027, and may be adopted on a prospective or retrospective basis. Early adoption is permitted. The Company is currently evaluating the impact of ASU 2025-11 on the Company’s consolidated financial statements.</w:t>
      </w:r>
    </w:p>
    <w:p>
      <w:pPr>
        <w:spacing w:after="0" w:line="74"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ASU 2025-12 provides for technical corrections, clarifications and other minor improvements to a variety of Topics. This guidance is effective for annual reporting periods beginning after December 15, 2026, and interim reporting periods within those annual reporting periods and may be adopted on a prospective or retrospective basis on an issue-by-issue basis. Early adoption is permitted on an issue-by-issue basis. The Company is currently evaluating the impact of ASU 2025-12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9" w:lineRule="exact"/>
        <w:rPr>
          <w:sz w:val="20"/>
          <w:szCs w:val="20"/>
          <w:color w:val="auto"/>
        </w:rPr>
      </w:pPr>
    </w:p>
    <w:p>
      <w:pPr>
        <w:jc w:val="both"/>
        <w:ind w:right="300" w:firstLine="509"/>
        <w:spacing w:after="0" w:line="264" w:lineRule="auto"/>
        <w:rPr>
          <w:sz w:val="20"/>
          <w:szCs w:val="20"/>
          <w:color w:val="auto"/>
        </w:rPr>
      </w:pPr>
      <w:r>
        <w:rPr>
          <w:rFonts w:ascii="Times New Roman" w:cs="Times New Roman" w:eastAsia="Times New Roman" w:hAnsi="Times New Roman"/>
          <w:sz w:val="18"/>
          <w:szCs w:val="18"/>
          <w:color w:val="auto"/>
        </w:rPr>
        <w:t>Revenue is primarily derived from services rendered to patients for inpatient psychiatric and substance abuse care, outpatient psychiatric care and residential treatment. The services provided by the Company have no fixed duration and can be terminated by the patient or the facility at any time, and therefore, each treatment is its own stand-alone contract.</w:t>
      </w:r>
    </w:p>
    <w:p>
      <w:pPr>
        <w:spacing w:after="0" w:line="6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Services ordered by a healthcare provider in an episode of care are not separately identifiable and therefore have been combined into a single performance obligation for each contract. The Company recognizes revenue as its performance obligations are completed. The performance obligation is satisfied over time as the customer simultaneously receives and consumes the benefits of the healthcare services provided. For inpatient services, the Company recognizes revenue equally over the patient stay on a daily basis. For outpatient services, the Company recognizes revenue equally over the number of treatments provided in a single episode of care. Typically, patients and third-party payors are billed within several days of the service being performed or the patient being discharged, and payments are due based on contract terms.</w:t>
      </w:r>
    </w:p>
    <w:p>
      <w:pPr>
        <w:spacing w:after="0" w:line="74"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As the Company’s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the revenue. The Company has minimal unsatisfied performance obligations at the end of the reporting period as the Company’s patients typically are under no obligation to remain admitted in the Company’s facilities.</w:t>
      </w:r>
    </w:p>
    <w:p>
      <w:pPr>
        <w:spacing w:after="0" w:line="74"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8"/>
          <w:szCs w:val="18"/>
          <w:color w:val="auto"/>
        </w:rPr>
        <w:t>At December 31, 2025 and 2024, estimated implicit price concessions of $90.2 million and $75.5 million, respectively, had been recorded as reductions to the Company’s accounts receivable balances to enable the Company to record its revenues and accounts receivable at the estimated amounts the Company expected to collect.</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disaggregates revenue from contracts with customers by service type and by payor.</w:t>
      </w:r>
    </w:p>
    <w:p>
      <w:pPr>
        <w:spacing w:after="0" w:line="115" w:lineRule="exact"/>
        <w:rPr>
          <w:sz w:val="20"/>
          <w:szCs w:val="20"/>
          <w:color w:val="auto"/>
        </w:rPr>
      </w:pPr>
    </w:p>
    <w:p>
      <w:pPr>
        <w:ind w:right="140" w:firstLine="509"/>
        <w:spacing w:after="0" w:line="280" w:lineRule="auto"/>
        <w:rPr>
          <w:sz w:val="20"/>
          <w:szCs w:val="20"/>
          <w:color w:val="auto"/>
        </w:rPr>
      </w:pPr>
      <w:r>
        <w:rPr>
          <w:rFonts w:ascii="Times New Roman" w:cs="Times New Roman" w:eastAsia="Times New Roman" w:hAnsi="Times New Roman"/>
          <w:sz w:val="18"/>
          <w:szCs w:val="18"/>
          <w:color w:val="auto"/>
        </w:rPr>
        <w:t>The Company’s facilities and services provided by the facilities can generally be classified into the following categories: acute inpatient psychiatric facilities; specialty treatment facilities; CTCs; and residential treatment centers.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ind w:right="26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Acute inpatient psychiatric facilities. </w:t>
      </w:r>
      <w:r>
        <w:rPr>
          <w:rFonts w:ascii="Times New Roman" w:cs="Times New Roman" w:eastAsia="Times New Roman" w:hAnsi="Times New Roman"/>
          <w:sz w:val="18"/>
          <w:szCs w:val="18"/>
          <w:color w:val="auto"/>
        </w:rPr>
        <w:t>Acute inpatient psychiatric facilities provide a high level of care in order to stabilize patients that are either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 to themselves or to others. The acute setting provides 24-hour observation, daily intervention and monitoring by psychiatrists.</w:t>
      </w:r>
    </w:p>
    <w:p>
      <w:pPr>
        <w:spacing w:after="0" w:line="51"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i w:val="1"/>
          <w:iCs w:val="1"/>
          <w:color w:val="auto"/>
        </w:rPr>
        <w:t>Specialty treatment facilities</w:t>
      </w:r>
      <w:r>
        <w:rPr>
          <w:rFonts w:ascii="Times New Roman" w:cs="Times New Roman" w:eastAsia="Times New Roman" w:hAnsi="Times New Roman"/>
          <w:sz w:val="18"/>
          <w:szCs w:val="18"/>
          <w:color w:val="auto"/>
        </w:rPr>
        <w:t>. Specialty treatment facilities include residential recovery facilities and eating disorder facilities.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comprehensive continuum of care for adults with addictive disorders and co-occurring mental disorders. Inpatient, including detoxification and rehabilitation, partial hospitalization and outpatient treatment programs give patients access to the least restrictive level of care.</w:t>
      </w:r>
    </w:p>
    <w:p>
      <w:pPr>
        <w:spacing w:after="0" w:line="6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Comprehensive treatment centers. </w:t>
      </w:r>
      <w:r>
        <w:rPr>
          <w:rFonts w:ascii="Times New Roman" w:cs="Times New Roman" w:eastAsia="Times New Roman" w:hAnsi="Times New Roman"/>
          <w:sz w:val="18"/>
          <w:szCs w:val="18"/>
          <w:color w:val="auto"/>
        </w:rPr>
        <w:t>CTCs specialize in providing medication-assisted treatment in an outpatient setting to individuals addicted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opioids such as opioid analgesics (prescription pain medications).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Residential treatment centers</w:t>
      </w:r>
      <w:r>
        <w:rPr>
          <w:rFonts w:ascii="Times New Roman" w:cs="Times New Roman" w:eastAsia="Times New Roman" w:hAnsi="Times New Roman"/>
          <w:sz w:val="18"/>
          <w:szCs w:val="18"/>
          <w:color w:val="auto"/>
        </w:rPr>
        <w:t>. Residential treatment centers treat patients with behavioral disorders in a non-hospital setting. The facilities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therapy activities with social, academic and other activities.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total revenue attributed to each category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1"/>
        </w:trPr>
        <w:tc>
          <w:tcPr>
            <w:tcW w:w="4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Acute inpatient psychiatric facilities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1,830,324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1,678,266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1,489,248</w:t>
            </w:r>
          </w:p>
        </w:tc>
        <w:tc>
          <w:tcPr>
            <w:tcW w:w="100" w:type="dxa"/>
            <w:vAlign w:val="bottom"/>
            <w:shd w:val="clear" w:color="auto" w:fill="CFF0FC"/>
          </w:tcPr>
          <w:p>
            <w:pPr>
              <w:spacing w:after="0"/>
              <w:rPr>
                <w:sz w:val="18"/>
                <w:szCs w:val="18"/>
                <w:color w:val="auto"/>
              </w:rPr>
            </w:pP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Specialty treatment facilities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614,220</w:t>
            </w:r>
          </w:p>
        </w:tc>
        <w:tc>
          <w:tcPr>
            <w:tcW w:w="100" w:type="dxa"/>
            <w:vAlign w:val="bottom"/>
          </w:tcPr>
          <w:p>
            <w:pPr>
              <w:spacing w:after="0"/>
              <w:rPr>
                <w:sz w:val="18"/>
                <w:szCs w:val="18"/>
                <w:color w:val="auto"/>
              </w:rPr>
            </w:pPr>
          </w:p>
        </w:tc>
      </w:tr>
      <w:tr>
        <w:trPr>
          <w:trHeight w:val="21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treatment centers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567,176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537,886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500,242</w:t>
            </w:r>
          </w:p>
        </w:tc>
        <w:tc>
          <w:tcPr>
            <w:tcW w:w="100" w:type="dxa"/>
            <w:vAlign w:val="bottom"/>
            <w:shd w:val="clear" w:color="auto" w:fill="CFF0FC"/>
          </w:tcPr>
          <w:p>
            <w:pPr>
              <w:spacing w:after="0"/>
              <w:rPr>
                <w:sz w:val="18"/>
                <w:szCs w:val="18"/>
                <w:color w:val="auto"/>
              </w:rPr>
            </w:pP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treatment centers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348,073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345,788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325,028</w:t>
            </w:r>
          </w:p>
        </w:tc>
        <w:tc>
          <w:tcPr>
            <w:tcW w:w="100" w:type="dxa"/>
            <w:vAlign w:val="bottom"/>
          </w:tcPr>
          <w:p>
            <w:pPr>
              <w:spacing w:after="0"/>
              <w:rPr>
                <w:sz w:val="18"/>
                <w:szCs w:val="18"/>
                <w:color w:val="auto"/>
              </w:rPr>
            </w:pPr>
          </w:p>
        </w:tc>
      </w:tr>
      <w:tr>
        <w:trPr>
          <w:trHeight w:val="22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3,312,769</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3,153,963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2,928,738</w:t>
            </w:r>
          </w:p>
        </w:tc>
        <w:tc>
          <w:tcPr>
            <w:tcW w:w="10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4296410</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-24765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-24765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receives payments from the following sources for services rendered in its facilities: (i) state governments under their respective Medicaid and other programs; (ii) commercial insurers; (iii) the federal government under the Medicare program administered by the Centers for Medicare and Medicaid Services (“CMS”) and other programs; and (iv) individual patients and clients. The recognition of revenue under certain state government programs can depend on the timing of the programs’ approval by regulatory authorities. Based on the timing of approval of one such program, during the twelve months ended December 31, 2025, the Company recognized $100.1 million of revenue, $34.4 million of which related to services rendered in the year ended December 31, 2024.</w:t>
      </w:r>
    </w:p>
    <w:p>
      <w:pPr>
        <w:spacing w:after="0" w:line="7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the transaction price based on established billing rates reduced by contractual adjustments provided to third-party payors, discounts provided to uninsured patients and implicit price concessions. Contractual adjustments and discounts are based on contractual agreements, discount policies and historical experience. Implicit price concessions are based on historical collection experience. Most of the Company’s facilities have contracts containing variable consideration. However, it is unlikely a significant reversal of revenue will occur when the uncertainty is resolved, and therefore, the Company has included the variable consideration in the estimated transaction price. Subsequent changes resulting from a patient’s ability to pay are recorded as bad debt expense, which is included as a component of other operating expenses in the consolidated statements of operations. Bad debt expense for the years ended December 31, 2025, 2024 and 2023 was not significant.</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derives a significant portion of its revenue from Medicare, Medicaid and other payors that receive discounts from established billing rates. The Medicare and Medicaid regulations and various managed care contracts under which these discounts must be estimated are complex, subject to interpretation and adjustment, and may include multiple reimbursement mechanisms for different types of services provided in the Company’s facilities and cost settlement provisions. Management estimates the transaction price on a payor-specific basis given its interpretation of the applicable regulations or contract terms. The services authorized and provided and related reimbursement are often subject to interpretation that could result in payments that differ from the Company’s estimates. Additionally, updated regulations and contract renegotiations occur frequently, necessitating regular review and assessment of the estimation process by management.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occurs in subsequent years because of audits by such programs, rights of appeal and the application of numerous technical provisions. In the opinion of management, adequate provision has been made for any adjustments and final settlements. However, there can be no assurance that any such adjustments and final settlements will not have a material effect on the Company’s financial condition or results of operations. The Company had cost report receivables of $8.4 million as of December 31, 2025 which are included in other current assets on the consolidated balance sheet. The Company’s cost report payables were $0.8 million as of December 31, 2024, and are included in other current liabilities on the consolidated balance sheet. The net adjustments to estimated cost report settlements resulted in a decrease to revenue of $0.7 million for the year ended December 31, 2025 and an increase to revenue of $0.2 million and $1.8 million, respectively, for the years ended December 31,2024 and 2023.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7" w:name="page78"/>
    <w:bookmarkEnd w:id="77"/>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provides care without charge to patients who are financially unable to pay for the healthcare services they receive based on Company policies and federal and state poverty thresholds. Such amounts determined to qualify as charity care are not reported as revenue. The cost of providing charity care services were $12.0 million, $9.2 million and $8.2 million for the years ended December 31, 2025, 2024 and 2023, respectively. The estimated cost of charity care services was determined using a ratio of cost to gross charges determined from the Company’s most recently filed Medicare cost reports and applying that ratio to the gross charges associated with providing charity care for the period.</w:t>
      </w:r>
    </w:p>
    <w:p>
      <w:pPr>
        <w:spacing w:after="0" w:line="79" w:lineRule="exact"/>
        <w:rPr>
          <w:sz w:val="20"/>
          <w:szCs w:val="20"/>
          <w:color w:val="auto"/>
        </w:rPr>
      </w:pPr>
    </w:p>
    <w:p>
      <w:pPr>
        <w:ind w:right="460" w:firstLine="509"/>
        <w:spacing w:after="0" w:line="280" w:lineRule="auto"/>
        <w:rPr>
          <w:sz w:val="20"/>
          <w:szCs w:val="20"/>
          <w:color w:val="auto"/>
        </w:rPr>
      </w:pPr>
      <w:r>
        <w:rPr>
          <w:rFonts w:ascii="Times New Roman" w:cs="Times New Roman" w:eastAsia="Times New Roman" w:hAnsi="Times New Roman"/>
          <w:sz w:val="18"/>
          <w:szCs w:val="18"/>
          <w:color w:val="auto"/>
        </w:rPr>
        <w:t>The following table presents revenue by payor type and as a percentage of revenue for the years ended December 31, 2025, 2024 and 2023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6"/>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813,788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820,828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820,701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473,455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1,912,168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1,781,615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1,578,518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Self-Pay</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48,536</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3,312,769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2,928,738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-170180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-170180</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-170180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-170180</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-170180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6668135</wp:posOffset>
            </wp:positionH>
            <wp:positionV relativeFrom="paragraph">
              <wp:posOffset>-170180</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19"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earnings per share for the years ended December 31, 2025, 2024 and 2023 (in thousands, except per share amounts):</w:t>
      </w:r>
    </w:p>
    <w:p>
      <w:pPr>
        <w:sectPr>
          <w:pgSz w:w="11900" w:h="16838" w:orient="portrait"/>
          <w:cols w:equalWidth="0" w:num="1">
            <w:col w:w="11180"/>
          </w:cols>
          <w:pgMar w:left="320" w:top="1089" w:right="3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860" w:right="1440" w:hanging="178"/>
        <w:spacing w:after="0" w:line="249" w:lineRule="auto"/>
        <w:rPr>
          <w:sz w:val="20"/>
          <w:szCs w:val="20"/>
          <w:color w:val="auto"/>
        </w:rPr>
      </w:pPr>
      <w:r>
        <w:rPr>
          <w:rFonts w:ascii="Times New Roman" w:cs="Times New Roman" w:eastAsia="Times New Roman" w:hAnsi="Times New Roman"/>
          <w:sz w:val="18"/>
          <w:szCs w:val="18"/>
          <w:color w:val="auto"/>
        </w:rPr>
        <w:t>Net (loss) income attributable to Acadia Healthcare Company, Inc.</w:t>
      </w:r>
    </w:p>
    <w:p>
      <w:pPr>
        <w:ind w:left="580"/>
        <w:spacing w:after="0"/>
        <w:rPr>
          <w:sz w:val="20"/>
          <w:szCs w:val="20"/>
          <w:color w:val="auto"/>
        </w:rPr>
      </w:pPr>
      <w:r>
        <w:rPr>
          <w:rFonts w:ascii="Times New Roman" w:cs="Times New Roman" w:eastAsia="Times New Roman" w:hAnsi="Times New Roman"/>
          <w:sz w:val="18"/>
          <w:szCs w:val="18"/>
          <w:color w:val="auto"/>
        </w:rPr>
        <w:t>Denominator:</w:t>
      </w:r>
    </w:p>
    <w:p>
      <w:pPr>
        <w:spacing w:after="0" w:line="8" w:lineRule="exact"/>
        <w:rPr>
          <w:sz w:val="20"/>
          <w:szCs w:val="20"/>
          <w:color w:val="auto"/>
        </w:rPr>
      </w:pPr>
    </w:p>
    <w:p>
      <w:pPr>
        <w:ind w:left="820" w:right="1760" w:hanging="133"/>
        <w:spacing w:after="0" w:line="249" w:lineRule="auto"/>
        <w:rPr>
          <w:sz w:val="20"/>
          <w:szCs w:val="20"/>
          <w:color w:val="auto"/>
        </w:rPr>
      </w:pPr>
      <w:r>
        <w:rPr>
          <w:rFonts w:ascii="Times New Roman" w:cs="Times New Roman" w:eastAsia="Times New Roman" w:hAnsi="Times New Roman"/>
          <w:sz w:val="18"/>
          <w:szCs w:val="18"/>
          <w:color w:val="auto"/>
        </w:rPr>
        <w:t>Weighted-average shares outstanding for basic earnings per share</w:t>
      </w:r>
    </w:p>
    <w:p>
      <w:pPr>
        <w:ind w:left="680"/>
        <w:spacing w:after="0"/>
        <w:rPr>
          <w:sz w:val="20"/>
          <w:szCs w:val="20"/>
          <w:color w:val="auto"/>
        </w:rPr>
      </w:pPr>
      <w:r>
        <w:rPr>
          <w:rFonts w:ascii="Times New Roman" w:cs="Times New Roman" w:eastAsia="Times New Roman" w:hAnsi="Times New Roman"/>
          <w:sz w:val="18"/>
          <w:szCs w:val="18"/>
          <w:color w:val="auto"/>
        </w:rPr>
        <w:t>Effects of dilutive instruments</w:t>
      </w:r>
    </w:p>
    <w:p>
      <w:pPr>
        <w:spacing w:after="0" w:line="8" w:lineRule="exact"/>
        <w:rPr>
          <w:sz w:val="20"/>
          <w:szCs w:val="20"/>
          <w:color w:val="auto"/>
        </w:rPr>
      </w:pPr>
    </w:p>
    <w:p>
      <w:pPr>
        <w:ind w:left="820" w:right="1800" w:hanging="133"/>
        <w:spacing w:after="0" w:line="274" w:lineRule="auto"/>
        <w:rPr>
          <w:sz w:val="20"/>
          <w:szCs w:val="20"/>
          <w:color w:val="auto"/>
        </w:rPr>
      </w:pPr>
      <w:r>
        <w:rPr>
          <w:rFonts w:ascii="Times New Roman" w:cs="Times New Roman" w:eastAsia="Times New Roman" w:hAnsi="Times New Roman"/>
          <w:sz w:val="18"/>
          <w:szCs w:val="18"/>
          <w:color w:val="auto"/>
        </w:rPr>
        <w:t>Shares used in computing diluted earnings per common share</w:t>
      </w:r>
    </w:p>
    <w:p>
      <w:pPr>
        <w:spacing w:after="0" w:line="167" w:lineRule="exact"/>
        <w:rPr>
          <w:sz w:val="20"/>
          <w:szCs w:val="20"/>
          <w:color w:val="auto"/>
        </w:rPr>
      </w:pPr>
    </w:p>
    <w:p>
      <w:pPr>
        <w:ind w:left="760" w:right="1780" w:hanging="133"/>
        <w:spacing w:after="0" w:line="286" w:lineRule="auto"/>
        <w:rPr>
          <w:sz w:val="20"/>
          <w:szCs w:val="20"/>
          <w:color w:val="auto"/>
        </w:rPr>
      </w:pPr>
      <w:r>
        <w:rPr>
          <w:rFonts w:ascii="Times New Roman" w:cs="Times New Roman" w:eastAsia="Times New Roman" w:hAnsi="Times New Roman"/>
          <w:sz w:val="17"/>
          <w:szCs w:val="17"/>
          <w:color w:val="auto"/>
        </w:rPr>
        <w:t>(Loss) earnings per share attributable to Acadia Healthcare Company, Inc. stockholders: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5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(1,102,772)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(21,667)</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7"/>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60" w:type="dxa"/>
            <w:vAlign w:val="bottom"/>
          </w:tcPr>
          <w:p>
            <w:pPr>
              <w:spacing w:after="0"/>
              <w:rPr>
                <w:sz w:val="24"/>
                <w:szCs w:val="24"/>
                <w:color w:val="auto"/>
              </w:rPr>
            </w:pPr>
          </w:p>
        </w:tc>
      </w:tr>
      <w:tr>
        <w:trPr>
          <w:trHeight w:val="233"/>
        </w:trPr>
        <w:tc>
          <w:tcPr>
            <w:tcW w:w="240" w:type="dxa"/>
            <w:vAlign w:val="bottom"/>
          </w:tcPr>
          <w:p>
            <w:pPr>
              <w:spacing w:after="0"/>
              <w:rPr>
                <w:sz w:val="20"/>
                <w:szCs w:val="20"/>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83"/>
        </w:trPr>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90,705</w:t>
            </w:r>
          </w:p>
        </w:tc>
        <w:tc>
          <w:tcPr>
            <w:tcW w:w="2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92,059</w:t>
            </w:r>
          </w:p>
        </w:tc>
        <w:tc>
          <w:tcPr>
            <w:tcW w:w="2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60" w:type="dxa"/>
            <w:vAlign w:val="bottom"/>
          </w:tcPr>
          <w:p>
            <w:pPr>
              <w:spacing w:after="0"/>
              <w:rPr>
                <w:sz w:val="24"/>
                <w:szCs w:val="24"/>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-1236345</wp:posOffset>
            </wp:positionV>
            <wp:extent cx="6416040" cy="136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-826770</wp:posOffset>
            </wp:positionV>
            <wp:extent cx="6416040" cy="1365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0</wp:posOffset>
            </wp:positionV>
            <wp:extent cx="6416040" cy="136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6416040" cy="13652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-417195</wp:posOffset>
            </wp:positionV>
            <wp:extent cx="6416040" cy="1447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416040" cy="14478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5800" w:space="720"/>
            <w:col w:w="4660"/>
          </w:cols>
          <w:pgMar w:left="320" w:top="1089" w:right="399" w:bottom="1440" w:gutter="0" w:footer="0" w:header="0"/>
          <w:type w:val="continuous"/>
        </w:sectPr>
      </w:pPr>
    </w:p>
    <w:tbl>
      <w:tblPr>
        <w:tblLayout w:type="fixed"/>
        <w:tblInd w:w="580" w:type="dxa"/>
        <w:tblCellMar>
          <w:top w:w="0" w:type="dxa"/>
          <w:left w:w="0" w:type="dxa"/>
          <w:bottom w:w="0" w:type="dxa"/>
          <w:right w:w="0" w:type="dxa"/>
        </w:tblCellMar>
      </w:tblPr>
      <w:tr>
        <w:trPr>
          <w:trHeight w:val="217"/>
        </w:trPr>
        <w:tc>
          <w:tcPr>
            <w:tcW w:w="5940" w:type="dxa"/>
            <w:vAlign w:val="bottom"/>
            <w:shd w:val="clear" w:color="auto" w:fill="CFF0FC"/>
          </w:tcPr>
          <w:p>
            <w:pPr>
              <w:ind w:left="320"/>
              <w:spacing w:after="0" w:line="197" w:lineRule="exact"/>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(12.16)</w:t>
            </w:r>
          </w:p>
        </w:tc>
        <w:tc>
          <w:tcPr>
            <w:tcW w:w="480" w:type="dxa"/>
            <w:vAlign w:val="bottom"/>
            <w:shd w:val="clear" w:color="auto" w:fill="CFF0FC"/>
          </w:tcPr>
          <w:p>
            <w:pPr>
              <w:jc w:val="right"/>
              <w:ind w:right="29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line="197" w:lineRule="exact"/>
              <w:rPr>
                <w:sz w:val="20"/>
                <w:szCs w:val="20"/>
                <w:color w:val="auto"/>
              </w:rPr>
            </w:pPr>
            <w:r>
              <w:rPr>
                <w:rFonts w:ascii="Times New Roman" w:cs="Times New Roman" w:eastAsia="Times New Roman" w:hAnsi="Times New Roman"/>
                <w:sz w:val="18"/>
                <w:szCs w:val="18"/>
                <w:color w:val="auto"/>
              </w:rPr>
              <w:t>2.79</w:t>
            </w:r>
          </w:p>
        </w:tc>
        <w:tc>
          <w:tcPr>
            <w:tcW w:w="700" w:type="dxa"/>
            <w:vAlign w:val="bottom"/>
            <w:gridSpan w:val="2"/>
            <w:shd w:val="clear" w:color="auto" w:fill="CFF0FC"/>
          </w:tcPr>
          <w:p>
            <w:pPr>
              <w:jc w:val="right"/>
              <w:ind w:right="3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line="197" w:lineRule="exact"/>
              <w:rPr>
                <w:sz w:val="20"/>
                <w:szCs w:val="20"/>
                <w:color w:val="auto"/>
              </w:rPr>
            </w:pPr>
            <w:r>
              <w:rPr>
                <w:rFonts w:ascii="Times New Roman" w:cs="Times New Roman" w:eastAsia="Times New Roman" w:hAnsi="Times New Roman"/>
                <w:sz w:val="18"/>
                <w:szCs w:val="18"/>
                <w:color w:val="auto"/>
              </w:rPr>
              <w:t>(0.24)</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5"/>
        </w:trPr>
        <w:tc>
          <w:tcPr>
            <w:tcW w:w="594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(12.16)</w:t>
            </w:r>
          </w:p>
        </w:tc>
        <w:tc>
          <w:tcPr>
            <w:tcW w:w="480" w:type="dxa"/>
            <w:vAlign w:val="bottom"/>
          </w:tcPr>
          <w:p>
            <w:pPr>
              <w:jc w:val="right"/>
              <w:ind w:right="29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2.78</w:t>
            </w:r>
          </w:p>
        </w:tc>
        <w:tc>
          <w:tcPr>
            <w:tcW w:w="70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(0.24)</w:t>
            </w:r>
          </w:p>
        </w:tc>
      </w:tr>
      <w:tr>
        <w:trPr>
          <w:trHeight w:val="20"/>
        </w:trPr>
        <w:tc>
          <w:tcPr>
            <w:tcW w:w="5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-187325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-170180</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-187325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-170180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6719570</wp:posOffset>
            </wp:positionH>
            <wp:positionV relativeFrom="paragraph">
              <wp:posOffset>-187325</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6719570</wp:posOffset>
            </wp:positionH>
            <wp:positionV relativeFrom="paragraph">
              <wp:posOffset>-170180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2025 and 2023, respectively, approximately 0.6 million and 0.9 million outstanding shares of restricted stock and shares of common stock issuable upon exercise of outstanding stock option awards have been excluded from the calculation of dilutive weighted-average shares outstanding. These shares are excluded from the calculation of diluted earnings per share in the consolidated statement of operations because the net loss for the years ended December 31, 2025 and 2023 causes such securities to be anti-dilutive. Approximately 1.0 million, 0.7 million and 0.3 million shares of restricted stock and common stock issuable upon exercise of outstanding stock options were excluded from the calculation of diluted earnings per share for the years ended December 31, 2025, 2024 and 2023, respectively, because their effect would have been anti-dilutive.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19" w:lineRule="exact"/>
        <w:rPr>
          <w:sz w:val="20"/>
          <w:szCs w:val="20"/>
          <w:color w:val="auto"/>
        </w:rPr>
      </w:pPr>
    </w:p>
    <w:p>
      <w:pPr>
        <w:ind w:right="380" w:firstLine="562"/>
        <w:spacing w:after="0" w:line="280" w:lineRule="auto"/>
        <w:rPr>
          <w:sz w:val="20"/>
          <w:szCs w:val="20"/>
          <w:color w:val="auto"/>
        </w:rPr>
      </w:pPr>
      <w:r>
        <w:rPr>
          <w:rFonts w:ascii="Times New Roman" w:cs="Times New Roman" w:eastAsia="Times New Roman" w:hAnsi="Times New Roman"/>
          <w:sz w:val="18"/>
          <w:szCs w:val="18"/>
          <w:color w:val="auto"/>
        </w:rPr>
        <w:t>The Company’s acquisition strategy is to acquire and develop behavioral healthcare facilities and improve operating results within its acquired facilities and other behavioral healthcare operations.</w:t>
      </w:r>
    </w:p>
    <w:p>
      <w:pPr>
        <w:spacing w:after="0" w:line="55" w:lineRule="exact"/>
        <w:rPr>
          <w:sz w:val="20"/>
          <w:szCs w:val="20"/>
          <w:color w:val="auto"/>
        </w:rPr>
      </w:pPr>
    </w:p>
    <w:p>
      <w:pPr>
        <w:ind w:right="20" w:firstLine="562"/>
        <w:spacing w:after="0" w:line="280" w:lineRule="auto"/>
        <w:rPr>
          <w:sz w:val="20"/>
          <w:szCs w:val="20"/>
          <w:color w:val="auto"/>
        </w:rPr>
      </w:pPr>
      <w:r>
        <w:rPr>
          <w:rFonts w:ascii="Times New Roman" w:cs="Times New Roman" w:eastAsia="Times New Roman" w:hAnsi="Times New Roman"/>
          <w:sz w:val="18"/>
          <w:szCs w:val="18"/>
          <w:color w:val="auto"/>
        </w:rPr>
        <w:t>On February 22, 2024, the Company acquired substantially all of the assets of Turning Point Centers (“Turning Point”), a 76-bed specialty provider of substance use disorder and primary mental health treatment services that supports the Salt Lake City, Utah,</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78" w:name="page79"/>
    <w:bookmarkEnd w:id="78"/>
    <w:p>
      <w:pPr>
        <w:ind w:right="300"/>
        <w:spacing w:after="0" w:line="280" w:lineRule="auto"/>
        <w:rPr>
          <w:sz w:val="20"/>
          <w:szCs w:val="20"/>
          <w:color w:val="auto"/>
        </w:rPr>
      </w:pPr>
      <w:r>
        <w:rPr>
          <w:rFonts w:ascii="Times New Roman" w:cs="Times New Roman" w:eastAsia="Times New Roman" w:hAnsi="Times New Roman"/>
          <w:sz w:val="18"/>
          <w:szCs w:val="18"/>
          <w:color w:val="auto"/>
        </w:rPr>
        <w:t>metropolitan market. Turning Point provides a full continuum of treatment services, including residential, partial hospitalization and intensive outpatient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9" w:lineRule="exact"/>
        <w:rPr>
          <w:sz w:val="20"/>
          <w:szCs w:val="20"/>
          <w:color w:val="auto"/>
        </w:rPr>
      </w:pPr>
    </w:p>
    <w:p>
      <w:pPr>
        <w:ind w:right="140" w:firstLine="469"/>
        <w:spacing w:after="0" w:line="280" w:lineRule="auto"/>
        <w:rPr>
          <w:sz w:val="20"/>
          <w:szCs w:val="20"/>
          <w:color w:val="auto"/>
        </w:rPr>
      </w:pPr>
      <w:r>
        <w:rPr>
          <w:rFonts w:ascii="Times New Roman" w:cs="Times New Roman" w:eastAsia="Times New Roman" w:hAnsi="Times New Roman"/>
          <w:sz w:val="18"/>
          <w:szCs w:val="18"/>
          <w:color w:val="auto"/>
        </w:rPr>
        <w:t>The Company’s goodwill is evaluated for impairment annually during the fourth quarter or more frequently if events indicate the carrying value of a reporting unit may not be recoverable.</w:t>
      </w:r>
    </w:p>
    <w:p>
      <w:pPr>
        <w:spacing w:after="0" w:line="55"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As of the annual impairment test on October 1, 2025, the Company had one reporting unit, behavioral healthcare services. In performing the goodwill impairment test, the Company used a combination of the income and market approaches to estimate the fair value of the reporting unit. Determining fair value requires substantial judgment and use of significant unobservable inputs, which are categorized as Level 3 fair value measurements. For the income approach, the Company used a discounted cash flow model in which cash flows are projected using internal forecasts over future periods, plus a terminal value, and are discounted to present value using a risk-adjusted rate of return. The Company’s internal forecasts include estimates of growth rates and profitability based on management’s current views of the long-term outlook of the reporting unit. Discount rate assumptions are based on an assessment of the risk inherent in the projected future cash flows. For the market approach, the Company compared its reporting unit to guideline companies actively traded in public markets and included a control premium, which was based on acquisition premiums of selected companies similar to the reporting unit. These estimates and assumptions were determined in connection with support from a third-party valuation specialist. As of the annual impairment test on October 1, 2025, the fair value of the Company’s behavioral healthcare services reporting unit exceeded its carrying value, and therefore no impairment was recorded.</w:t>
      </w:r>
    </w:p>
    <w:p>
      <w:pPr>
        <w:spacing w:after="0" w:line="82"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Subsequent to the annual impairment test on October 1, 2025, management identified a triggering event consisting of the combination of a significant increase in higher professional and general liability expenses associated primarily with patient-related litigation; lower internal revenue projections for future years to reflect expected changes in Medicaid reimbursement, primarily related to out-of-state referrals; and a sustained decline in the Company’s stock price and overall market capitalization. As a result, management conducted another test for goodwill impairment as of December 31, 2025. This subsequent goodwill impairment analysis resulted in a non-cash goodwill impairment charge of $996.2 million, representing the amount by which the Company’s book value exceeds its fair value, which is included in loss on impairment in the consolidated statement of operations. The decline in fair value of the behavioral healthcare services reporting unit primarily resulted from changes in expected future cash flows as a result of higher professional and general liability expenses, lower revenues and a higher discount rate corresponding to the risks inherent in the reporting unit.</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goodwill impairment charges were recorded during the years ended December 31, 2024 or 2023.</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changes in goodwill for the years ended December 31, 2025 and 2024 (in thousands):</w:t>
      </w:r>
    </w:p>
    <w:p>
      <w:pPr>
        <w:sectPr>
          <w:pgSz w:w="11900" w:h="16838" w:orient="portrait"/>
          <w:cols w:equalWidth="0" w:num="1">
            <w:col w:w="11240"/>
          </w:cols>
          <w:pgMar w:left="320" w:top="1088" w:right="339" w:bottom="1440" w:gutter="0" w:footer="0" w:header="0"/>
        </w:sectPr>
      </w:pP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-119380</wp:posOffset>
            </wp:positionV>
            <wp:extent cx="4991100" cy="1365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4991100" cy="136525"/>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Increase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13335</wp:posOffset>
            </wp:positionV>
            <wp:extent cx="4991100" cy="1365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4991100" cy="136525"/>
                    </a:xfrm>
                    <a:prstGeom prst="rect">
                      <a:avLst/>
                    </a:prstGeom>
                    <a:noFill/>
                  </pic:spPr>
                </pic:pic>
              </a:graphicData>
            </a:graphic>
          </wp:anchor>
        </w:drawing>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Increase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5080</wp:posOffset>
            </wp:positionV>
            <wp:extent cx="4991100" cy="1447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4991100" cy="14478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7"/>
          <w:szCs w:val="17"/>
          <w:color w:val="auto"/>
        </w:rPr>
        <w:t>Decrease from impairment of goodwill</w:t>
      </w:r>
    </w:p>
    <w:p>
      <w:pPr>
        <w:spacing w:after="0" w:line="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83" w:hanging="583"/>
        <w:spacing w:after="0"/>
        <w:tabs>
          <w:tab w:leader="none" w:pos="5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2,225,962</w:t>
      </w:r>
    </w:p>
    <w:p>
      <w:pPr>
        <w:spacing w:after="0" w:line="26" w:lineRule="exact"/>
        <w:rPr>
          <w:rFonts w:ascii="Times New Roman" w:cs="Times New Roman" w:eastAsia="Times New Roman" w:hAnsi="Times New Roman"/>
          <w:sz w:val="18"/>
          <w:szCs w:val="18"/>
          <w:color w:val="auto"/>
        </w:rPr>
      </w:pPr>
    </w:p>
    <w:p>
      <w:pPr>
        <w:ind w:left="8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8362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836295" cy="8255"/>
                    </a:xfrm>
                    <a:prstGeom prst="rect">
                      <a:avLst/>
                    </a:prstGeom>
                    <a:noFill/>
                  </pic:spPr>
                </pic:pic>
              </a:graphicData>
            </a:graphic>
          </wp:anchor>
        </w:drawing>
      </w:r>
    </w:p>
    <w:p>
      <w:pPr>
        <w:ind w:left="583"/>
        <w:spacing w:after="0"/>
        <w:rPr>
          <w:sz w:val="20"/>
          <w:szCs w:val="20"/>
          <w:color w:val="auto"/>
        </w:rPr>
      </w:pPr>
      <w:r>
        <w:rPr>
          <w:rFonts w:ascii="Times New Roman" w:cs="Times New Roman" w:eastAsia="Times New Roman" w:hAnsi="Times New Roman"/>
          <w:sz w:val="18"/>
          <w:szCs w:val="18"/>
          <w:color w:val="auto"/>
        </w:rPr>
        <w:t>2,264,851</w:t>
      </w:r>
    </w:p>
    <w:p>
      <w:pPr>
        <w:spacing w:after="0" w:line="21" w:lineRule="exact"/>
        <w:rPr>
          <w:sz w:val="20"/>
          <w:szCs w:val="20"/>
          <w:color w:val="auto"/>
        </w:rPr>
      </w:pPr>
    </w:p>
    <w:p>
      <w:pPr>
        <w:ind w:left="803"/>
        <w:spacing w:after="0"/>
        <w:rPr>
          <w:sz w:val="20"/>
          <w:szCs w:val="20"/>
          <w:color w:val="auto"/>
        </w:rPr>
      </w:pPr>
      <w:r>
        <w:rPr>
          <w:rFonts w:ascii="Times New Roman" w:cs="Times New Roman" w:eastAsia="Times New Roman" w:hAnsi="Times New Roman"/>
          <w:sz w:val="18"/>
          <w:szCs w:val="18"/>
          <w:color w:val="auto"/>
        </w:rPr>
        <w:t>27,691</w:t>
      </w:r>
    </w:p>
    <w:p>
      <w:pPr>
        <w:spacing w:after="0" w:line="8"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(996,200)</w:t>
      </w:r>
    </w:p>
    <w:p>
      <w:pPr>
        <w:spacing w:after="0" w:line="8" w:lineRule="exact"/>
        <w:rPr>
          <w:sz w:val="20"/>
          <w:szCs w:val="20"/>
          <w:color w:val="auto"/>
        </w:rPr>
      </w:pPr>
    </w:p>
    <w:p>
      <w:pPr>
        <w:ind w:left="583" w:hanging="583"/>
        <w:spacing w:after="0"/>
        <w:tabs>
          <w:tab w:leader="none" w:pos="5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1,296,342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8362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8362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8362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836295" cy="825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7437" w:space="720"/>
            <w:col w:w="3083"/>
          </w:cols>
          <w:pgMar w:left="320" w:top="1088" w:right="339" w:bottom="1440" w:gutter="0" w:footer="0" w:header="0"/>
          <w:type w:val="continuous"/>
        </w:sectPr>
      </w:pPr>
    </w:p>
    <w:p>
      <w:pPr>
        <w:ind w:right="420" w:firstLine="509"/>
        <w:spacing w:after="0" w:line="310" w:lineRule="auto"/>
        <w:rPr>
          <w:sz w:val="20"/>
          <w:szCs w:val="20"/>
          <w:color w:val="auto"/>
        </w:rPr>
      </w:pPr>
      <w:r>
        <w:rPr>
          <w:rFonts w:ascii="Times New Roman" w:cs="Times New Roman" w:eastAsia="Times New Roman" w:hAnsi="Times New Roman"/>
          <w:sz w:val="17"/>
          <w:szCs w:val="17"/>
          <w:color w:val="auto"/>
        </w:rPr>
        <w:t>Of the increases to goodwill from acquisitions in 2025 and 2024 (including opening balance sheet adjustments made in 2025 related to 2024 acquisitions), the Company expects $5.0 million and $36.2 million to be tax-deductible for the years ended December 31, 2025 and 2024, respectively.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6.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72"/>
        </w:trPr>
        <w:tc>
          <w:tcPr>
            <w:tcW w:w="4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41"/>
        </w:trPr>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1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41,359</w:t>
            </w:r>
          </w:p>
        </w:tc>
      </w:tr>
      <w:tr>
        <w:trPr>
          <w:trHeight w:val="21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31,863</w:t>
            </w:r>
          </w:p>
        </w:tc>
      </w:tr>
      <w:tr>
        <w:trPr>
          <w:trHeight w:val="21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Securities litigation insurance receivable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 deposits – current portion</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1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24,321</w:t>
            </w:r>
          </w:p>
        </w:tc>
      </w:tr>
      <w:tr>
        <w:trPr>
          <w:trHeight w:val="21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report receivable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 – current portion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1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28"/>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240,293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135,848</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-24765</wp:posOffset>
            </wp:positionV>
            <wp:extent cx="425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-7620</wp:posOffset>
            </wp:positionV>
            <wp:extent cx="425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-24765</wp:posOffset>
            </wp:positionV>
            <wp:extent cx="425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-7620</wp:posOffset>
            </wp:positionV>
            <wp:extent cx="425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 2025 and 2024 (in thousands):</w:t>
      </w:r>
    </w:p>
    <w:p>
      <w:pPr>
        <w:spacing w:after="0" w:line="324"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3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3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4"/>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8"/>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220,275</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202,550</w:t>
            </w:r>
          </w:p>
        </w:tc>
        <w:tc>
          <w:tcPr>
            <w:tcW w:w="80" w:type="dxa"/>
            <w:vAlign w:val="bottom"/>
            <w:shd w:val="clear" w:color="auto" w:fill="CFF0FC"/>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2,326,108</w:t>
            </w:r>
          </w:p>
        </w:tc>
        <w:tc>
          <w:tcPr>
            <w:tcW w:w="80" w:type="dxa"/>
            <w:vAlign w:val="bottom"/>
          </w:tcPr>
          <w:p>
            <w:pPr>
              <w:spacing w:after="0"/>
              <w:rPr>
                <w:sz w:val="18"/>
                <w:szCs w:val="18"/>
                <w:color w:val="auto"/>
              </w:rPr>
            </w:pPr>
          </w:p>
        </w:tc>
      </w:tr>
      <w:tr>
        <w:trPr>
          <w:trHeight w:val="215"/>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508,188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448,107</w:t>
            </w:r>
          </w:p>
        </w:tc>
        <w:tc>
          <w:tcPr>
            <w:tcW w:w="80" w:type="dxa"/>
            <w:vAlign w:val="bottom"/>
            <w:shd w:val="clear" w:color="auto" w:fill="CFF0FC"/>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772,505</w:t>
            </w:r>
          </w:p>
        </w:tc>
        <w:tc>
          <w:tcPr>
            <w:tcW w:w="80" w:type="dxa"/>
            <w:vAlign w:val="bottom"/>
          </w:tcPr>
          <w:p>
            <w:pPr>
              <w:spacing w:after="0"/>
              <w:rPr>
                <w:sz w:val="18"/>
                <w:szCs w:val="18"/>
                <w:color w:val="auto"/>
              </w:rPr>
            </w:pPr>
          </w:p>
        </w:tc>
      </w:tr>
      <w:tr>
        <w:trPr>
          <w:trHeight w:val="208"/>
        </w:trPr>
        <w:tc>
          <w:tcPr>
            <w:tcW w:w="36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4,116,944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3,749,270</w:t>
            </w:r>
          </w:p>
        </w:tc>
        <w:tc>
          <w:tcPr>
            <w:tcW w:w="80" w:type="dxa"/>
            <w:vAlign w:val="bottom"/>
            <w:shd w:val="clear" w:color="auto" w:fill="CFF0FC"/>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(1,005,732)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(896,077)</w:t>
            </w:r>
          </w:p>
        </w:tc>
      </w:tr>
      <w:tr>
        <w:trPr>
          <w:trHeight w:val="20"/>
        </w:trPr>
        <w:tc>
          <w:tcPr>
            <w:tcW w:w="3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3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3,111,212</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2,853,193</w:t>
            </w:r>
          </w:p>
        </w:tc>
        <w:tc>
          <w:tcPr>
            <w:tcW w:w="80" w:type="dxa"/>
            <w:vAlign w:val="bottom"/>
            <w:shd w:val="clear" w:color="auto" w:fill="CFF0FC"/>
          </w:tcPr>
          <w:p>
            <w:pPr>
              <w:spacing w:after="0"/>
              <w:rPr>
                <w:sz w:val="19"/>
                <w:szCs w:val="19"/>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5090160</wp:posOffset>
            </wp:positionH>
            <wp:positionV relativeFrom="paragraph">
              <wp:posOffset>-24765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-24765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-7620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ind w:right="360" w:firstLine="509"/>
        <w:spacing w:after="0" w:line="264"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non-cash property impairment charges of $10.4 million and $12.4 million, respectively, primarily related to the closure of certain facilities, which is included in loss on impairment in the consolidated statements of operations.</w:t>
      </w:r>
    </w:p>
    <w:p>
      <w:pPr>
        <w:spacing w:after="0" w:line="69"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8"/>
          <w:szCs w:val="18"/>
          <w:color w:val="auto"/>
        </w:rPr>
        <w:t>The Company has recorded assets held for sale within other current assets on the consolidated balance sheets, primarily for closed facilities actively marketed, including two facilities closed during the year ended December 31, 2025, of $60.4 million and $18.5 million at December 31, 2025 and 2024,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identifiable intangible assets consisted of the following at December 31, 2025 and 2024 (in thousands):</w:t>
      </w:r>
    </w:p>
    <w:p>
      <w:pPr>
        <w:spacing w:after="0" w:line="378"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Licenses and accreditations</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80" w:type="dxa"/>
            <w:vAlign w:val="bottom"/>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39,587</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need</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30,158</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-170180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-170180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right="260" w:firstLine="509"/>
        <w:spacing w:after="0" w:line="280" w:lineRule="auto"/>
        <w:rPr>
          <w:sz w:val="20"/>
          <w:szCs w:val="20"/>
          <w:color w:val="auto"/>
        </w:rPr>
      </w:pPr>
      <w:r>
        <w:rPr>
          <w:rFonts w:ascii="Times New Roman" w:cs="Times New Roman" w:eastAsia="Times New Roman" w:hAnsi="Times New Roman"/>
          <w:sz w:val="18"/>
          <w:szCs w:val="18"/>
          <w:color w:val="auto"/>
        </w:rPr>
        <w:t>All the Company’s definite-lived intangible assets are fully amortized. The Company’s licenses and accreditations, trade names and certificate of need intangible assets have indefinite lives and are, therefore, not subject to amortization.</w:t>
      </w:r>
    </w:p>
    <w:p>
      <w:pPr>
        <w:spacing w:after="0" w:line="5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non-cash indefinite-lived intangible asset impairment charges of $0.3 and $3.5 million, respectively, primarily related to the closure of certain facilities, which is included in loss on impairment in the consolidated statements of operations.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192" w:right="39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19" w:lineRule="exact"/>
        <w:rPr>
          <w:sz w:val="20"/>
          <w:szCs w:val="20"/>
          <w:color w:val="auto"/>
        </w:rPr>
      </w:pPr>
    </w:p>
    <w:p>
      <w:pPr>
        <w:jc w:val="both"/>
        <w:ind w:right="40" w:firstLine="509"/>
        <w:spacing w:after="0" w:line="264" w:lineRule="auto"/>
        <w:rPr>
          <w:sz w:val="20"/>
          <w:szCs w:val="20"/>
          <w:color w:val="auto"/>
        </w:rPr>
      </w:pPr>
      <w:r>
        <w:rPr>
          <w:rFonts w:ascii="Times New Roman" w:cs="Times New Roman" w:eastAsia="Times New Roman" w:hAnsi="Times New Roman"/>
          <w:sz w:val="18"/>
          <w:szCs w:val="18"/>
          <w:color w:val="auto"/>
        </w:rPr>
        <w:t>The Company’s lease portfolio primarily consists of finance and operating real estate leases integral for facility operations. The original terms of the leases typically range from five to thirty years with optional renewal periods. A minimal portion of the Company’s lease portfolio consists of non-real estate leases, including copiers and equipment, which generally have lease terms of one to three years and have insignificant lease obligations.</w:t>
      </w:r>
    </w:p>
    <w:p>
      <w:pPr>
        <w:spacing w:after="0" w:line="6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 Company elected the accounting policy practical expedients by class of underlying asset 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(i) combine associated lease and non-lease components into a single lease component; and (ii) exclude recording short-term leases as right-of-use assets and liabilities on the consolidated balance sheets. Non-lease components, which are not significant overall, are combined with lease components.</w:t>
      </w:r>
    </w:p>
    <w:p>
      <w:pPr>
        <w:spacing w:after="0" w:line="6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Operating lease liabilities are recorded at the present value of remaining lease payments not yet paid for the lease term discounted using the incremental borrowing rate associated with each lease. Operating lease right-of-use assets represent operating lease liabilities adjusted for prepayments, accrued lease payments, lease incentives and initial direct costs. Certain of the Company’s leases include renewal or termination options. Calculation of operating lease right-of-use assets and liabilities include the initial lease term unless it is reasonably certain a renewal or termination option will be exercised. Variable components of lease payments fluctuating with a future index or rate, as well as those related to common area maintenance costs, are not included in determining lease liabilities and are expensed as incurred. Most of the Company’s leases do not contain implicit borrowing rates, and therefore, incremental borrowing rates were calculated based on information available at the lease commencement date. The Company reviews service agreements for embedded leases and records right-of-use assets and liabilities as necessary.</w:t>
      </w:r>
    </w:p>
    <w:p>
      <w:pPr>
        <w:spacing w:after="0" w:line="82" w:lineRule="exact"/>
        <w:rPr>
          <w:sz w:val="20"/>
          <w:szCs w:val="20"/>
          <w:color w:val="auto"/>
        </w:rPr>
      </w:pPr>
    </w:p>
    <w:p>
      <w:pPr>
        <w:jc w:val="both"/>
        <w:ind w:right="140" w:firstLine="509"/>
        <w:spacing w:after="0" w:line="264"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recorded non-cash operating lease right-of-use asset impairment charges of $1.0 million and $1.4 million, respectively, related to the closure of certain facilities, which is included in loss on impairment in the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Position</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recorded the following at December 31, 2025 and 2024 on the consolidated balance sheets (in thousands):</w:t>
      </w:r>
    </w:p>
    <w:p>
      <w:pPr>
        <w:spacing w:after="0" w:line="27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78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240" w:type="dxa"/>
            <w:vAlign w:val="bottom"/>
          </w:tcPr>
          <w:p>
            <w:pPr>
              <w:spacing w:after="0"/>
              <w:rPr>
                <w:sz w:val="15"/>
                <w:szCs w:val="15"/>
                <w:color w:val="auto"/>
              </w:rPr>
            </w:pPr>
          </w:p>
        </w:tc>
        <w:tc>
          <w:tcPr>
            <w:tcW w:w="38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40" w:type="dxa"/>
            <w:vAlign w:val="bottom"/>
            <w:vMerge w:val="restart"/>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382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3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134,005</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FF0FC"/>
            </w:tcBorders>
            <w:shd w:val="clear" w:color="auto" w:fill="CFF0FC"/>
          </w:tcPr>
          <w:p>
            <w:pPr>
              <w:spacing w:after="0"/>
              <w:rPr>
                <w:sz w:val="21"/>
                <w:szCs w:val="21"/>
                <w:color w:val="auto"/>
              </w:rPr>
            </w:pPr>
          </w:p>
        </w:tc>
        <w:tc>
          <w:tcPr>
            <w:tcW w:w="3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141,059</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78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240" w:type="dxa"/>
            <w:vAlign w:val="bottom"/>
          </w:tcPr>
          <w:p>
            <w:pPr>
              <w:spacing w:after="0"/>
              <w:rPr>
                <w:sz w:val="24"/>
                <w:szCs w:val="24"/>
                <w:color w:val="auto"/>
              </w:rPr>
            </w:pPr>
          </w:p>
        </w:tc>
        <w:tc>
          <w:tcPr>
            <w:tcW w:w="406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6"/>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29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18"/>
                <w:szCs w:val="18"/>
                <w:color w:val="auto"/>
              </w:rPr>
            </w:pPr>
          </w:p>
        </w:tc>
        <w:tc>
          <w:tcPr>
            <w:tcW w:w="3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3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FF0FC"/>
            </w:tcBorders>
            <w:shd w:val="clear" w:color="auto" w:fill="CFF0FC"/>
          </w:tcPr>
          <w:p>
            <w:pPr>
              <w:spacing w:after="0"/>
              <w:rPr>
                <w:sz w:val="21"/>
                <w:szCs w:val="21"/>
                <w:color w:val="auto"/>
              </w:rPr>
            </w:pPr>
          </w:p>
        </w:tc>
        <w:tc>
          <w:tcPr>
            <w:tcW w:w="3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154,925</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6011545</wp:posOffset>
            </wp:positionH>
            <wp:positionV relativeFrom="paragraph">
              <wp:posOffset>-1390015</wp:posOffset>
            </wp:positionV>
            <wp:extent cx="679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-1372870</wp:posOffset>
            </wp:positionV>
            <wp:extent cx="679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-1390015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-1372870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-24765</wp:posOffset>
            </wp:positionV>
            <wp:extent cx="679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-7620</wp:posOffset>
            </wp:positionV>
            <wp:extent cx="679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-24765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6898640</wp:posOffset>
            </wp:positionH>
            <wp:positionV relativeFrom="paragraph">
              <wp:posOffset>-7620</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Weighted-average remaining lease terms and discount rates were as follows at December 31, 2025 and 2024:</w:t>
      </w:r>
    </w:p>
    <w:p>
      <w:pPr>
        <w:spacing w:after="0" w:line="27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7620</wp:posOffset>
            </wp:positionV>
            <wp:extent cx="24574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gridSpan w:val="2"/>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8"/>
        </w:trPr>
        <w:tc>
          <w:tcPr>
            <w:tcW w:w="1140" w:type="dxa"/>
            <w:vAlign w:val="bottom"/>
          </w:tcPr>
          <w:p>
            <w:pPr>
              <w:spacing w:after="0"/>
              <w:rPr>
                <w:sz w:val="18"/>
                <w:szCs w:val="18"/>
                <w:color w:val="auto"/>
              </w:rPr>
            </w:pPr>
          </w:p>
        </w:tc>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6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10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6.5%</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tcPr>
          <w:p>
            <w:pPr>
              <w:spacing w:after="0"/>
              <w:rPr>
                <w:sz w:val="18"/>
                <w:szCs w:val="18"/>
                <w:color w:val="auto"/>
              </w:rPr>
            </w:pPr>
          </w:p>
        </w:tc>
      </w:tr>
      <w:tr>
        <w:trPr>
          <w:trHeight w:val="645"/>
        </w:trPr>
        <w:tc>
          <w:tcPr>
            <w:tcW w:w="1140" w:type="dxa"/>
            <w:vAlign w:val="bottom"/>
          </w:tcPr>
          <w:p>
            <w:pPr>
              <w:spacing w:after="0"/>
              <w:rPr>
                <w:sz w:val="24"/>
                <w:szCs w:val="24"/>
                <w:color w:val="auto"/>
              </w:rPr>
            </w:pPr>
          </w:p>
        </w:tc>
        <w:tc>
          <w:tcPr>
            <w:tcW w:w="610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F-18</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9"/>
        </w:trPr>
        <w:tc>
          <w:tcPr>
            <w:tcW w:w="11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the following lease costs for the years ended December 31, 2025, 2024 and 2023 (in thousands):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32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0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8"/>
                <w:szCs w:val="18"/>
                <w:color w:val="auto"/>
              </w:rPr>
            </w:pPr>
          </w:p>
        </w:tc>
      </w:tr>
      <w:tr>
        <w:trPr>
          <w:trHeight w:val="215"/>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4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8"/>
                <w:szCs w:val="18"/>
                <w:color w:val="auto"/>
              </w:rPr>
            </w:pPr>
          </w:p>
        </w:tc>
      </w:tr>
      <w:tr>
        <w:trPr>
          <w:trHeight w:val="215"/>
        </w:trPr>
        <w:tc>
          <w:tcPr>
            <w:tcW w:w="3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4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80" w:type="dxa"/>
            <w:vAlign w:val="bottom"/>
          </w:tcPr>
          <w:p>
            <w:pPr>
              <w:spacing w:after="0"/>
              <w:rPr>
                <w:sz w:val="18"/>
                <w:szCs w:val="18"/>
                <w:color w:val="auto"/>
              </w:rPr>
            </w:pPr>
          </w:p>
        </w:tc>
      </w:tr>
      <w:tr>
        <w:trPr>
          <w:trHeight w:val="215"/>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80" w:type="dxa"/>
            <w:vAlign w:val="bottom"/>
            <w:shd w:val="clear" w:color="auto" w:fill="CFF0FC"/>
          </w:tcPr>
          <w:p>
            <w:pPr>
              <w:spacing w:after="0"/>
              <w:rPr>
                <w:sz w:val="18"/>
                <w:szCs w:val="18"/>
                <w:color w:val="auto"/>
              </w:rPr>
            </w:pPr>
          </w:p>
        </w:tc>
      </w:tr>
      <w:tr>
        <w:trPr>
          <w:trHeight w:val="215"/>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tcPr>
          <w:p>
            <w:pPr>
              <w:spacing w:after="0"/>
              <w:rPr>
                <w:sz w:val="18"/>
                <w:szCs w:val="18"/>
                <w:color w:val="auto"/>
              </w:rPr>
            </w:pPr>
          </w:p>
        </w:tc>
      </w:tr>
      <w:tr>
        <w:trPr>
          <w:trHeight w:val="215"/>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lease costs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4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rents and leases</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47,861</w:t>
            </w:r>
          </w:p>
        </w:tc>
        <w:tc>
          <w:tcPr>
            <w:tcW w:w="4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80" w:type="dxa"/>
            <w:vAlign w:val="bottom"/>
          </w:tcPr>
          <w:p>
            <w:pPr>
              <w:spacing w:after="0"/>
              <w:rPr>
                <w:sz w:val="18"/>
                <w:szCs w:val="18"/>
                <w:color w:val="auto"/>
              </w:rPr>
            </w:pPr>
          </w:p>
        </w:tc>
      </w:tr>
      <w:tr>
        <w:trPr>
          <w:trHeight w:val="215"/>
        </w:trPr>
        <w:tc>
          <w:tcPr>
            <w:tcW w:w="3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49,396</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4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-1278890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-1278890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-1278890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-451485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-451485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-451485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-170180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-170180</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-170180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p>
      <w:pPr>
        <w:ind w:right="220" w:firstLine="509"/>
        <w:spacing w:after="0" w:line="280" w:lineRule="auto"/>
        <w:rPr>
          <w:sz w:val="20"/>
          <w:szCs w:val="20"/>
          <w:color w:val="auto"/>
        </w:rPr>
      </w:pPr>
      <w:r>
        <w:rPr>
          <w:rFonts w:ascii="Times New Roman" w:cs="Times New Roman" w:eastAsia="Times New Roman" w:hAnsi="Times New Roman"/>
          <w:sz w:val="18"/>
          <w:szCs w:val="18"/>
          <w:color w:val="auto"/>
        </w:rPr>
        <w:t>Undiscounted future cash flows for finance and operating leases recorded on the consolidated balance sheet were as follows at December 31, 2025 (in thousands):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80" w:type="dxa"/>
            <w:vAlign w:val="bottom"/>
          </w:tcPr>
          <w:p>
            <w:pPr>
              <w:spacing w:after="0"/>
              <w:rPr>
                <w:sz w:val="16"/>
                <w:szCs w:val="16"/>
                <w:color w:val="auto"/>
              </w:rPr>
            </w:pPr>
          </w:p>
        </w:tc>
      </w:tr>
      <w:tr>
        <w:trPr>
          <w:trHeight w:val="214"/>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80" w:type="dxa"/>
            <w:vAlign w:val="bottom"/>
            <w:shd w:val="clear" w:color="auto" w:fill="CFF0FC"/>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26,248</w:t>
            </w:r>
          </w:p>
        </w:tc>
        <w:tc>
          <w:tcPr>
            <w:tcW w:w="80" w:type="dxa"/>
            <w:vAlign w:val="bottom"/>
          </w:tcPr>
          <w:p>
            <w:pPr>
              <w:spacing w:after="0"/>
              <w:rPr>
                <w:sz w:val="18"/>
                <w:szCs w:val="18"/>
                <w:color w:val="auto"/>
              </w:rPr>
            </w:pPr>
          </w:p>
        </w:tc>
      </w:tr>
      <w:tr>
        <w:trPr>
          <w:trHeight w:val="21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80" w:type="dxa"/>
            <w:vAlign w:val="bottom"/>
            <w:shd w:val="clear" w:color="auto" w:fill="CFF0FC"/>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20,252</w:t>
            </w:r>
          </w:p>
        </w:tc>
        <w:tc>
          <w:tcPr>
            <w:tcW w:w="80" w:type="dxa"/>
            <w:vAlign w:val="bottom"/>
          </w:tcPr>
          <w:p>
            <w:pPr>
              <w:spacing w:after="0"/>
              <w:rPr>
                <w:sz w:val="18"/>
                <w:szCs w:val="18"/>
                <w:color w:val="auto"/>
              </w:rPr>
            </w:pPr>
          </w:p>
        </w:tc>
      </w:tr>
      <w:tr>
        <w:trPr>
          <w:trHeight w:val="21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80" w:type="dxa"/>
            <w:vAlign w:val="bottom"/>
            <w:shd w:val="clear" w:color="auto" w:fill="CFF0FC"/>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81,936</w:t>
            </w:r>
          </w:p>
        </w:tc>
        <w:tc>
          <w:tcPr>
            <w:tcW w:w="80" w:type="dxa"/>
            <w:vAlign w:val="bottom"/>
          </w:tcPr>
          <w:p>
            <w:pPr>
              <w:spacing w:after="0"/>
              <w:rPr>
                <w:sz w:val="18"/>
                <w:szCs w:val="18"/>
                <w:color w:val="auto"/>
              </w:rPr>
            </w:pPr>
          </w:p>
        </w:tc>
      </w:tr>
      <w:tr>
        <w:trPr>
          <w:trHeight w:val="20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196,270</w:t>
            </w:r>
          </w:p>
        </w:tc>
        <w:tc>
          <w:tcPr>
            <w:tcW w:w="80" w:type="dxa"/>
            <w:vAlign w:val="bottom"/>
            <w:shd w:val="clear" w:color="auto" w:fill="CFF0FC"/>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53,149</w:t>
            </w:r>
          </w:p>
        </w:tc>
        <w:tc>
          <w:tcPr>
            <w:tcW w:w="80" w:type="dxa"/>
            <w:vAlign w:val="bottom"/>
          </w:tcPr>
          <w:p>
            <w:pPr>
              <w:spacing w:after="0"/>
              <w:rPr>
                <w:sz w:val="18"/>
                <w:szCs w:val="18"/>
                <w:color w:val="auto"/>
              </w:rPr>
            </w:pPr>
          </w:p>
        </w:tc>
      </w:tr>
      <w:tr>
        <w:trPr>
          <w:trHeight w:val="20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143,121</w:t>
            </w:r>
          </w:p>
        </w:tc>
        <w:tc>
          <w:tcPr>
            <w:tcW w:w="80" w:type="dxa"/>
            <w:vAlign w:val="bottom"/>
            <w:shd w:val="clear" w:color="auto" w:fill="CFF0FC"/>
          </w:tcPr>
          <w:p>
            <w:pPr>
              <w:spacing w:after="0"/>
              <w:rPr>
                <w:sz w:val="18"/>
                <w:szCs w:val="18"/>
                <w:color w:val="auto"/>
              </w:rPr>
            </w:pP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80" w:type="dxa"/>
            <w:vAlign w:val="bottom"/>
          </w:tcPr>
          <w:p>
            <w:pPr>
              <w:spacing w:after="0"/>
              <w:rPr>
                <w:sz w:val="18"/>
                <w:szCs w:val="18"/>
                <w:color w:val="auto"/>
              </w:rPr>
            </w:pPr>
          </w:p>
        </w:tc>
      </w:tr>
      <w:tr>
        <w:trPr>
          <w:trHeight w:val="248"/>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8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5098415</wp:posOffset>
            </wp:positionH>
            <wp:positionV relativeFrom="paragraph">
              <wp:posOffset>-24765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5098415</wp:posOffset>
            </wp:positionH>
            <wp:positionV relativeFrom="paragraph">
              <wp:posOffset>-7620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data for the years ended December 31, 2025, 2024 and 2023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5"/>
        </w:trPr>
        <w:tc>
          <w:tcPr>
            <w:tcW w:w="11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472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1140" w:type="dxa"/>
            <w:vAlign w:val="bottom"/>
          </w:tcPr>
          <w:p>
            <w:pPr>
              <w:spacing w:after="0"/>
              <w:rPr>
                <w:sz w:val="20"/>
                <w:szCs w:val="20"/>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36,141</w:t>
            </w:r>
          </w:p>
        </w:tc>
        <w:tc>
          <w:tcPr>
            <w:tcW w:w="28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43,792</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2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627"/>
        </w:trPr>
        <w:tc>
          <w:tcPr>
            <w:tcW w:w="1140" w:type="dxa"/>
            <w:vAlign w:val="bottom"/>
          </w:tcPr>
          <w:p>
            <w:pPr>
              <w:spacing w:after="0"/>
              <w:rPr>
                <w:sz w:val="24"/>
                <w:szCs w:val="24"/>
                <w:color w:val="auto"/>
              </w:rPr>
            </w:pPr>
          </w:p>
        </w:tc>
        <w:tc>
          <w:tcPr>
            <w:tcW w:w="472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9"/>
        </w:trPr>
        <w:tc>
          <w:tcPr>
            <w:tcW w:w="11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10. The CARES Act</w:t>
      </w:r>
    </w:p>
    <w:p>
      <w:pPr>
        <w:spacing w:after="0" w:line="119" w:lineRule="exact"/>
        <w:rPr>
          <w:sz w:val="20"/>
          <w:szCs w:val="20"/>
          <w:color w:val="auto"/>
        </w:rPr>
      </w:pPr>
    </w:p>
    <w:p>
      <w:pPr>
        <w:jc w:val="both"/>
        <w:ind w:right="100" w:firstLine="509"/>
        <w:spacing w:after="0" w:line="275" w:lineRule="auto"/>
        <w:rPr>
          <w:sz w:val="20"/>
          <w:szCs w:val="20"/>
          <w:color w:val="auto"/>
        </w:rPr>
      </w:pPr>
      <w:r>
        <w:rPr>
          <w:rFonts w:ascii="Times New Roman" w:cs="Times New Roman" w:eastAsia="Times New Roman" w:hAnsi="Times New Roman"/>
          <w:sz w:val="17"/>
          <w:szCs w:val="17"/>
          <w:color w:val="auto"/>
        </w:rPr>
        <w:t xml:space="preserve">As part of the Coronavirus Aid, Relief and Economic Security Act (the “CARES Act”), the U.S. government announced it would offer $100 billion of relief to eligible healthcare providers. The Company accounts for government grants by analogizing to the grant model in accordance with International Accounting Standard 20, </w:t>
      </w:r>
      <w:r>
        <w:rPr>
          <w:rFonts w:ascii="Times New Roman" w:cs="Times New Roman" w:eastAsia="Times New Roman" w:hAnsi="Times New Roman"/>
          <w:sz w:val="17"/>
          <w:szCs w:val="17"/>
          <w:i w:val="1"/>
          <w:iCs w:val="1"/>
          <w:color w:val="auto"/>
        </w:rPr>
        <w:t>Accounting for Government Grants and Disclosure of Government Assistance</w:t>
      </w:r>
      <w:r>
        <w:rPr>
          <w:rFonts w:ascii="Times New Roman" w:cs="Times New Roman" w:eastAsia="Times New Roman" w:hAnsi="Times New Roman"/>
          <w:sz w:val="17"/>
          <w:szCs w:val="17"/>
          <w:color w:val="auto"/>
        </w:rPr>
        <w:t>, and as such, has recognized income from grants in line with the recognition of expenses or the loss of revenues for which the grants are intended to compensate. The Company recognizes grants once both of the following conditions are met: (i) the Company is able to comply with the relevant terms and conditions of the grant and (ii) the grant will be received.</w:t>
      </w:r>
    </w:p>
    <w:p>
      <w:pPr>
        <w:spacing w:after="0" w:line="6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The Company has participated in certain relief programs offered through the CARES Act, including receipt of funds relating to the Public Health and Social Services Emergency Fund (“PHSSE Fund”), also known as the Provider Relief Fund, and the American Rescue Plan (“ARP”) Rural Payments for Hospitals. During the year ended December 31, 2023, the Company recorded $6.4 million of income from provider relief fund related to ARP funds received and repaid the remaining balance of ARP funds to eliminate the liability.</w:t>
      </w:r>
    </w:p>
    <w:p>
      <w:pPr>
        <w:spacing w:after="0" w:line="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were required to sign an attestation confirming receipt of the PHSSE Fund amounts and agree to the terms and conditions of payment. Under the terms and conditions for receipt of the payment, the Company was allowed to use the funds to cover lost revenues and healthcare costs related to the novel coronavirus known as COVID-19 (“COVID-19”), and the Company was required to properly and fully document the use of these funds to the U.S. Department of Health and Human Services (the “HHS”). The reporting of these funds is subject to future audit for compliance with the terms and conditions. The Company recognized PHSSE Fund amounts to the extent it had qualifying COVID-19 expenses or lost revenues as permitted under the terms and conditions.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is, from time to time, subject to various claims, lawsuits, governmental investigations and regulatory actions, including claims for damages for personal injuries, medical malpractice, overpayments, breach of contract, securities law violations, tort and employment related claims. In these actions, plaintiffs request a variety of damages, including, in some instances, punitive and other types of damages that may not be covered by insurance. In addition, healthcare companies are subject to numerous investigations by various governmental agencies. Certain of the Company’s individual facilities have received, and from time to time, other facilities may receive, subpoenas, civil investigative demands, audit requests and other inquiries from, and may be subject to investigation by, federal and state agencies. These investigations can result in repayment obligations and violations of the federal False Claims Act can result in substantial monetary penalties and fines, the imposition of a corporate integrity agreement and exclusion from participation in governmental health programs. In addition, the False Claims Act permits private parties to bring qui tam, or “whistleblower,” suits against companies that submit false claims for payments to, or improperly retain overpayments from, the government. Some states have adopted similar state whistleblower and false claims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Desert Hills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October 2018 to August 2020, the Company, its subsidiary Youth and Family Centered Services of New Mexico, Inc. (“Desert Hills”), and FamilyWorks, a not-for-profit treatment foster care program to which Desert Hills provided management services, including day-to-day administration of the program, via a management services agreement, were among a number of defendants named in five lawsuits (collectively, the “Desert Hills Litigation”) filed in New Mexico State District Court (the “District Court”). These lawsuits each related to abuse by a foster parent, Clarence Garcia, that occurred in foster homes where FamilyWorks had placed children. In 2021, the Company finalized out-of-court settlements for two of the five cases for amounts covered under the Company’s professional liability insurance: Dorsey, as Guardian ad Litem of M.R. v. Clarence Garcia, et al. (the “M.R. case”), and Higgins, as Guardian ad Litem of J.H. v. Clarence Garcia, et al(the “J.H. case”). While the plaintiffs in those two cases had claims pending against FamilyWorks, and FamilyWorks had raised claims or potential claims against the Company, the parties in each of those cases finalized settlements that resolved all claims between FamilyWorks and the Company. The District Court approved the settlement in the J.H. case on June 10, 2024 and the settlement in the M.R. case on August 12, 2024.</w:t>
      </w:r>
    </w:p>
    <w:p>
      <w:pPr>
        <w:spacing w:after="0" w:line="8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8"/>
          <w:szCs w:val="18"/>
          <w:color w:val="auto"/>
        </w:rPr>
        <w:t>On July 7, 2023, in connection with one of the lawsuits in the Desert Hills Litigation styled Inman v. Garcia, et al., Case No. D-117-CV-2019-00136 (the “Inman Litigation”), a jury awarded the plaintiff compensatory damages of $80.0 million and punitive damages of $405.0 million. This award far exceeded the Company’s reasonable expectation based on the previously resolved complaints and far exceeded any precedent for comparable cases.</w:t>
      </w:r>
    </w:p>
    <w:p>
      <w:pPr>
        <w:spacing w:after="0" w:line="6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8"/>
          <w:szCs w:val="18"/>
          <w:color w:val="auto"/>
        </w:rPr>
        <w:t>On October 30, 2023, the Company and Desert Hills entered into settlement agreements in connection with the Inman Litigation, as well as two other related cases – Rael v. Garcia, et al., Case No. D-117-CV-2019-00135 and Endicott-Quinones v. Garcia, et al., Case No. D-117-CV-2019-00137 (together with the Inman Litigation, the “Cases”).</w:t>
      </w:r>
    </w:p>
    <w:p>
      <w:pPr>
        <w:spacing w:after="0" w:line="69" w:lineRule="exact"/>
        <w:rPr>
          <w:sz w:val="20"/>
          <w:szCs w:val="20"/>
          <w:color w:val="auto"/>
        </w:rPr>
      </w:pPr>
    </w:p>
    <w:p>
      <w:pPr>
        <w:ind w:right="700" w:firstLine="509"/>
        <w:spacing w:after="0" w:line="280" w:lineRule="auto"/>
        <w:rPr>
          <w:sz w:val="20"/>
          <w:szCs w:val="20"/>
          <w:color w:val="auto"/>
        </w:rPr>
      </w:pPr>
      <w:r>
        <w:rPr>
          <w:rFonts w:ascii="Times New Roman" w:cs="Times New Roman" w:eastAsia="Times New Roman" w:hAnsi="Times New Roman"/>
          <w:sz w:val="18"/>
          <w:szCs w:val="18"/>
          <w:color w:val="auto"/>
        </w:rPr>
        <w:t>The settlement agreements for the Cases were approved by the District Court in December 2023 and fully resolve each of the Cases with no admission of liability or wrongdoing by either the Company or Desert Hills. On January 19, 2024, pursuant to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3" w:name="page84"/>
    <w:bookmarkEnd w:id="83"/>
    <w:p>
      <w:pPr>
        <w:ind w:right="20"/>
        <w:spacing w:after="0" w:line="264" w:lineRule="auto"/>
        <w:rPr>
          <w:sz w:val="20"/>
          <w:szCs w:val="20"/>
          <w:color w:val="auto"/>
        </w:rPr>
      </w:pPr>
      <w:r>
        <w:rPr>
          <w:rFonts w:ascii="Times New Roman" w:cs="Times New Roman" w:eastAsia="Times New Roman" w:hAnsi="Times New Roman"/>
          <w:sz w:val="18"/>
          <w:szCs w:val="18"/>
          <w:color w:val="auto"/>
        </w:rPr>
        <w:t>terms of the settlement agreements, the Company paid an aggregate amount of $400.0 million in exchange for the release and discharge of all claims arising from, relating to, concerning or with respect to all harm, injuries or damages asserted in the Cases or that may be asserted in the future by the plaintiffs in the Cases.</w:t>
      </w:r>
    </w:p>
    <w:p>
      <w:pPr>
        <w:spacing w:after="0" w:line="6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January 30, 2024, a sixth lawsuit styled CNRAG, Inc. as Legal Guardian of A.C. v. Garcia et al., No. D-117-CV-2024-00045 was filed in the District Court alleging similar claims as the previous five lawsuits in the Desert Hills Litigation. The ward in this sixth lawsuit was referenced in prior criminal charges against Garcia in January 2019; however, prior to this lawsuit, neither the ward nor guardian made contact with the Company about a possible claim. The Company determined that a lawsuit from this plaintiff was unlikely because no claims had ever been asserted and the statute of limitations had expired. Plaintiff’s allegations assert certain claims, which, if true, may toll the statute of limitations. At this time, the Company is not able to reasonably estimate the amount or range of the ultimate liability, if any, in connection with this sixth lawsuit. No additional victims are referenced in the prior criminal charges against Garcia.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April 1, 2019, a consolidated complaint was filed against the Company and certain former and current officers in the lawsuit styled St. Clair County Employees’ Retirement System v. Acadia Healthcare Company, Inc., et al., Case No. 3:19-cv-00988, which is pending in the United States District Court for the Middle District of Tennessee (the “2019 Securities Litigation”). The complaint is brought on behalf of a class consisting of all persons (other than defendants) who purchased securities of the Company between April 30, 2014, and November 15, 2018, and alleges that defendants violated Sections 10(b) and 20(a) of the Securities Exchange Act of 1934, as amended (the “Exchange Act”), and Rule 10b-5 promulgated thereunder. On September 30, 2022, the court entered an order certifying a class consisting of all persons who purchased or otherwise acquired the common stock of the Company between April 30, 2014, and November 15, 2018. On November 24, 2025, the parties entered into a stipulation of settlement of the matter pursuant to which defendants agreed to pay $179.0 million in exchange for a release of liability, $147.5 million of which is included in legal settlements expense in the consolidated statements of operations and $31.5 million of which will be reimbursed under the Company’s insurance coverage, the receivable for which is included in other current assets on the consolidated balance sheet. On January 15, 2026, the court entered an order preliminarily approving the settlement and setting a final approval hearing for April 29, 2026.</w:t>
      </w:r>
    </w:p>
    <w:p>
      <w:pPr>
        <w:spacing w:after="0" w:line="8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On July 10, 2025, a consolidated class action complaint was filed against the Company and certain former and current officers in the consolidated lawsuit styled Kachrodia v. Acadia Healthcare Company, Inc., et al., Case No. 3:24-cv-01238, which is pending in the United States District Court for the Middle District of Tennessee. The complaint is brought on behalf of a putative class consisting of all persons (other than defendants) who purchased or otherwise acquired publicly traded securities of the Company between February 8, 2020 and February 27, 2025. The complaint alleges that defendants violated Sections 10(b) and 20(a) of the Exchange Act and Rule 10b-5 promulgated thereunder. Defendants filed a motion to dismiss the consolidated complaint on September 8, 2025. The motion has been fully briefed as of December 22, 2025. The court has not yet ruled on the motion. At this time, the Company is not able to reasonably estimate the amount or range of the ultimate liability, if any, in connection with this action.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19"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On February 21, 2019, a purported stockholder filed a related derivative action on behalf of the Company against certain former and current officers and directors in the lawsuit styled Davydov v. Jacobs, et al., Case No. 3:19-cv-00167, which is pending in the United States District Court for the Middle District of Tennessee. The complaint alleges claims for violations of Section 10(b) and 14(a) of the Exchange Act, breach of fiduciary duty, waste of corporate assets, and unjust enrichment. On May 23, 2019, a purported stockholder filed a second related derivative action on behalf of the Company against certain former and current officers and directors in the lawsuit styled Beard v. Jacobs, et al., Case No. 3:19-cv-0441, which is pending the United States District Court for the Middle District of Tennessee. The complaint alleges claims for violations of Sections 10(b), 14(a), and 21D of the Exchange Act, breach of fiduciary duty, waste of corporate assets, unjust enrichment, and insider selling. On June 11, 2019, the Davydov and Beard actions were consolidated. On February 22, 2021, the court entered an order staying the case. On October 23, 2020, a purported stockholder filed a third related derivative action on behalf of the Company against former and current officers and directors in the lawsuit styled Pfenning v. Jacobs, et al., Case No. 2020-0915-NAC, which is pending in the Court of Chancery of the State of Delaware. The complaint alleges claims for breach of fiduciary duty. On February 17, 2021, the court entered an order staying the case. On February 24, 2021, a purported stockholder filed a fourth derivative action on behalf of the Company against former and current officers and directors in the lawsuit styled Solak v. Jacobs, et al., Case No. 2021-0163-NAC, which is pending in the Court of Chancery of the State of Delaware. The complaint alleges claims for breach of fiduciary duty, unjust enrichment, waste of corporate assets, and insider selling. The parties to these derivative cases are in active negotiation of a settlement of all of the cases. Based on the nature of the actions, the Company does not expect to incur a material loss.</w:t>
      </w:r>
    </w:p>
    <w:p>
      <w:pPr>
        <w:spacing w:after="0" w:line="85"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On February 14, 2025, a purported stockholder filed a related derivative action on behalf of the Company against certain former and current officers and directors in the lawsuit styled Kachrodia v. Osteen, et al., Case No. 3:25-cv-00172, which is pending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4" w:name="page85"/>
    <w:bookmarkEnd w:id="84"/>
    <w:p>
      <w:pPr>
        <w:ind w:right="260"/>
        <w:spacing w:after="0" w:line="264" w:lineRule="auto"/>
        <w:rPr>
          <w:sz w:val="20"/>
          <w:szCs w:val="20"/>
          <w:color w:val="auto"/>
        </w:rPr>
      </w:pPr>
      <w:r>
        <w:rPr>
          <w:rFonts w:ascii="Times New Roman" w:cs="Times New Roman" w:eastAsia="Times New Roman" w:hAnsi="Times New Roman"/>
          <w:sz w:val="18"/>
          <w:szCs w:val="18"/>
          <w:color w:val="auto"/>
        </w:rPr>
        <w:t>in the United States District Court for the Middle District of Tennessee. The complaint alleges claims for violations of Section 10(b) and 21D of the Exchange Act, breach of fiduciary duty, insider selling, unjust enrichment, and waste of corporate assets. Based on the nature of the action, the Company does not expect to incur a material loss.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Investigation</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fall of 2017, the Office of Inspector General of the HHS (the “OIG”) issued subpoenas to three of the Company’s facilities requesting certain documents from January 2013 to the date of the subpoenas. The U.S. Attorney’s Office for the Middle District of Florida issued a civil investigative demand to one of the Company’s facilities in December 2017 requesting certain documents from November 2012 to the date of the demand. In April 2019, the OIG issued subpoenas relating to six additional facilities requesting certain documents and information from January 2013 to the date of the subpoenas. In June 2023, the State of Nevada issued a subpoena relating to one of the same facilities as part of the same investigation. The government’s investigation of each of these facilities (collectively, the “2017 OIG/DOJ Investigation”) focused on claims not eligible for payment because of alleged violations of certain regulatory requirements relating to, among other things, medical necessity, admission eligibility, discharge decisions, length of stay and patient care issues. On September 23, 2024, the Company entered into a civil settlement agreement with the federal government (the “2017 OIG/DOJ Settlement Agreement”), which fully resolved the 2017 OIG/DOJ Investigation with no admission of liability or wrongdoing by the Company. During the year ended December 31, 2024, pursuant to the 2017 OIG/DOJ Settlement Agreement, the Company paid $19.9 million, plus interest, to the federal government and four states that participated in the 2017 OIG/DOJ Investigation in exchange for the release and discharge of any civil or administrative monetary claims arising from the 2017 OIG/DOJ Investigation.</w:t>
      </w:r>
    </w:p>
    <w:p>
      <w:pPr>
        <w:spacing w:after="0" w:line="7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September 2024, the Company received a grand jury subpoena from the United States District Court for the Western District of Missouri (the “W.D.Mo.”), issued by attorneys from the Criminal Division of the U.S. Department of Justice (the “DOJ Criminal Division”), related to the Company’s acute care service line and related admissions, length of stay and billing practices. In addition, Lakeland Hospital Acquisition, LLC, a subsidiary of the Company, also received a grand jury subpoena from the W.D.Mo. on the same day regarding similar subject matter. The Company had also received requests in September 2024 for information on similar subject matter from the United States Attorney’s Office for the Southern District of New York, which were withdrawn in the same month. The investigation is being led by attorneys from the DOJ Criminal Division. The DOJ Criminal Division withdrew its subpoenas in October 2024, then re-issued subpoenas regarding the same subject matter in December 2024. The DOJ Criminal Division is leading and coordinating the efforts from a number of federal agencies and departments investigating such issues, any of which might later make their own requests for information. The Company has also received subpoenas from the United States Securities and Exchange Commission (the “SEC”) requesting similar information as well as information relating to the CTC service line. The Company is currently conducting a comprehensive internal investigation using external advisors, but, at this time, no findings or conclusions have been made. The Company is fully cooperating with authorities, including active engagement with the DOJ Criminal Division and the SEC. At this time, the Company cannot speculate on whether the outcome of these investigations will have any impact on its business or operations and cannot reasonably estimate the amount or range of the ultimate liability, if any, in connection with these investigations.</w:t>
      </w:r>
    </w:p>
    <w:p>
      <w:pPr>
        <w:spacing w:after="0" w:line="87" w:lineRule="exact"/>
        <w:rPr>
          <w:sz w:val="20"/>
          <w:szCs w:val="20"/>
          <w:color w:val="auto"/>
        </w:rPr>
      </w:pPr>
    </w:p>
    <w:p>
      <w:pPr>
        <w:ind w:right="80" w:firstLine="749"/>
        <w:spacing w:after="0" w:line="264" w:lineRule="auto"/>
        <w:rPr>
          <w:sz w:val="20"/>
          <w:szCs w:val="20"/>
          <w:color w:val="auto"/>
        </w:rPr>
      </w:pPr>
      <w:r>
        <w:rPr>
          <w:rFonts w:ascii="Times New Roman" w:cs="Times New Roman" w:eastAsia="Times New Roman" w:hAnsi="Times New Roman"/>
          <w:sz w:val="18"/>
          <w:szCs w:val="18"/>
          <w:color w:val="auto"/>
        </w:rPr>
        <w:t>Certain members of the United States Congress have requested, and such members or other members may in the future request, information from or about the Company related to, among other things, the Company’s admissions, length of stay, billing practices, and opioid treatment programs. The Company intends to cooperate with any such request. At this time, the Company cannot speculate on the outcome or duration of any such inquiries.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Accrued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r>
      <w:tr>
        <w:trPr>
          <w:trHeight w:val="141"/>
        </w:trPr>
        <w:tc>
          <w:tcPr>
            <w:tcW w:w="1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spacing w:after="0"/>
              <w:rPr>
                <w:sz w:val="12"/>
                <w:szCs w:val="12"/>
                <w:color w:val="auto"/>
              </w:rPr>
            </w:pPr>
          </w:p>
        </w:tc>
      </w:tr>
      <w:tr>
        <w:trPr>
          <w:trHeight w:val="208"/>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38,759</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Insurance liability – current portion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report payable</w:t>
            </w:r>
          </w:p>
        </w:tc>
        <w:tc>
          <w:tcPr>
            <w:tcW w:w="2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680" w:type="dxa"/>
            <w:vAlign w:val="bottom"/>
          </w:tcPr>
          <w:p>
            <w:pPr>
              <w:spacing w:after="0"/>
              <w:rPr>
                <w:sz w:val="18"/>
                <w:szCs w:val="18"/>
                <w:color w:val="auto"/>
              </w:rPr>
            </w:pPr>
          </w:p>
        </w:tc>
      </w:tr>
      <w:tr>
        <w:trPr>
          <w:trHeight w:val="248"/>
        </w:trPr>
        <w:tc>
          <w:tcPr>
            <w:tcW w:w="170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136,555</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1680" w:type="dxa"/>
            <w:vAlign w:val="bottom"/>
          </w:tcPr>
          <w:p>
            <w:pPr>
              <w:spacing w:after="0"/>
              <w:rPr>
                <w:sz w:val="21"/>
                <w:szCs w:val="21"/>
                <w:color w:val="auto"/>
              </w:rPr>
            </w:pPr>
          </w:p>
        </w:tc>
      </w:tr>
      <w:tr>
        <w:trPr>
          <w:trHeight w:val="626"/>
        </w:trPr>
        <w:tc>
          <w:tcPr>
            <w:tcW w:w="1700" w:type="dxa"/>
            <w:vAlign w:val="bottom"/>
          </w:tcPr>
          <w:p>
            <w:pPr>
              <w:spacing w:after="0"/>
              <w:rPr>
                <w:sz w:val="24"/>
                <w:szCs w:val="24"/>
                <w:color w:val="auto"/>
              </w:rPr>
            </w:pPr>
          </w:p>
        </w:tc>
        <w:tc>
          <w:tcPr>
            <w:tcW w:w="314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59"/>
        </w:trPr>
        <w:tc>
          <w:tcPr>
            <w:tcW w:w="17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-929640</wp:posOffset>
            </wp:positionV>
            <wp:extent cx="425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5192395</wp:posOffset>
            </wp:positionH>
            <wp:positionV relativeFrom="paragraph">
              <wp:posOffset>-912495</wp:posOffset>
            </wp:positionV>
            <wp:extent cx="425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-929640</wp:posOffset>
            </wp:positionV>
            <wp:extent cx="425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-912495</wp:posOffset>
            </wp:positionV>
            <wp:extent cx="425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13. Long-Term 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72"/>
        </w:trPr>
        <w:tc>
          <w:tcPr>
            <w:tcW w:w="4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Loan A</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637,813</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Prior Credit Facility: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Term Loan A</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5.500% Senior Notes due 2028</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5.000% Senior Notes due 2029</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7.375% Senior Notes Due 2033</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5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Less: unamortized debt issuance costs, discount and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(16,846)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(8,947)</w:t>
            </w:r>
          </w:p>
        </w:tc>
        <w:tc>
          <w:tcPr>
            <w:tcW w:w="0" w:type="dxa"/>
            <w:vAlign w:val="bottom"/>
          </w:tcPr>
          <w:p>
            <w:pPr>
              <w:spacing w:after="0"/>
              <w:rPr>
                <w:sz w:val="1"/>
                <w:szCs w:val="1"/>
                <w:color w:val="auto"/>
              </w:rPr>
            </w:pPr>
          </w:p>
        </w:tc>
      </w:tr>
      <w:tr>
        <w:trPr>
          <w:trHeight w:val="22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2,499,967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1,956,909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2,471,529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-24765</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-24765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On February 28, 2025 (the “Credit Facility Closing Date”), the Company entered into a new credit agreement (the “Credit Agreement”), which provides for a $1.0 billion senior secured revolving credit facility (including a $50.0 million sublimit for the issuance of letters of credit and a $50.0 million swingline subfacility) (the “Revolving Facility”) and a $650.0 million senior secured term loan facility (the “Term Loan Facility,” and, together with the Revolving Facility, the “Credit Facility”), each maturing on February 28, 2030.</w:t>
      </w:r>
    </w:p>
    <w:p>
      <w:pPr>
        <w:spacing w:after="0" w:line="11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8"/>
          <w:szCs w:val="18"/>
          <w:color w:val="auto"/>
        </w:rPr>
        <w:t>On the Credit Facility Closing Date, the full $650.0 million amount of the Term Loan Facility was funded, and $550.0 million was funded under the Revolving Facility, which amounts were used, among other things, to refinance the outstanding obligations under the Prior Credit Facility (as defined below).</w:t>
      </w:r>
    </w:p>
    <w:p>
      <w:pPr>
        <w:spacing w:after="0" w:line="9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equal to, at the Company’s option, either (i) a Secured Overnight Financing Rate (“SOFR”) -based rate plus a margin ranging from 1.375% to 2.250% or (ii) a base rate plus a margin ranging from 0.375% to 1.250%, in each case, depending on the Company’s Consolidated Total Net Leverage Ratio (as defined in the Credit Agreement). In addition, an unused fee that varies according to the Company’s Consolidated Total Net Leverage Ratio ranging from 0.200% to 0.350% is payable quarterly in arrears based on the average daily undrawn portion of the commitments in respect of the Revolving Facility. The Term Loan Facility requires quarterly principal repayments of $4.1 million through March 31, 2026, $8.1 million from June 30, 2026 to March 31, 2028, $12.2 million from June 30, 2028 to March 31, 2029 and $16.3 million from June 30, 2029 to December 31, 2029, with the remaining outstanding principal balance of the Term Loan Facility due on the maturity date of February 28, 2030.</w:t>
      </w:r>
    </w:p>
    <w:p>
      <w:pPr>
        <w:spacing w:after="0" w:line="12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has the ability to increase the amount of the Credit Facility, which may take the form of increases to the Revolving Facility or the Term Loan Facility or the issuance of one or more incremental term loan facilities (collectively, the “Incremental Facilities”), upon obtaining additional commitments from new or existing lenders and the satisfaction of certain customary conditions precedent for such Incremental Facilities. Such Incremental Facilities may not exceed the sum of (i) the greater of $710.0 million and an amount equal to 100% of the LTM Consolidated EBITDA (as defined in the Credit Agreement) of the Company at the time of determination and (ii) additional amounts that would not cause the Company’s Consolidated Senior Secured Net Leverage Ratio (as defined in the Credit Agreement) to exceed 4.0 to 1.0.</w:t>
      </w:r>
    </w:p>
    <w:p>
      <w:pPr>
        <w:spacing w:after="0" w:line="118" w:lineRule="exact"/>
        <w:rPr>
          <w:sz w:val="20"/>
          <w:szCs w:val="20"/>
          <w:color w:val="auto"/>
        </w:rPr>
      </w:pPr>
    </w:p>
    <w:p>
      <w:pPr>
        <w:jc w:val="both"/>
        <w:ind w:right="140" w:firstLine="509"/>
        <w:spacing w:after="0" w:line="259" w:lineRule="auto"/>
        <w:rPr>
          <w:sz w:val="20"/>
          <w:szCs w:val="20"/>
          <w:color w:val="auto"/>
        </w:rPr>
      </w:pPr>
      <w:r>
        <w:rPr>
          <w:rFonts w:ascii="Times New Roman" w:cs="Times New Roman" w:eastAsia="Times New Roman" w:hAnsi="Times New Roman"/>
          <w:sz w:val="18"/>
          <w:szCs w:val="18"/>
          <w:color w:val="auto"/>
        </w:rPr>
        <w:t>Subject to certain exceptions, substantially all of the Company’s existing and subsequently acquired or organized direct and indirect wholly-owned U.S. subsidiaries are required to guarantee the repayment of the Company’s obligations under the Credit Agreement. The obligations of the Company and such guarantor subsidiaries are secured by a pledge of substantially all assets of the Company and such guarantor subsidiaries (excluding all real property and certain other customarily excluded assets).</w:t>
      </w:r>
    </w:p>
    <w:p>
      <w:pPr>
        <w:spacing w:after="0" w:line="10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and negative covenants, including limitations on the ability of the Company and its subsidiaries to: (i) incur debt; (ii) permit additional liens; (iii) make investments and acquisitions; (iv) merge or consolidate with others; (v) dispose of assets; (vi) pay dividends and distributions; (vii) pay junior</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86" w:name="page87"/>
    <w:bookmarkEnd w:id="86"/>
    <w:p>
      <w:pPr>
        <w:ind w:right="40"/>
        <w:spacing w:after="0" w:line="254" w:lineRule="auto"/>
        <w:rPr>
          <w:sz w:val="20"/>
          <w:szCs w:val="20"/>
          <w:color w:val="auto"/>
        </w:rPr>
      </w:pPr>
      <w:r>
        <w:rPr>
          <w:rFonts w:ascii="Times New Roman" w:cs="Times New Roman" w:eastAsia="Times New Roman" w:hAnsi="Times New Roman"/>
          <w:sz w:val="18"/>
          <w:szCs w:val="18"/>
          <w:color w:val="auto"/>
        </w:rPr>
        <w:t>indebtedness; and (viii) enter into affiliate transactions, in each case, subject to customary exceptions. In addition, the Credit Agreement contains financial covenants requiring the Company to maintain, on a consolidated basis as of the last day of each quarterly period, a Consolidated Total Net Leverage Ratio of not more than 5.0 to 1.0 (which may be increased in connection with a material acquisition to 5.5 to 1.0 for a four quarter period up to three times during the term of the Credit Agreement) and a Consolidated Interest Coverage Ratio (as defined in the Credit Agreement) of at least 3.0 to 1.0. The Credit Agreement also includes events of default customary for facilities of this type and upon the occurrence of such events of default, among other things, all outstanding loans under the Credit Agreement may be accelerated, lenders commitments terminated, and/or the lenders may exercise collateral remedies. At December 31, 2025, the Company was in compliance with all financial covenants.</w:t>
      </w:r>
    </w:p>
    <w:p>
      <w:pPr>
        <w:spacing w:after="0" w:line="119" w:lineRule="exact"/>
        <w:rPr>
          <w:sz w:val="20"/>
          <w:szCs w:val="20"/>
          <w:color w:val="auto"/>
        </w:rPr>
      </w:pPr>
    </w:p>
    <w:p>
      <w:pPr>
        <w:ind w:right="240" w:firstLine="509"/>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2025, the Company borrowed $954.0 million on the Revolving Facility and repaid $550.0 million of the balance outstanding.</w:t>
      </w:r>
    </w:p>
    <w:p>
      <w:pPr>
        <w:spacing w:after="0" w:line="55"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At December 31, 2025, the Company had $594.8 million of availability under the Revolving Facility and had standby letters of credit outstanding of $1.2 million related to security for multiple development projects.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Facility</w:t>
      </w:r>
    </w:p>
    <w:p>
      <w:pPr>
        <w:spacing w:after="0" w:line="119" w:lineRule="exact"/>
        <w:rPr>
          <w:sz w:val="20"/>
          <w:szCs w:val="20"/>
          <w:color w:val="auto"/>
        </w:rPr>
      </w:pPr>
    </w:p>
    <w:p>
      <w:pPr>
        <w:ind w:right="360" w:firstLine="509"/>
        <w:spacing w:after="0" w:line="259" w:lineRule="auto"/>
        <w:rPr>
          <w:sz w:val="20"/>
          <w:szCs w:val="20"/>
          <w:color w:val="auto"/>
        </w:rPr>
      </w:pPr>
      <w:r>
        <w:rPr>
          <w:rFonts w:ascii="Times New Roman" w:cs="Times New Roman" w:eastAsia="Times New Roman" w:hAnsi="Times New Roman"/>
          <w:sz w:val="18"/>
          <w:szCs w:val="18"/>
          <w:color w:val="auto"/>
        </w:rPr>
        <w:t>On March 17, 2021, the Company entered into a credit agreement (as amended, the “Prior Credit Facility”), which provided for a $600.0 million senior secured revolving credit facility (the “Prior Revolving Facility”) and a senior secured term loan facility in an initial principal amount of $425.0 million, which amount was later increased by $350.0 million (as increased, the “Prior Term Loan Facility”), each of which was scheduled to mature on March 17, 2026. The Prior Revolving Facility further provided for a $20.0 million subfacility for the issuance of letters of credit.</w:t>
      </w:r>
    </w:p>
    <w:p>
      <w:pPr>
        <w:spacing w:after="0" w:line="74" w:lineRule="exact"/>
        <w:rPr>
          <w:sz w:val="20"/>
          <w:szCs w:val="20"/>
          <w:color w:val="auto"/>
        </w:rPr>
      </w:pPr>
    </w:p>
    <w:p>
      <w:pPr>
        <w:ind w:right="320" w:firstLine="509"/>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2025, the Company borrowed $115.0 million on the Prior Revolving Facility and repaid $485.0 million of the balance outstanding prior to February 28, 2025, when the Prior Credit Facility was refinanced with the Credit Facility. For the year ended December 31, 2024, the Company borrowed $305.0 million on the Prior Revolving Facility and repaid $15.0 million of the balance outstanding.</w:t>
      </w:r>
    </w:p>
    <w:p>
      <w:pPr>
        <w:spacing w:after="0" w:line="6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On February 28, 2025, the Company refinanced the Prior Credit Facility by using the proceeds of the Credit Facility to repay the outstanding balances of the Prior Term Loan Facility and the Prior Revolving Facility, which totaled $670.9 million and $485.0 million, respectively. In connection therewith, the Company recorded a loss on extinguishment of $1.3 million, which is included in debt extinguishment costs in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5.500% Senior Notes due 2028</w:t>
      </w:r>
    </w:p>
    <w:p>
      <w:pPr>
        <w:spacing w:after="0" w:line="119"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8"/>
          <w:szCs w:val="18"/>
          <w:color w:val="auto"/>
        </w:rPr>
        <w:t>On June 24, 2020, the Company issued $450.0 million of 5.500% Senior Notes due 2028 (the “5.500% Senior Notes”). The 5.500% Senior Notes mature on July 1, 2028 and bear interest at a rate of 5.500% per annum, payable semi-annually in arrears on January 1 and July 1 of each year, commencing on January 1, 2021.</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5.000% Senior Notes due 2029</w:t>
      </w:r>
    </w:p>
    <w:p>
      <w:pPr>
        <w:spacing w:after="0" w:line="11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8"/>
          <w:szCs w:val="18"/>
          <w:color w:val="auto"/>
        </w:rPr>
        <w:t>On October 14, 2020, the Company issued $475.0 million of 5.000% Senior Notes due 2029 (the “5.000% Senior Notes”). The 5.000% Senior Notes mature on April 15, 2029 and bear interest at a rate of 5.000% per annum, payable semi-annually in arrears on April 15 and October 15 of each year, commencing on April 15, 2021.</w:t>
      </w:r>
    </w:p>
    <w:p>
      <w:pPr>
        <w:spacing w:after="0" w:line="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7.375% Senior Notes due 2033</w:t>
      </w:r>
    </w:p>
    <w:p>
      <w:pPr>
        <w:spacing w:after="0" w:line="14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March 10, 2025, the Company issued $550.0 million of 7.375% Senior Notes due 2033 (the “7.375% Senior Notes”). The 7.375% Senior Notes mature on March 15, 2033 and bear interest at a rate of 7.375% per annum, payable semi-annually in arrears on March 15 and September 15 of each year, commencing on September 15, 2025. The net proceeds from the issuance and sale of the 7.375% Senior Notes, together with cash on hand, were used to pay down $550.0 million of outstanding borrowings under the Revolving Facility.</w:t>
      </w:r>
    </w:p>
    <w:p>
      <w:pPr>
        <w:spacing w:after="0" w:line="11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indentures governing the 5.500% Senior Notes, the 5.000% Senior Notes and the 7.375% Senior Notes (together, the “Senior Notes”) contain covenants that, among other things, limit the Company’s ability and the ability of its restricted subsidiaries to: (i) pay dividends, redeem stock or make other distributions or investments; (ii) incur additional debt or issue certain preferred stock; (iii) transfer or sell assets; (iv) engage in certain transactions with affiliates; (v) create restrictions on dividends or other payments by the restricted subsidiaries; (vi) merge, consolidate or sell substantially all of the Company’s assets; and (vii) create liens on assets.</w:t>
      </w:r>
    </w:p>
    <w:p>
      <w:pPr>
        <w:spacing w:after="0" w:line="79"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8"/>
          <w:szCs w:val="18"/>
          <w:color w:val="auto"/>
        </w:rPr>
        <w:t>The Senior Notes issued by the Company are guaranteed by each of the Company’s subsidiaries that guarantee the Company’s obligations under the Credit Facility. The guarantees are full and unconditional and joint and several.</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redeem the Senior Notes at its option, in whole or part, at the dates and amounts set forth in the applicable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indentures.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19"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Debt issuance costs are deferred and amortized to interest expense over the term of the related debt. Debt issuance costs at December 31, 2025 were $16.8 million, net of accumulated amortization of $11.6 million. Debt issuance costs at December 31, 2024 were $8.9 million, net of accumulated amortization of $9.8 million. Amortization expense related to debt issuance costs, which is included in interest expense on the consolidated statements of operations, was $3.4 million, $3.0 million and $2.2 million, respectively, for the years ended December 31, 2025, 2024 and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aggregate maturities of long-term debt at December 31, 2025 were as follows (in thousands):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875,250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2,516,813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-24765</wp:posOffset>
            </wp:positionV>
            <wp:extent cx="425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-7620</wp:posOffset>
            </wp:positionV>
            <wp:extent cx="425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Noncontrolling Interests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Noncontrolling interests in the consolidated financial statements represent the portion of equity held by noncontrolling partners in the Company’s non-wholly owned subsidiaries. At December 31, 2025, the Company operated 16 facilities through non-wholly owned subsidiaries. The Company owns between approximately 65% and 88% of the equity interests of these entities and noncontrolling partners own the remaining equity interests. The initial value of the noncontrolling interests is based on the fair value of contributions. The Company consolidates the operations of each facility based on its status as primary beneficiary, as further discussed in Note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Variable Interest Entities. The noncontrolling interests are reflected as redeemable noncontrolling interests on the accompanying consolidated balance sheets based on put rights that could require the Company to purchase the noncontrolling interests upon the occurrence of a change in control.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redeemable noncontrolling interests are as follows (in thousands):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105,686</w:t>
            </w:r>
          </w:p>
        </w:tc>
        <w:tc>
          <w:tcPr>
            <w:tcW w:w="80" w:type="dxa"/>
            <w:vAlign w:val="bottom"/>
            <w:shd w:val="clear" w:color="auto" w:fill="CFF0FC"/>
          </w:tcPr>
          <w:p>
            <w:pPr>
              <w:spacing w:after="0"/>
              <w:rPr>
                <w:sz w:val="18"/>
                <w:szCs w:val="18"/>
                <w:color w:val="auto"/>
              </w:rPr>
            </w:pPr>
          </w:p>
        </w:tc>
      </w:tr>
      <w:tr>
        <w:trPr>
          <w:trHeight w:val="215"/>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noncontrolling partners in joint ventures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80" w:type="dxa"/>
            <w:vAlign w:val="bottom"/>
          </w:tcPr>
          <w:p>
            <w:pPr>
              <w:spacing w:after="0"/>
              <w:rPr>
                <w:sz w:val="18"/>
                <w:szCs w:val="18"/>
                <w:color w:val="auto"/>
              </w:rPr>
            </w:pPr>
          </w:p>
        </w:tc>
      </w:tr>
      <w:tr>
        <w:trPr>
          <w:trHeight w:val="215"/>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80" w:type="dxa"/>
            <w:vAlign w:val="bottom"/>
            <w:shd w:val="clear" w:color="auto" w:fill="CFF0FC"/>
          </w:tcPr>
          <w:p>
            <w:pPr>
              <w:spacing w:after="0"/>
              <w:rPr>
                <w:sz w:val="18"/>
                <w:szCs w:val="18"/>
                <w:color w:val="auto"/>
              </w:rPr>
            </w:pPr>
          </w:p>
        </w:tc>
      </w:tr>
      <w:tr>
        <w:trPr>
          <w:trHeight w:val="215"/>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partners in joint ventures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(2,972)</w:t>
            </w:r>
          </w:p>
        </w:tc>
      </w:tr>
      <w:tr>
        <w:trPr>
          <w:trHeight w:val="208"/>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117,116</w:t>
            </w:r>
          </w:p>
        </w:tc>
        <w:tc>
          <w:tcPr>
            <w:tcW w:w="80" w:type="dxa"/>
            <w:vAlign w:val="bottom"/>
            <w:shd w:val="clear" w:color="auto" w:fill="CFF0FC"/>
          </w:tcPr>
          <w:p>
            <w:pPr>
              <w:spacing w:after="0"/>
              <w:rPr>
                <w:sz w:val="18"/>
                <w:szCs w:val="18"/>
                <w:color w:val="auto"/>
              </w:rPr>
            </w:pPr>
          </w:p>
        </w:tc>
      </w:tr>
      <w:tr>
        <w:trPr>
          <w:trHeight w:val="215"/>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Contributions from noncontrolling partners in joint ventures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67,504</w:t>
            </w:r>
          </w:p>
        </w:tc>
        <w:tc>
          <w:tcPr>
            <w:tcW w:w="80" w:type="dxa"/>
            <w:vAlign w:val="bottom"/>
          </w:tcPr>
          <w:p>
            <w:pPr>
              <w:spacing w:after="0"/>
              <w:rPr>
                <w:sz w:val="18"/>
                <w:szCs w:val="18"/>
                <w:color w:val="auto"/>
              </w:rPr>
            </w:pPr>
          </w:p>
        </w:tc>
      </w:tr>
      <w:tr>
        <w:trPr>
          <w:trHeight w:val="215"/>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80" w:type="dxa"/>
            <w:vAlign w:val="bottom"/>
            <w:shd w:val="clear" w:color="auto" w:fill="CFF0FC"/>
          </w:tcPr>
          <w:p>
            <w:pPr>
              <w:spacing w:after="0"/>
              <w:rPr>
                <w:sz w:val="18"/>
                <w:szCs w:val="18"/>
                <w:color w:val="auto"/>
              </w:rPr>
            </w:pPr>
          </w:p>
        </w:tc>
      </w:tr>
      <w:tr>
        <w:trPr>
          <w:trHeight w:val="215"/>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partners in joint ventures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(3,877)</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191,592</w:t>
            </w:r>
          </w:p>
        </w:tc>
        <w:tc>
          <w:tcPr>
            <w:tcW w:w="8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6019800</wp:posOffset>
            </wp:positionH>
            <wp:positionV relativeFrom="paragraph">
              <wp:posOffset>-24765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-7620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Variable Interest Entities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legal entities where the Company has a financial relationship, the Company evaluates whether it has a variable interest and determines if the entity is considered a variable interest entity (“VIE”). If the Company concludes an entity is a VIE and the Company is the primary beneficiary, the entity is consolidated. The primary beneficiary analysis is a qualitative analysis based on power and benefits. A reporting entity has a controlling financial interest in a VIE and must consolidate the VIE if it has both power and benefits. It must have the power to direct the activities that most significantly impact the VIE’s economic performance and the obligation to absorb losses of the VIE that potentially could be significant to the VIE or the right to receive benefits from the VIE that potentially could be significant to the VIE.</w:t>
      </w:r>
    </w:p>
    <w:p>
      <w:pPr>
        <w:spacing w:after="0" w:line="78"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At December 31, 2025, the Company operated 16 facilities through non-wholly owned subsidiaries. The Company owns between approximately 65% and 88% of the equity interests of these entities, and noncontrolling partners own the remaining equity interests. The Company manages each of these facilities, is responsible for the day to day operations and, therefore, has the power to direct the activities that most significantly impact the VIE’s economic performance and the obligation to absorb losses or receive benefits from the VIE that could potentially be significant to the VIE. These activities include, but are not limited to, behavioral healthcare services, human resource and employment-related decisions, marketing and finance. The terms of the agreements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8" w:name="page89"/>
    <w:bookmarkEnd w:id="88"/>
    <w:p>
      <w:pPr>
        <w:ind w:right="80"/>
        <w:spacing w:after="0" w:line="259" w:lineRule="auto"/>
        <w:rPr>
          <w:sz w:val="20"/>
          <w:szCs w:val="20"/>
          <w:color w:val="auto"/>
        </w:rPr>
      </w:pPr>
      <w:r>
        <w:rPr>
          <w:rFonts w:ascii="Times New Roman" w:cs="Times New Roman" w:eastAsia="Times New Roman" w:hAnsi="Times New Roman"/>
          <w:sz w:val="18"/>
          <w:szCs w:val="18"/>
          <w:color w:val="auto"/>
        </w:rPr>
        <w:t>governing each of the Company’s VIEs prohibit the Company from using the assets of each VIE to satisfy the obligations of other entities. Consolidated assets at December 31, 2025 and 2024 include total assets of variable interest entities of $1,344.8 million and $930.9 million, respectively, which cannot be used to settle the obligations of other entities. Consolidated liabilities at December 31, 2025 and 2024 include total liabilities of variable interest entities of $49.6 million and $36.8 million, respectively.</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VIEs assets and liabilities in the Company’s consolidated balance sheets are shown below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6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6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8"/>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134,789</w:t>
            </w:r>
          </w:p>
        </w:tc>
        <w:tc>
          <w:tcPr>
            <w:tcW w:w="60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97,901</w:t>
            </w:r>
          </w:p>
        </w:tc>
        <w:tc>
          <w:tcPr>
            <w:tcW w:w="80" w:type="dxa"/>
            <w:vAlign w:val="bottom"/>
            <w:shd w:val="clear" w:color="auto" w:fill="CFF0FC"/>
          </w:tcPr>
          <w:p>
            <w:pPr>
              <w:spacing w:after="0"/>
              <w:rPr>
                <w:sz w:val="18"/>
                <w:szCs w:val="18"/>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80" w:type="dxa"/>
            <w:vAlign w:val="bottom"/>
          </w:tcPr>
          <w:p>
            <w:pPr>
              <w:spacing w:after="0"/>
              <w:rPr>
                <w:sz w:val="18"/>
                <w:szCs w:val="18"/>
                <w:color w:val="auto"/>
              </w:rPr>
            </w:pPr>
          </w:p>
        </w:tc>
      </w:tr>
      <w:tr>
        <w:trPr>
          <w:trHeight w:val="215"/>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25,106</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142,339</w:t>
            </w:r>
          </w:p>
        </w:tc>
        <w:tc>
          <w:tcPr>
            <w:tcW w:w="80" w:type="dxa"/>
            <w:vAlign w:val="bottom"/>
          </w:tcPr>
          <w:p>
            <w:pPr>
              <w:spacing w:after="0"/>
              <w:rPr>
                <w:sz w:val="18"/>
                <w:szCs w:val="18"/>
                <w:color w:val="auto"/>
              </w:rPr>
            </w:pPr>
          </w:p>
        </w:tc>
      </w:tr>
      <w:tr>
        <w:trPr>
          <w:trHeight w:val="21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1,011,578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718,084</w:t>
            </w:r>
          </w:p>
        </w:tc>
        <w:tc>
          <w:tcPr>
            <w:tcW w:w="80" w:type="dxa"/>
            <w:vAlign w:val="bottom"/>
            <w:shd w:val="clear" w:color="auto" w:fill="CFF0FC"/>
          </w:tcPr>
          <w:p>
            <w:pPr>
              <w:spacing w:after="0"/>
              <w:rPr>
                <w:sz w:val="18"/>
                <w:szCs w:val="18"/>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80" w:type="dxa"/>
            <w:vAlign w:val="bottom"/>
          </w:tcPr>
          <w:p>
            <w:pPr>
              <w:spacing w:after="0"/>
              <w:rPr>
                <w:sz w:val="18"/>
                <w:szCs w:val="18"/>
                <w:color w:val="auto"/>
              </w:rPr>
            </w:pPr>
          </w:p>
        </w:tc>
      </w:tr>
      <w:tr>
        <w:trPr>
          <w:trHeight w:val="21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80" w:type="dxa"/>
            <w:vAlign w:val="bottom"/>
            <w:shd w:val="clear" w:color="auto" w:fill="CFF0FC"/>
          </w:tcPr>
          <w:p>
            <w:pPr>
              <w:spacing w:after="0"/>
              <w:rPr>
                <w:sz w:val="18"/>
                <w:szCs w:val="18"/>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80" w:type="dxa"/>
            <w:vAlign w:val="bottom"/>
          </w:tcPr>
          <w:p>
            <w:pPr>
              <w:spacing w:after="0"/>
              <w:rPr>
                <w:sz w:val="18"/>
                <w:szCs w:val="18"/>
                <w:color w:val="auto"/>
              </w:rPr>
            </w:pPr>
          </w:p>
        </w:tc>
      </w:tr>
      <w:tr>
        <w:trPr>
          <w:trHeight w:val="248"/>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1,344,802</w:t>
            </w:r>
          </w:p>
        </w:tc>
        <w:tc>
          <w:tcPr>
            <w:tcW w:w="60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930,925</w:t>
            </w:r>
          </w:p>
        </w:tc>
        <w:tc>
          <w:tcPr>
            <w:tcW w:w="80" w:type="dxa"/>
            <w:vAlign w:val="bottom"/>
            <w:shd w:val="clear" w:color="auto" w:fill="CFF0FC"/>
          </w:tcPr>
          <w:p>
            <w:pPr>
              <w:spacing w:after="0"/>
              <w:rPr>
                <w:sz w:val="21"/>
                <w:szCs w:val="21"/>
                <w:color w:val="auto"/>
              </w:rPr>
            </w:pPr>
          </w:p>
        </w:tc>
      </w:tr>
      <w:tr>
        <w:trPr>
          <w:trHeight w:val="195"/>
        </w:trPr>
        <w:tc>
          <w:tcPr>
            <w:tcW w:w="616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r>
      <w:tr>
        <w:trPr>
          <w:trHeight w:val="21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60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80" w:type="dxa"/>
            <w:vAlign w:val="bottom"/>
            <w:shd w:val="clear" w:color="auto" w:fill="CFF0FC"/>
          </w:tcPr>
          <w:p>
            <w:pPr>
              <w:spacing w:after="0"/>
              <w:rPr>
                <w:sz w:val="18"/>
                <w:szCs w:val="18"/>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80" w:type="dxa"/>
            <w:vAlign w:val="bottom"/>
          </w:tcPr>
          <w:p>
            <w:pPr>
              <w:spacing w:after="0"/>
              <w:rPr>
                <w:sz w:val="18"/>
                <w:szCs w:val="18"/>
                <w:color w:val="auto"/>
              </w:rPr>
            </w:pPr>
          </w:p>
        </w:tc>
      </w:tr>
      <w:tr>
        <w:trPr>
          <w:trHeight w:val="21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FF0FC"/>
          </w:tcPr>
          <w:p>
            <w:pPr>
              <w:spacing w:after="0"/>
              <w:rPr>
                <w:sz w:val="18"/>
                <w:szCs w:val="18"/>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Pr>
          <w:p>
            <w:pPr>
              <w:spacing w:after="0"/>
              <w:rPr>
                <w:sz w:val="18"/>
                <w:szCs w:val="18"/>
                <w:color w:val="auto"/>
              </w:rPr>
            </w:pPr>
          </w:p>
        </w:tc>
      </w:tr>
      <w:tr>
        <w:trPr>
          <w:trHeight w:val="208"/>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27,031</w:t>
            </w:r>
          </w:p>
        </w:tc>
        <w:tc>
          <w:tcPr>
            <w:tcW w:w="80" w:type="dxa"/>
            <w:vAlign w:val="bottom"/>
            <w:shd w:val="clear" w:color="auto" w:fill="CFF0FC"/>
          </w:tcPr>
          <w:p>
            <w:pPr>
              <w:spacing w:after="0"/>
              <w:rPr>
                <w:sz w:val="18"/>
                <w:szCs w:val="18"/>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80" w:type="dxa"/>
            <w:vAlign w:val="bottom"/>
          </w:tcPr>
          <w:p>
            <w:pPr>
              <w:spacing w:after="0"/>
              <w:rPr>
                <w:sz w:val="18"/>
                <w:szCs w:val="18"/>
                <w:color w:val="auto"/>
              </w:rPr>
            </w:pPr>
          </w:p>
        </w:tc>
      </w:tr>
      <w:tr>
        <w:trPr>
          <w:trHeight w:val="248"/>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49,641</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-1995805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-1995805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-1159510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-1143000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-1159510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-1143000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9"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up to 10,000,000 shares of preferred stock may be issued. The board of directors has the authority to issue preferred stock in one or more series and to fix for each series the voting powers (full, limited or none), and the designations, preferences and relative participating, optional or other special rights and qualifications, limitations or restrictions on the stock and the number of shares constituting any series and the designations of this series, without any further vote or action by the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provides that up to 180,000,000 shares of common stock may be issued. Holders of the Company’s common stock are entitled to one vote for each share held of record on all matters on which stockholders may vote. There are no preemptive, conversion, redemption or sinking fund provisions applicable to shares of the Company’s common stock. In the event of liquidation, dissolution or winding up, holders of the Company’s common stock are entitled to share ratably in the assets available for distribution, subject to any prior rights of any holders of preferred stock then outstanding. Delaware law prohibits the Company from paying any dividends unless it has capital surplus or net profits available for this purpose. In addition, the Credit Facility imposes restrictions on the Company’s ability to pay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February 25, 2025, the Company’s board of directors authorized a share repurchase program (the “Share Repurchase Program”) pursuant to which the Company may, from time to time, acquire up to $300.0 million of outstanding shares of its common stock, exclusive of any fees, commissions, or other expenses related to such repurchases. Repurchases made pursuant to the Share Repurchase Program will be made in accordance with applicable securities laws and may be made at management’s discretion from time to time in the open market, in privately negotiated transactions, or through block trades, derivatives transactions, or purchases made in accordance with Rule 10b-18 and Rule 10b5-1 of the Exchange Act. The Share Repurchase Program has no termination date and may be modified, suspended or discontinued by the Company’s board of directors at any time. The authorization does not obligate the Company to repurchase any shares. During the twelve months ended December 31, 2025, the Company repurchased 1,706,625 shares of its common stock under the Share Repurchase Program that were each cancelled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9" w:name="page90"/>
    <w:bookmarkEnd w:id="89"/>
    <w:p>
      <w:pPr>
        <w:ind w:right="20"/>
        <w:spacing w:after="0" w:line="280" w:lineRule="auto"/>
        <w:rPr>
          <w:sz w:val="20"/>
          <w:szCs w:val="20"/>
          <w:color w:val="auto"/>
        </w:rPr>
      </w:pPr>
      <w:r>
        <w:rPr>
          <w:rFonts w:ascii="Times New Roman" w:cs="Times New Roman" w:eastAsia="Times New Roman" w:hAnsi="Times New Roman"/>
          <w:sz w:val="18"/>
          <w:szCs w:val="18"/>
          <w:color w:val="auto"/>
        </w:rPr>
        <w:t>the time of repurchase for a total of $50.4 million (inclusive of $0.4 million in expenses related thereto). As of December 31, 2025, there was $250.0 million remaining under the Share Repurchase Program.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issues stock-based awards, including stock options, restricted stock units and performance stock units, to certain officers, employees and non-employee directors under the Acadia Healthcare Company, Inc. Amended and Restated Incentive Compensation Plan (the “Equity Incentive Plan”). At December 31, 2025, a maximum of 15,175,000 shares of the Company’s common stock were authorized for issuance as stock options, restricted stock units and performance stock units or other share-based compensation under the Equity Incentive Plan, of which 3,711,225 were available for future grant. Stock options may be granted for terms of up to ten years. The Company recognizes expense on all share-based awards on a straight-line basis over the requisite service period of the entire award. Grants to employees generally vest in annual increments of 25% or 33% each year, commencing one year after the date of grant. The exercise prices of stock options are equal to the closing price of the Company’s common stock on the most recent trading date prior to the date of grant.</w:t>
      </w:r>
    </w:p>
    <w:p>
      <w:pPr>
        <w:spacing w:after="0" w:line="8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recognized $31.7 million, $37.1 million and $32.3 million in equity-based compensation expense for the years ended December 31, 2025, 2024 and 2023, respectively. Stock compensation expense for the years ended December 31, 2025, 2024 and 2023 is impacted by forfeiture adjustments and performance stock unit adjustments based on actual performance compared to vesting targets. At December 31, 2025, there was $55.7 million of unrecognized compensation expense related to unvested options, restricted stock units and performance stock units, which is expected to be recognized over the remaining weighted-average vesting period of 0.93 years.</w:t>
      </w:r>
    </w:p>
    <w:p>
      <w:pPr>
        <w:spacing w:after="0" w:line="79" w:lineRule="exact"/>
        <w:rPr>
          <w:sz w:val="20"/>
          <w:szCs w:val="20"/>
          <w:color w:val="auto"/>
        </w:rPr>
      </w:pPr>
    </w:p>
    <w:p>
      <w:pPr>
        <w:ind w:right="20" w:firstLine="509"/>
        <w:spacing w:after="0" w:line="280" w:lineRule="auto"/>
        <w:rPr>
          <w:sz w:val="20"/>
          <w:szCs w:val="20"/>
          <w:color w:val="auto"/>
        </w:rPr>
      </w:pPr>
      <w:r>
        <w:rPr>
          <w:rFonts w:ascii="Times New Roman" w:cs="Times New Roman" w:eastAsia="Times New Roman" w:hAnsi="Times New Roman"/>
          <w:sz w:val="18"/>
          <w:szCs w:val="18"/>
          <w:color w:val="auto"/>
        </w:rPr>
        <w:t>The Company recognized a deferred income tax benefit of $8.6 million, $10.1 million and $8.8 million for the years ended December 31, 2025, 2024 and 2023, respectively, related to equity-based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during 2023, 2024 and 2025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80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3"/>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840"/>
              <w:spacing w:after="0" w:line="148"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296,340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(198,527)</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(140,545)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936,545</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(158,714)</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695,021</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(185,610)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509,411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Options exercisable at December 31, 2025</w:t>
            </w:r>
          </w:p>
        </w:tc>
        <w:tc>
          <w:tcPr>
            <w:tcW w:w="118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390,076</w:t>
            </w:r>
          </w:p>
        </w:tc>
        <w:tc>
          <w:tcPr>
            <w:tcW w:w="2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54.23</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5.16</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72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0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F-27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5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-1091565</wp:posOffset>
            </wp:positionV>
            <wp:extent cx="679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-1074420</wp:posOffset>
            </wp:positionV>
            <wp:extent cx="679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-1091565</wp:posOffset>
            </wp:positionV>
            <wp:extent cx="59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-1074420</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-1091565</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-1074420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6719570</wp:posOffset>
            </wp:positionH>
            <wp:positionV relativeFrom="paragraph">
              <wp:posOffset>-1091565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6719570</wp:posOffset>
            </wp:positionH>
            <wp:positionV relativeFrom="paragraph">
              <wp:posOffset>-1074420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0" w:name="page91"/>
    <w:bookmarkEnd w:id="90"/>
    <w:p>
      <w:pPr>
        <w:ind w:right="180" w:firstLine="509"/>
        <w:spacing w:after="0" w:line="264" w:lineRule="auto"/>
        <w:rPr>
          <w:sz w:val="20"/>
          <w:szCs w:val="20"/>
          <w:color w:val="auto"/>
        </w:rPr>
      </w:pPr>
      <w:r>
        <w:rPr>
          <w:rFonts w:ascii="Times New Roman" w:cs="Times New Roman" w:eastAsia="Times New Roman" w:hAnsi="Times New Roman"/>
          <w:sz w:val="18"/>
          <w:szCs w:val="18"/>
          <w:color w:val="auto"/>
        </w:rPr>
        <w:t>Fair values are estimated using the Black-Scholes option pricing model. There were no stock options granted during the year ended December 31, 2025. The following table summarizes the grant-date fair value of options and the assumptions used to develop the fair value estimates for options granted during the years ended December 31, 2024 and 2023.</w:t>
      </w:r>
    </w:p>
    <w:p>
      <w:pPr>
        <w:spacing w:after="0" w:line="278" w:lineRule="exact"/>
        <w:rPr>
          <w:sz w:val="20"/>
          <w:szCs w:val="20"/>
          <w:color w:val="auto"/>
        </w:rPr>
      </w:pPr>
    </w:p>
    <w:tbl>
      <w:tblPr>
        <w:tblLayout w:type="fixed"/>
        <w:tblInd w:w="1700" w:type="dxa"/>
        <w:tblCellMar>
          <w:top w:w="0" w:type="dxa"/>
          <w:left w:w="0" w:type="dxa"/>
          <w:bottom w:w="0" w:type="dxa"/>
          <w:right w:w="0" w:type="dxa"/>
        </w:tblCellMar>
      </w:tblPr>
      <w:tr>
        <w:trPr>
          <w:trHeight w:val="172"/>
        </w:trPr>
        <w:tc>
          <w:tcPr>
            <w:tcW w:w="4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1"/>
        </w:trPr>
        <w:tc>
          <w:tcPr>
            <w:tcW w:w="4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08"/>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grant-date fair value of options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80" w:type="dxa"/>
            <w:vAlign w:val="bottom"/>
            <w:shd w:val="clear" w:color="auto" w:fill="CFF0FC"/>
          </w:tcPr>
          <w:p>
            <w:pPr>
              <w:spacing w:after="0"/>
              <w:rPr>
                <w:sz w:val="18"/>
                <w:szCs w:val="18"/>
                <w:color w:val="auto"/>
              </w:rPr>
            </w:pPr>
          </w:p>
        </w:tc>
      </w:tr>
      <w:tr>
        <w:trPr>
          <w:trHeight w:val="21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5"/>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r>
    </w:tbl>
    <w:p>
      <w:pPr>
        <w:spacing w:after="0" w:line="7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8"/>
          <w:szCs w:val="18"/>
          <w:color w:val="auto"/>
        </w:rPr>
        <w:t>The Company’s estimate of expected volatility for stock options is based upon the volatility of its stock price over the expected life of the award. The risk-free interest rate is the approximate yield on U. S. Treasury Strips having a life equal to the expected option life on the date of grant. The expected life is an estimate of the number of years an option will be held before it is exercised.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Awards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during 2023, 2024 and 2025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2"/>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2"/>
          </w:tcPr>
          <w:p>
            <w:pPr>
              <w:jc w:val="center"/>
              <w:ind w:right="19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2"/>
          </w:tcPr>
          <w:p>
            <w:pPr>
              <w:jc w:val="center"/>
              <w:ind w:right="1920"/>
              <w:spacing w:after="0" w:line="148"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1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1,045,202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7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3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(198,740)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7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(403,223)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vMerge w:val="continue"/>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1,030,478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7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608,572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3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(127,761)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7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(365,871)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vMerge w:val="continue"/>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1,145,418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7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1,556,470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3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(482,196)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74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(457,275)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vMerge w:val="continue"/>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1,762,417</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740" w:type="dxa"/>
            <w:vAlign w:val="bottom"/>
            <w:tcBorders>
              <w:left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626"/>
        </w:trPr>
        <w:tc>
          <w:tcPr>
            <w:tcW w:w="1700" w:type="dxa"/>
            <w:vAlign w:val="bottom"/>
          </w:tcPr>
          <w:p>
            <w:pPr>
              <w:spacing w:after="0"/>
              <w:rPr>
                <w:sz w:val="24"/>
                <w:szCs w:val="24"/>
                <w:color w:val="auto"/>
              </w:rPr>
            </w:pPr>
          </w:p>
        </w:tc>
        <w:tc>
          <w:tcPr>
            <w:tcW w:w="302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F-28</w:t>
            </w: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1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-929640</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-912495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-929640</wp:posOffset>
            </wp:positionV>
            <wp:extent cx="425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-912495</wp:posOffset>
            </wp:positionV>
            <wp:extent cx="425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8"/>
          <w:szCs w:val="18"/>
          <w:color w:val="auto"/>
        </w:rPr>
        <w:t>Performance stock unit activity during 2023, 2024 and 2025 was as 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1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1,273,800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(114,908)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(1,408,195)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336,031</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(15,723)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291,518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adjustment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(57,710)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(146,303)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(66,676)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249,752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5184140</wp:posOffset>
            </wp:positionH>
            <wp:positionV relativeFrom="paragraph">
              <wp:posOffset>-1551940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-1551940</wp:posOffset>
            </wp:positionV>
            <wp:extent cx="425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-170180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6028690</wp:posOffset>
            </wp:positionH>
            <wp:positionV relativeFrom="paragraph">
              <wp:posOffset>-170180</wp:posOffset>
            </wp:positionV>
            <wp:extent cx="425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8"/>
          <w:szCs w:val="18"/>
          <w:color w:val="auto"/>
        </w:rPr>
        <w:t>Restricted stock unit awards are time-based vesting awards that vest over a period of three or four years and are subject to continuing service of the employee or non-employee director over the ratable vesting periods. The fair values of the restricted stock unit awards were determined based on the closing price of the Company’s common stock on the trading date immediately prior to the grant date.</w:t>
      </w:r>
    </w:p>
    <w:p>
      <w:pPr>
        <w:spacing w:after="0" w:line="6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Performance stock units are granted to employees and are subject to Company performance compared to pre-established targets. In addition to Company performance, these performance-based stock units are subject to the continuing service of the employee during the three-year period covered by the awards. The performance conditions for the performance stock units are based on the Company’s achievement of annually established targets for one-to-three-year cumulative diluted earnings per share, adjusted earnings before interest, income taxes, depreciation and amortization, revenue and/or non-financial clinical excellence measurements. The number of shares issuable at the end of the applicable vesting period of performance stock units ranges from 0% to 200% of the targeted units based on the Company’s actual performance compared to the targets.</w:t>
      </w:r>
    </w:p>
    <w:p>
      <w:pPr>
        <w:spacing w:after="0" w:line="78" w:lineRule="exact"/>
        <w:rPr>
          <w:sz w:val="20"/>
          <w:szCs w:val="20"/>
          <w:color w:val="auto"/>
        </w:rPr>
      </w:pPr>
    </w:p>
    <w:p>
      <w:pPr>
        <w:ind w:right="740" w:firstLine="509"/>
        <w:spacing w:after="0" w:line="280" w:lineRule="auto"/>
        <w:rPr>
          <w:sz w:val="20"/>
          <w:szCs w:val="20"/>
          <w:color w:val="auto"/>
        </w:rPr>
      </w:pPr>
      <w:r>
        <w:rPr>
          <w:rFonts w:ascii="Times New Roman" w:cs="Times New Roman" w:eastAsia="Times New Roman" w:hAnsi="Times New Roman"/>
          <w:sz w:val="18"/>
          <w:szCs w:val="18"/>
          <w:color w:val="auto"/>
        </w:rPr>
        <w:t>The fair values of performance stock units were determined based on the closing price of the Company’s common stock on the trading date immediately prior to the grant date for units subject to performance conditions.</w:t>
      </w:r>
    </w:p>
    <w:p>
      <w:pPr>
        <w:spacing w:after="0" w:line="55" w:lineRule="exact"/>
        <w:rPr>
          <w:sz w:val="20"/>
          <w:szCs w:val="20"/>
          <w:color w:val="auto"/>
        </w:rPr>
      </w:pPr>
    </w:p>
    <w:p>
      <w:pPr>
        <w:ind w:right="280" w:firstLine="509"/>
        <w:spacing w:after="0" w:line="280" w:lineRule="auto"/>
        <w:rPr>
          <w:sz w:val="20"/>
          <w:szCs w:val="20"/>
          <w:color w:val="auto"/>
        </w:rPr>
      </w:pPr>
      <w:r>
        <w:rPr>
          <w:rFonts w:ascii="Times New Roman" w:cs="Times New Roman" w:eastAsia="Times New Roman" w:hAnsi="Times New Roman"/>
          <w:sz w:val="18"/>
          <w:szCs w:val="18"/>
          <w:color w:val="auto"/>
        </w:rPr>
        <w:t>The fair values of restricted stock unit awards and performance stock units that vested during the years ended December 31, 2025, 2024 and 2023 were $15.7 million, $30.2 million and $38.4 million,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Transaction, Legal and Other Costs</w:t>
      </w:r>
    </w:p>
    <w:p>
      <w:pPr>
        <w:spacing w:after="0" w:line="119" w:lineRule="exact"/>
        <w:rPr>
          <w:sz w:val="20"/>
          <w:szCs w:val="20"/>
          <w:color w:val="auto"/>
        </w:rPr>
      </w:pPr>
    </w:p>
    <w:p>
      <w:pPr>
        <w:ind w:right="180" w:firstLine="562"/>
        <w:spacing w:after="0" w:line="264" w:lineRule="auto"/>
        <w:rPr>
          <w:sz w:val="20"/>
          <w:szCs w:val="20"/>
          <w:color w:val="auto"/>
        </w:rPr>
      </w:pPr>
      <w:r>
        <w:rPr>
          <w:rFonts w:ascii="Times New Roman" w:cs="Times New Roman" w:eastAsia="Times New Roman" w:hAnsi="Times New Roman"/>
          <w:sz w:val="18"/>
          <w:szCs w:val="18"/>
          <w:color w:val="auto"/>
        </w:rPr>
        <w:t>Transaction, legal and other costs represent costs primarily related to legal, accounting, government investigation, termination, restructuring, management transition, acquisition and other similar costs. Transaction, legal and other costs comprised the following costs for the years ended December 31, 2025, 2024 and 2023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investigations</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80" w:type="dxa"/>
            <w:vAlign w:val="bottom"/>
            <w:shd w:val="clear" w:color="auto" w:fill="CFF0FC"/>
          </w:tcPr>
          <w:p>
            <w:pPr>
              <w:spacing w:after="0"/>
              <w:rPr>
                <w:sz w:val="18"/>
                <w:szCs w:val="18"/>
                <w:color w:val="auto"/>
              </w:rPr>
            </w:pPr>
          </w:p>
        </w:tc>
      </w:tr>
      <w:tr>
        <w:trPr>
          <w:trHeight w:val="21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restructuring costs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tcPr>
          <w:p>
            <w:pPr>
              <w:spacing w:after="0"/>
              <w:rPr>
                <w:sz w:val="18"/>
                <w:szCs w:val="18"/>
                <w:color w:val="auto"/>
              </w:rPr>
            </w:pPr>
          </w:p>
        </w:tc>
      </w:tr>
      <w:tr>
        <w:trPr>
          <w:trHeight w:val="215"/>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accounting and other acquisition-related costs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80" w:type="dxa"/>
            <w:vAlign w:val="bottom"/>
            <w:shd w:val="clear" w:color="auto" w:fill="CFF0FC"/>
          </w:tcPr>
          <w:p>
            <w:pPr>
              <w:spacing w:after="0"/>
              <w:rPr>
                <w:sz w:val="18"/>
                <w:szCs w:val="18"/>
                <w:color w:val="auto"/>
              </w:rPr>
            </w:pPr>
          </w:p>
        </w:tc>
      </w:tr>
      <w:tr>
        <w:trPr>
          <w:trHeight w:val="21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transition costs</w:t>
            </w: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80" w:type="dxa"/>
            <w:vAlign w:val="bottom"/>
          </w:tcPr>
          <w:p>
            <w:pPr>
              <w:spacing w:after="0"/>
              <w:rPr>
                <w:sz w:val="18"/>
                <w:szCs w:val="18"/>
                <w:color w:val="auto"/>
              </w:rPr>
            </w:pPr>
          </w:p>
        </w:tc>
      </w:tr>
      <w:tr>
        <w:trPr>
          <w:trHeight w:val="22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163,630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62,026</w:t>
            </w:r>
          </w:p>
        </w:tc>
        <w:tc>
          <w:tcPr>
            <w:tcW w:w="80" w:type="dxa"/>
            <w:vAlign w:val="bottom"/>
            <w:shd w:val="clear" w:color="auto" w:fill="CFF0FC"/>
          </w:tcPr>
          <w:p>
            <w:pPr>
              <w:spacing w:after="0"/>
              <w:rPr>
                <w:sz w:val="19"/>
                <w:szCs w:val="19"/>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-24765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-7620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-24765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-7620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2" w:name="page93"/>
    <w:bookmarkEnd w:id="92"/>
    <w:p>
      <w:pPr>
        <w:ind w:right="20"/>
        <w:spacing w:after="0" w:line="252" w:lineRule="auto"/>
        <w:rPr>
          <w:sz w:val="20"/>
          <w:szCs w:val="20"/>
          <w:color w:val="auto"/>
        </w:rPr>
      </w:pPr>
      <w:r>
        <w:rPr>
          <w:rFonts w:ascii="Times New Roman" w:cs="Times New Roman" w:eastAsia="Times New Roman" w:hAnsi="Times New Roman"/>
          <w:sz w:val="18"/>
          <w:szCs w:val="18"/>
          <w:color w:val="auto"/>
        </w:rPr>
        <w:t>Government investigations include legal fees and settlement costs related to certain litigation, including the matters referenced in Note 11 – Commitments and Contingencies. Termination and restructuring costs include costs, net of gains, incurred related to workforce reductions, contract amendments, and the closure and disposition of certain facilities, including related lease terminations. Legal, accounting and other acquisition-related costs include costs incurred for the development of new facilities ($2.1 million, $5.0 million, and $2.9 million for the years ended December 31, 2025, 2024, and 2023, respectively); legal and settlement costs incurred related to certain litigation not included in government investigations ($6.3 million, $4.8 million, and $8.8 million for the years ended December 31, 2025, 2024, and 2023, respectively); and direct costs associated with acquisitions ($0.1 million, $1.4 million, and $1.0 million for the years ended December 31, 2025, 2024, and 2023, respectively). Management transition costs include certain costs associated with the transition of the leadership team, including the design and implementation of the revised organizational structure. Management transition costs incurred with the transition of the Company’s Chief Executive Officer from Debra K. Osteen to Christopher H. Hunter beginning in the first quarter of 2022 concluded in the fourth quarter of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(benefit from) income taxes consists of the following for the periods presented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5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8"/>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68,939</w:t>
            </w:r>
          </w:p>
        </w:tc>
        <w:tc>
          <w:tcPr>
            <w:tcW w:w="80" w:type="dxa"/>
            <w:vAlign w:val="bottom"/>
          </w:tcPr>
          <w:p>
            <w:pPr>
              <w:spacing w:after="0"/>
              <w:rPr>
                <w:sz w:val="18"/>
                <w:szCs w:val="18"/>
                <w:color w:val="auto"/>
              </w:rPr>
            </w:pPr>
          </w:p>
        </w:tc>
      </w:tr>
      <w:tr>
        <w:trPr>
          <w:trHeight w:val="215"/>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80" w:type="dxa"/>
            <w:vAlign w:val="bottom"/>
            <w:shd w:val="clear" w:color="auto" w:fill="CFF0FC"/>
          </w:tcPr>
          <w:p>
            <w:pPr>
              <w:spacing w:after="0"/>
              <w:rPr>
                <w:sz w:val="18"/>
                <w:szCs w:val="18"/>
                <w:color w:val="auto"/>
              </w:rPr>
            </w:pPr>
          </w:p>
        </w:tc>
      </w:tr>
      <w:tr>
        <w:trPr>
          <w:trHeight w:val="215"/>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18"/>
                <w:szCs w:val="18"/>
                <w:color w:val="auto"/>
              </w:rPr>
            </w:pPr>
          </w:p>
        </w:tc>
      </w:tr>
      <w:tr>
        <w:trPr>
          <w:trHeight w:val="208"/>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84,285</w:t>
            </w:r>
          </w:p>
        </w:tc>
        <w:tc>
          <w:tcPr>
            <w:tcW w:w="80" w:type="dxa"/>
            <w:vAlign w:val="bottom"/>
            <w:shd w:val="clear" w:color="auto" w:fill="CFF0FC"/>
          </w:tcPr>
          <w:p>
            <w:pPr>
              <w:spacing w:after="0"/>
              <w:rPr>
                <w:sz w:val="18"/>
                <w:szCs w:val="18"/>
                <w:color w:val="auto"/>
              </w:rPr>
            </w:pPr>
          </w:p>
        </w:tc>
      </w:tr>
      <w:tr>
        <w:trPr>
          <w:trHeight w:val="21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(32,254)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(72,046)</w:t>
            </w:r>
          </w:p>
        </w:tc>
      </w:tr>
      <w:tr>
        <w:trPr>
          <w:trHeight w:val="215"/>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(22,495)</w:t>
            </w:r>
          </w:p>
        </w:tc>
      </w:tr>
      <w:tr>
        <w:trPr>
          <w:trHeight w:val="215"/>
        </w:trPr>
        <w:tc>
          <w:tcPr>
            <w:tcW w:w="5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provision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(93,984)</w:t>
            </w:r>
          </w:p>
        </w:tc>
      </w:tr>
      <w:tr>
        <w:trPr>
          <w:trHeight w:val="20"/>
        </w:trPr>
        <w:tc>
          <w:tcPr>
            <w:tcW w:w="5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(9,699)</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-314960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-314960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-314960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-24765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-7620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8"/>
          <w:szCs w:val="18"/>
          <w:color w:val="auto"/>
        </w:rPr>
        <w:t>As further described in Note 2 – Summary of Significant Accounting Policies, the Company elected to prospectively adopt the guidance in ASU 2023-09. The following table is a reconciliation of the U.S. federal statutory rate of 21% to the Company’s effective rate for the year ended December 31, 2025 in accordance with the guidance in ASU 2023-09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3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13"/>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128"/>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320" w:type="dxa"/>
            <w:vAlign w:val="bottom"/>
            <w:gridSpan w:val="2"/>
            <w:vMerge w:val="continue"/>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Borders>
              <w:right w:val="single" w:sz="8" w:color="CFF0FC"/>
            </w:tcBorders>
            <w:shd w:val="clear" w:color="auto" w:fill="CFF0FC"/>
          </w:tcPr>
          <w:p>
            <w:pPr>
              <w:spacing w:after="0" w:line="215"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(4,705)</w:t>
            </w: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209,202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(19.6)%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9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6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9600" w:type="dxa"/>
            <w:vAlign w:val="bottom"/>
            <w:gridSpan w:val="6"/>
          </w:tcPr>
          <w:p>
            <w:pPr>
              <w:jc w:val="right"/>
              <w:ind w:right="48"/>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State and local taxes in Pennsylvania, Tennessee, California, and Arkansas combined comprise greater than 50% of the</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total in this category.</w:t>
            </w:r>
          </w:p>
        </w:tc>
        <w:tc>
          <w:tcPr>
            <w:tcW w:w="0" w:type="dxa"/>
            <w:vAlign w:val="bottom"/>
          </w:tcPr>
          <w:p>
            <w:pPr>
              <w:spacing w:after="0"/>
              <w:rPr>
                <w:sz w:val="1"/>
                <w:szCs w:val="1"/>
                <w:color w:val="auto"/>
              </w:rPr>
            </w:pPr>
          </w:p>
        </w:tc>
      </w:tr>
      <w:tr>
        <w:trPr>
          <w:trHeight w:val="355"/>
        </w:trPr>
        <w:tc>
          <w:tcPr>
            <w:tcW w:w="1020" w:type="dxa"/>
            <w:vAlign w:val="bottom"/>
          </w:tcPr>
          <w:p>
            <w:pPr>
              <w:spacing w:after="0"/>
              <w:rPr>
                <w:sz w:val="24"/>
                <w:szCs w:val="24"/>
                <w:color w:val="auto"/>
              </w:rPr>
            </w:pPr>
          </w:p>
        </w:tc>
        <w:tc>
          <w:tcPr>
            <w:tcW w:w="63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F-30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10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-1151255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-1151255</wp:posOffset>
            </wp:positionV>
            <wp:extent cx="1447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3" w:name="page94"/>
    <w:bookmarkEnd w:id="93"/>
    <w:p>
      <w:pPr>
        <w:ind w:right="160" w:firstLine="448"/>
        <w:spacing w:after="0" w:line="280" w:lineRule="auto"/>
        <w:rPr>
          <w:sz w:val="20"/>
          <w:szCs w:val="20"/>
          <w:color w:val="auto"/>
        </w:rPr>
      </w:pPr>
      <w:r>
        <w:rPr>
          <w:rFonts w:ascii="Times New Roman" w:cs="Times New Roman" w:eastAsia="Times New Roman" w:hAnsi="Times New Roman"/>
          <w:sz w:val="18"/>
          <w:szCs w:val="18"/>
          <w:color w:val="auto"/>
        </w:rPr>
        <w:t>Below is a reconciliation of the statutory federal income tax expense and the Company’s total income tax expense for the years ended December 31, 2024 and 2023:</w:t>
      </w:r>
    </w:p>
    <w:p>
      <w:pPr>
        <w:spacing w:after="0" w:line="263"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120" w:type="dxa"/>
            <w:vAlign w:val="bottom"/>
            <w:gridSpan w:val="2"/>
          </w:tcPr>
          <w:p>
            <w:pPr>
              <w:spacing w:after="0"/>
              <w:rPr>
                <w:sz w:val="12"/>
                <w:szCs w:val="12"/>
                <w:color w:val="auto"/>
              </w:rPr>
            </w:pPr>
          </w:p>
        </w:tc>
        <w:tc>
          <w:tcPr>
            <w:tcW w:w="1040" w:type="dxa"/>
            <w:vAlign w:val="bottom"/>
            <w:tcBorders>
              <w:bottom w:val="single" w:sz="8" w:color="auto"/>
            </w:tcBorders>
          </w:tcPr>
          <w:p>
            <w:pPr>
              <w:jc w:val="right"/>
              <w:ind w:right="8"/>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9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 on income before income taxed</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expenses and permanent differences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-170180</wp:posOffset>
            </wp:positionV>
            <wp:extent cx="1447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-170180</wp:posOffset>
            </wp:positionV>
            <wp:extent cx="1447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284" w:lineRule="exact"/>
        <w:rPr>
          <w:sz w:val="20"/>
          <w:szCs w:val="20"/>
          <w:color w:val="auto"/>
        </w:rPr>
      </w:pPr>
    </w:p>
    <w:p>
      <w:pPr>
        <w:ind w:right="20" w:firstLine="4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the provision for income taxes was $26.0 million, reflecting an effective tax rate of (2.4)%, compared to provision for income taxes of $77.4 million, reflecting an effective tax rate of 22.6%, for the year ended December 31, 2024. The Company’s pre-tax loss for the year ended December 31, 2025 included $996.2 million of goodwill impairment expense, which is nondeductible for income tax purposes and results in a decrease to the effective tax rate given the Company’s pre-tax loss position. Similarly, the Company recorded additional tax expense for the year ended December 31, 2025 in connection with a valuation allowance recorded on certain state deferred tax assets, which also resulted in a decrease to the Company's effective tax rate for the year ended December 31, 2025.</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is a summary of income taxes paid by jurisdiction pursuant to the disclosure requirements of ASU 2023-09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8"/>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33"/>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Tennessee</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6719570</wp:posOffset>
            </wp:positionH>
            <wp:positionV relativeFrom="paragraph">
              <wp:posOffset>-170180</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domestic and foreign components of (loss) income before income taxes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1"/>
        </w:trPr>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4"/>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8"/>
        </w:trPr>
        <w:tc>
          <w:tcPr>
            <w:tcW w:w="114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4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(1,068,144)</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338,407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(31,249)</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8"/>
        </w:trPr>
        <w:tc>
          <w:tcPr>
            <w:tcW w:w="114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(1,065,941)</w:t>
            </w: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341,879</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(25,360)</w:t>
            </w:r>
          </w:p>
        </w:tc>
        <w:tc>
          <w:tcPr>
            <w:tcW w:w="1120" w:type="dxa"/>
            <w:vAlign w:val="bottom"/>
          </w:tcPr>
          <w:p>
            <w:pPr>
              <w:spacing w:after="0"/>
              <w:rPr>
                <w:sz w:val="21"/>
                <w:szCs w:val="21"/>
                <w:color w:val="auto"/>
              </w:rPr>
            </w:pPr>
          </w:p>
        </w:tc>
      </w:tr>
      <w:tr>
        <w:trPr>
          <w:trHeight w:val="626"/>
        </w:trPr>
        <w:tc>
          <w:tcPr>
            <w:tcW w:w="1140" w:type="dxa"/>
            <w:vAlign w:val="bottom"/>
          </w:tcPr>
          <w:p>
            <w:pPr>
              <w:spacing w:after="0"/>
              <w:rPr>
                <w:sz w:val="24"/>
                <w:szCs w:val="24"/>
                <w:color w:val="auto"/>
              </w:rPr>
            </w:pPr>
          </w:p>
        </w:tc>
        <w:tc>
          <w:tcPr>
            <w:tcW w:w="328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F-31</w:t>
            </w:r>
          </w:p>
        </w:tc>
        <w:tc>
          <w:tcPr>
            <w:tcW w:w="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59"/>
        </w:trPr>
        <w:tc>
          <w:tcPr>
            <w:tcW w:w="1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-929640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-912495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5098415</wp:posOffset>
            </wp:positionH>
            <wp:positionV relativeFrom="paragraph">
              <wp:posOffset>-929640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5098415</wp:posOffset>
            </wp:positionH>
            <wp:positionV relativeFrom="paragraph">
              <wp:posOffset>-912495</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-929640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-912495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of the Company at December 31, 2025 and December 31, 2024 consisted of the following (in thousands):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1"/>
        </w:trPr>
        <w:tc>
          <w:tcPr>
            <w:tcW w:w="6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614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Net operating losses and tax credit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carryforwards – federal and state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80" w:type="dxa"/>
            <w:vAlign w:val="bottom"/>
          </w:tcPr>
          <w:p>
            <w:pPr>
              <w:spacing w:after="0"/>
              <w:rPr>
                <w:sz w:val="20"/>
                <w:szCs w:val="20"/>
                <w:color w:val="auto"/>
              </w:rPr>
            </w:pP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 loss carryovers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216,715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217,100</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Bad debt allowance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compensation and severance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Leases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carryforward</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right-of-use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Fixed asset basis difference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80" w:type="dxa"/>
            <w:vAlign w:val="bottom"/>
          </w:tcPr>
          <w:p>
            <w:pPr>
              <w:spacing w:after="0"/>
              <w:rPr>
                <w:sz w:val="18"/>
                <w:szCs w:val="18"/>
                <w:color w:val="auto"/>
              </w:rPr>
            </w:pPr>
          </w:p>
        </w:tc>
      </w:tr>
      <w:tr>
        <w:trPr>
          <w:trHeight w:val="208"/>
        </w:trPr>
        <w:tc>
          <w:tcPr>
            <w:tcW w:w="6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420,647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352,924</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(269,373)</w:t>
            </w: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(218,129)</w:t>
            </w:r>
          </w:p>
        </w:tc>
      </w:tr>
      <w:tr>
        <w:trPr>
          <w:trHeight w:val="208"/>
        </w:trPr>
        <w:tc>
          <w:tcPr>
            <w:tcW w:w="6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151,274</w:t>
            </w: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134,795</w:t>
            </w:r>
          </w:p>
        </w:tc>
        <w:tc>
          <w:tcPr>
            <w:tcW w:w="80" w:type="dxa"/>
            <w:vAlign w:val="bottom"/>
            <w:shd w:val="clear" w:color="auto" w:fill="CFF0FC"/>
          </w:tcPr>
          <w:p>
            <w:pPr>
              <w:spacing w:after="0"/>
              <w:rPr>
                <w:sz w:val="18"/>
                <w:szCs w:val="18"/>
                <w:color w:val="auto"/>
              </w:rPr>
            </w:pPr>
          </w:p>
        </w:tc>
      </w:tr>
      <w:tr>
        <w:trPr>
          <w:trHeight w:val="21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items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(6,334)</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(5,321)</w:t>
            </w: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(1,813)</w:t>
            </w: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(176,260)</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(161,934)</w:t>
            </w:r>
          </w:p>
        </w:tc>
      </w:tr>
      <w:tr>
        <w:trPr>
          <w:trHeight w:val="215"/>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right-of-use assets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(30,822)</w:t>
            </w: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(26,819)</w:t>
            </w:r>
          </w:p>
        </w:tc>
      </w:tr>
      <w:tr>
        <w:trPr>
          <w:trHeight w:val="215"/>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 in foreign subsidiary</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(1,935)</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r>
      <w:tr>
        <w:trPr>
          <w:trHeight w:val="20"/>
        </w:trPr>
        <w:tc>
          <w:tcPr>
            <w:tcW w:w="6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(215,351)</w:t>
            </w: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(197,777)</w:t>
            </w:r>
          </w:p>
        </w:tc>
      </w:tr>
      <w:tr>
        <w:trPr>
          <w:trHeight w:val="20"/>
        </w:trPr>
        <w:tc>
          <w:tcPr>
            <w:tcW w:w="6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(64,077)</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(62,982)</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-314960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-314960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The Company records a valuation allowance to reduce its net deferred tax assets to the amount that is more likely than not to be realized. At December 31, 2025 and 2024, the Company carried a valuation allowance against deferred tax assets of $269.4 million and $218.1 million, respectively. These amounts are primarily related to the Company’s capital loss carryforward resulting from the 2021 sale of the Company’s operations in the United Kingdom and certain state deferred tax assets for which the Company does not have available sources of income to support realizability. If the capital loss carryforward is not utilized, it will expire in 2026.</w:t>
      </w:r>
    </w:p>
    <w:p>
      <w:pPr>
        <w:spacing w:after="0" w:line="7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8"/>
          <w:szCs w:val="18"/>
          <w:color w:val="auto"/>
        </w:rPr>
        <w:t>The Company has state net operating loss carryforwards at December 31, 2025 and 2024 of approximately $671.0 million and $546.7 million, respectively. A portion of these net operating loss carryforwards, if not utilized, will begin to expire in 2028, while some have an indefinite carryforward period. In addition, the Company has certain state tax credits of $1.4 million which will begin to expire in 2042 if not utilized.</w:t>
      </w:r>
    </w:p>
    <w:p>
      <w:pPr>
        <w:spacing w:after="0" w:line="69" w:lineRule="exact"/>
        <w:rPr>
          <w:sz w:val="20"/>
          <w:szCs w:val="20"/>
          <w:color w:val="auto"/>
        </w:rPr>
      </w:pPr>
    </w:p>
    <w:p>
      <w:pPr>
        <w:ind w:right="220" w:firstLine="509"/>
        <w:spacing w:after="0" w:line="280" w:lineRule="auto"/>
        <w:rPr>
          <w:sz w:val="20"/>
          <w:szCs w:val="20"/>
          <w:color w:val="auto"/>
        </w:rPr>
      </w:pPr>
      <w:r>
        <w:rPr>
          <w:rFonts w:ascii="Times New Roman" w:cs="Times New Roman" w:eastAsia="Times New Roman" w:hAnsi="Times New Roman"/>
          <w:sz w:val="18"/>
          <w:szCs w:val="18"/>
          <w:color w:val="auto"/>
        </w:rPr>
        <w:t>Income taxes receivable was $41.9 million and $31.9 million at December 31, 2025 and 2024, respectively, and is recorded within other current assets on the consolidated balance sheets.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1196" w:right="519" w:bottom="1440" w:gutter="0" w:footer="0" w:header="0"/>
        </w:sectPr>
      </w:pPr>
    </w:p>
    <w:bookmarkStart w:id="95" w:name="page96"/>
    <w:bookmarkEnd w:id="95"/>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has recorded liabilities related to unrecognized tax benefits of $9.3 million and $7.2 million at December 31, 2025 and 2024, respectively. These amounts are inclusive of interest and penalties of $0.5 million and $2.2 million, respectively, and are included in other liabilities on the consolidated balance sheets. The amount of unrecognized tax benefit, if realized, that would affect the effective tax rate is $9.0 million and $6.9 million at December 31, 2025 and December 31, 2024, respectively. The following table reconciles the beginning and ending amount of unrecognized income tax benefits, exclusive of any interest and penalties, for the years ended December 31, 2025, 2024, and 2023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shd w:val="clear" w:color="auto" w:fill="CFF0FC"/>
          </w:tcPr>
          <w:p>
            <w:pPr>
              <w:spacing w:after="0"/>
              <w:rPr>
                <w:sz w:val="18"/>
                <w:szCs w:val="18"/>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Reductions as a result of the lapse of applicable statutes of limitations</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-24765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-7620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-24765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federal and in many state and local jurisdictions as well as foreign jurisdictions. The Company may be subject to examination by the Internal Revenue Service (“IRS”) for tax years after 2021. Additionally, any net operating losses that were generated in prior years and utilized in these years may also be subject to examination by the IRS. While no foreign jurisdictions are presently under examination, the Company may be subject to examination for tax years after 2020. Generally, for state tax purposes, the Company’s tax years after 2020 remain open for examination by the tax authorities. At the date of this report, there were no material audits or inquiries that had progressed sufficiently to predict their ultimate outcome.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Fair Value Measurements</w:t>
      </w:r>
    </w:p>
    <w:p>
      <w:pPr>
        <w:spacing w:after="0" w:line="119"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8"/>
          <w:szCs w:val="18"/>
          <w:color w:val="auto"/>
        </w:rPr>
        <w:t>The carrying amounts reported for cash and cash equivalents, accounts receivable, other current assets, accounts payable and other current liabilities approximate fair value because of the short-term maturity of these instruments.</w:t>
      </w:r>
    </w:p>
    <w:p>
      <w:pPr>
        <w:spacing w:after="0" w:line="55" w:lineRule="exact"/>
        <w:rPr>
          <w:sz w:val="20"/>
          <w:szCs w:val="20"/>
          <w:color w:val="auto"/>
        </w:rPr>
      </w:pPr>
    </w:p>
    <w:p>
      <w:pPr>
        <w:ind w:right="200" w:firstLine="509"/>
        <w:spacing w:after="0" w:line="280" w:lineRule="auto"/>
        <w:rPr>
          <w:sz w:val="20"/>
          <w:szCs w:val="20"/>
          <w:color w:val="auto"/>
        </w:rPr>
      </w:pPr>
      <w:r>
        <w:rPr>
          <w:rFonts w:ascii="Times New Roman" w:cs="Times New Roman" w:eastAsia="Times New Roman" w:hAnsi="Times New Roman"/>
          <w:sz w:val="18"/>
          <w:szCs w:val="18"/>
          <w:color w:val="auto"/>
        </w:rPr>
        <w:t>The carrying amounts and fair values of the Credit Facility, Prior Credit Facility and Senior Notes at December 31, 2025 and 2024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1"/>
        </w:trPr>
        <w:tc>
          <w:tcPr>
            <w:tcW w:w="58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1,037,816</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1,037,816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Prior Credit Facility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1,039,349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1,039,349</w:t>
            </w:r>
          </w:p>
        </w:tc>
        <w:tc>
          <w:tcPr>
            <w:tcW w:w="100" w:type="dxa"/>
            <w:vAlign w:val="bottom"/>
          </w:tcPr>
          <w:p>
            <w:pPr>
              <w:spacing w:after="0"/>
              <w:rPr>
                <w:sz w:val="18"/>
                <w:szCs w:val="18"/>
                <w:color w:val="auto"/>
              </w:rPr>
            </w:pPr>
          </w:p>
        </w:tc>
      </w:tr>
      <w:tr>
        <w:trPr>
          <w:trHeight w:val="215"/>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5.500% Senior Notes due 2028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447,382</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446,435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443,400</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425,229</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5.000% Senior Notes due 2029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471,946</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471,125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453,540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439,324</w:t>
            </w:r>
          </w:p>
        </w:tc>
        <w:tc>
          <w:tcPr>
            <w:tcW w:w="100" w:type="dxa"/>
            <w:vAlign w:val="bottom"/>
          </w:tcPr>
          <w:p>
            <w:pPr>
              <w:spacing w:after="0"/>
              <w:rPr>
                <w:sz w:val="18"/>
                <w:szCs w:val="18"/>
                <w:color w:val="auto"/>
              </w:rPr>
            </w:pPr>
          </w:p>
        </w:tc>
      </w:tr>
      <w:tr>
        <w:trPr>
          <w:trHeight w:val="215"/>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7.375% Senior Notes due 2033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542,823</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545,537</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89"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8"/>
          <w:szCs w:val="18"/>
          <w:color w:val="auto"/>
        </w:rPr>
        <w:t>The Credit Facility, Prior Credit Facility, and Senior Notes were categorized as Level 2 in the GAAP fair value hierarchy. Fair values were based on trading activity among the Company’s lenders and the average bid and ask price as determined using published rates.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Employee Benefit Plans</w:t>
      </w:r>
    </w:p>
    <w:p>
      <w:pPr>
        <w:spacing w:after="0" w:line="119"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8"/>
          <w:szCs w:val="18"/>
          <w:color w:val="auto"/>
        </w:rPr>
        <w:t>The Company maintains a qualified defined contribution 401(k) plan covering substantially all of its employees. The Company may, at its discretion, make contributions to the plan. The Company recorded expense of $12.1 million, $12.2 million and $10.9 million related to the 401(k) plan for the years ended December 31, 2025, 2024 and 2023,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Segments</w:t>
      </w:r>
    </w:p>
    <w:p>
      <w:pPr>
        <w:spacing w:after="0" w:line="119"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The Company has one reportable segment, behavioral healthcare services. The behavioral healthcare services segment provides inpatient and outpatient behavioral healthcare services. The Company derives revenue from 40 states and Puerto Rico and manages business activities on a consolidated basis. Revenue is primarily derived from services rendered to patients for inpatient psychiatric and substance abuse care, outpatient psychiatric care and adolescent residential treatment.</w:t>
      </w:r>
    </w:p>
    <w:p>
      <w:pPr>
        <w:spacing w:after="0" w:line="72"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accounting policies of the behavioral healthcare services segment are described in Note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Summary of Significant Accounting Policies. The Company’s Chief Operating Decision Maker (“CODM”) is the Chief Executive Officer. The CODM assesses performance for the behavioral healthcare services segment and decides how to allocate resources based on earnings before interest, income taxes, depreciation and amortization (“EBITDA”). The CODM reviews expenses in a format consistent with the consolidated statements of operations. The measure of segment assets is reported on the balance sheet as total assets.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CODM uses EBITDA to evaluate income generated from segment assets in deciding whether to reinvest assets into the behavioral healthcare services segment or into other parts of the entity, such as for acquisitions or debt reduction. EBITDA is used to monitor budget versus actual results. The CODM also uses EBITDA in competitive analysis by benchmarking to the Company’s competitors. The competitive analysis along with the monitoring of budgeted versus actual results are used in assessing performance of the segment and in establishing management’s compensation. The Company does not have intra-entity sales or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481965</wp:posOffset>
            </wp:positionV>
            <wp:extent cx="71583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088" w:right="45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Personal and Confidential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29,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Sides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e-mail: Tim.Sides@Acadiahealthcare.com</w:t>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b w:val="1"/>
          <w:bCs w:val="1"/>
          <w:u w:val="single" w:color="auto"/>
          <w:color w:val="auto"/>
        </w:rPr>
        <w:t>Severance Agreement</w:t>
      </w:r>
    </w:p>
    <w:p>
      <w:pPr>
        <w:spacing w:after="0" w:line="249" w:lineRule="exact"/>
        <w:rPr>
          <w:sz w:val="20"/>
          <w:szCs w:val="20"/>
          <w:color w:val="auto"/>
        </w:rPr>
      </w:pPr>
    </w:p>
    <w:p>
      <w:pPr>
        <w:jc w:val="both"/>
        <w:ind w:firstLine="651"/>
        <w:spacing w:after="0" w:line="264" w:lineRule="auto"/>
        <w:rPr>
          <w:sz w:val="20"/>
          <w:szCs w:val="20"/>
          <w:color w:val="auto"/>
        </w:rPr>
      </w:pPr>
      <w:r>
        <w:rPr>
          <w:rFonts w:ascii="Times New Roman" w:cs="Times New Roman" w:eastAsia="Times New Roman" w:hAnsi="Times New Roman"/>
          <w:sz w:val="18"/>
          <w:szCs w:val="18"/>
          <w:color w:val="050505"/>
        </w:rPr>
        <w:t>THIS SEVERANCE AGREEMENT (</w:t>
      </w:r>
      <w:r>
        <w:rPr>
          <w:rFonts w:ascii="Times New Roman" w:cs="Times New Roman" w:eastAsia="Times New Roman" w:hAnsi="Times New Roman"/>
          <w:sz w:val="18"/>
          <w:szCs w:val="18"/>
          <w:u w:val="single" w:color="auto"/>
          <w:color w:val="050505"/>
        </w:rPr>
        <w:t>"Agreement")</w:t>
      </w:r>
      <w:r>
        <w:rPr>
          <w:rFonts w:ascii="Times New Roman" w:cs="Times New Roman" w:eastAsia="Times New Roman" w:hAnsi="Times New Roman"/>
          <w:sz w:val="18"/>
          <w:szCs w:val="18"/>
          <w:color w:val="050505"/>
        </w:rPr>
        <w:t xml:space="preserve"> is effective as of the 29th day of April, 2022 </w:t>
      </w:r>
      <w:r>
        <w:rPr>
          <w:rFonts w:ascii="Times New Roman" w:cs="Times New Roman" w:eastAsia="Times New Roman" w:hAnsi="Times New Roman"/>
          <w:sz w:val="18"/>
          <w:szCs w:val="18"/>
          <w:u w:val="single" w:color="auto"/>
          <w:color w:val="050505"/>
        </w:rPr>
        <w:t>("Effective Date"),</w:t>
      </w:r>
      <w:r>
        <w:rPr>
          <w:rFonts w:ascii="Times New Roman" w:cs="Times New Roman" w:eastAsia="Times New Roman" w:hAnsi="Times New Roman"/>
          <w:sz w:val="18"/>
          <w:szCs w:val="18"/>
          <w:color w:val="050505"/>
        </w:rPr>
        <w:t xml:space="preserve"> by and between Acadia Management Company, LLC (the </w:t>
      </w:r>
      <w:r>
        <w:rPr>
          <w:rFonts w:ascii="Times New Roman" w:cs="Times New Roman" w:eastAsia="Times New Roman" w:hAnsi="Times New Roman"/>
          <w:sz w:val="18"/>
          <w:szCs w:val="18"/>
          <w:u w:val="single" w:color="auto"/>
          <w:color w:val="1A1A1A"/>
        </w:rPr>
        <w:t>"Company''),</w:t>
      </w:r>
      <w:r>
        <w:rPr>
          <w:rFonts w:ascii="Times New Roman" w:cs="Times New Roman" w:eastAsia="Times New Roman" w:hAnsi="Times New Roman"/>
          <w:sz w:val="18"/>
          <w:szCs w:val="18"/>
          <w:color w:val="050505"/>
        </w:rPr>
        <w:t xml:space="preserve"> a Delaware limited liability company and wholly-owned subsidiary of Acadia Healthcare Company, Inc., a Delaware corporation ("Acadia"), and Tim Sides </w:t>
      </w:r>
      <w:r>
        <w:rPr>
          <w:rFonts w:ascii="Times New Roman" w:cs="Times New Roman" w:eastAsia="Times New Roman" w:hAnsi="Times New Roman"/>
          <w:sz w:val="18"/>
          <w:szCs w:val="18"/>
          <w:u w:val="single" w:color="auto"/>
          <w:color w:val="050505"/>
        </w:rPr>
        <w:t>("Employee").</w:t>
      </w:r>
    </w:p>
    <w:p>
      <w:pPr>
        <w:spacing w:after="0" w:line="177" w:lineRule="exact"/>
        <w:rPr>
          <w:sz w:val="20"/>
          <w:szCs w:val="20"/>
          <w:color w:val="auto"/>
        </w:rPr>
      </w:pPr>
    </w:p>
    <w:p>
      <w:pPr>
        <w:jc w:val="both"/>
        <w:ind w:firstLine="659"/>
        <w:spacing w:after="0" w:line="264" w:lineRule="auto"/>
        <w:rPr>
          <w:sz w:val="20"/>
          <w:szCs w:val="20"/>
          <w:color w:val="auto"/>
        </w:rPr>
      </w:pPr>
      <w:r>
        <w:rPr>
          <w:rFonts w:ascii="Times New Roman" w:cs="Times New Roman" w:eastAsia="Times New Roman" w:hAnsi="Times New Roman"/>
          <w:sz w:val="18"/>
          <w:szCs w:val="18"/>
          <w:color w:val="050505"/>
        </w:rPr>
        <w:t>In consideration of the Company awarding Employee the Restricted Shares (as defined below), the Severance Benefit (as defined below) and other good and valuable consideration, the receipt and sufficiency of which are hereby acknowledged, the Company and Employee agree as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00" w:hanging="689"/>
        <w:spacing w:after="0" w:line="264" w:lineRule="auto"/>
        <w:tabs>
          <w:tab w:leader="none" w:pos="1000" w:val="left"/>
        </w:tabs>
        <w:numPr>
          <w:ilvl w:val="0"/>
          <w:numId w:val="41"/>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Term of Agreement.</w:t>
      </w:r>
      <w:r>
        <w:rPr>
          <w:rFonts w:ascii="Times New Roman" w:cs="Times New Roman" w:eastAsia="Times New Roman" w:hAnsi="Times New Roman"/>
          <w:sz w:val="18"/>
          <w:szCs w:val="18"/>
          <w:color w:val="050505"/>
        </w:rPr>
        <w:t xml:space="preserve"> This Agreement is effective on the Effective Date and shall remain in effect throughout the term of your employment with the Company and for a period of twelve (12) months thereafter </w:t>
      </w:r>
      <w:r>
        <w:rPr>
          <w:rFonts w:ascii="Times New Roman" w:cs="Times New Roman" w:eastAsia="Times New Roman" w:hAnsi="Times New Roman"/>
          <w:sz w:val="18"/>
          <w:szCs w:val="18"/>
          <w:u w:val="single" w:color="auto"/>
          <w:color w:val="050505"/>
        </w:rPr>
        <w:t>("Restricted Period")</w:t>
      </w:r>
      <w:r>
        <w:rPr>
          <w:rFonts w:ascii="Times New Roman" w:cs="Times New Roman" w:eastAsia="Times New Roman" w:hAnsi="Times New Roman"/>
          <w:sz w:val="18"/>
          <w:szCs w:val="18"/>
          <w:color w:val="050505"/>
        </w:rPr>
        <w:t xml:space="preserve">. The date on which Employee ceases to be employed by the Company Is referred to herein as the "Terml11ation </w:t>
      </w:r>
      <w:r>
        <w:rPr>
          <w:rFonts w:ascii="Times New Roman" w:cs="Times New Roman" w:eastAsia="Times New Roman" w:hAnsi="Times New Roman"/>
          <w:sz w:val="18"/>
          <w:szCs w:val="18"/>
          <w:u w:val="single" w:color="auto"/>
          <w:color w:val="050505"/>
        </w:rPr>
        <w:t>Date."</w:t>
      </w:r>
    </w:p>
    <w:p>
      <w:pPr>
        <w:spacing w:after="0" w:line="148" w:lineRule="exact"/>
        <w:rPr>
          <w:rFonts w:ascii="Times New Roman" w:cs="Times New Roman" w:eastAsia="Times New Roman" w:hAnsi="Times New Roman"/>
          <w:sz w:val="18"/>
          <w:szCs w:val="18"/>
          <w:color w:val="050505"/>
        </w:rPr>
      </w:pPr>
    </w:p>
    <w:p>
      <w:pPr>
        <w:ind w:left="1000" w:hanging="689"/>
        <w:spacing w:after="0" w:line="282" w:lineRule="auto"/>
        <w:tabs>
          <w:tab w:leader="none" w:pos="1000" w:val="left"/>
        </w:tabs>
        <w:numPr>
          <w:ilvl w:val="0"/>
          <w:numId w:val="41"/>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Limitations of this Agreement.</w:t>
      </w:r>
      <w:r>
        <w:rPr>
          <w:rFonts w:ascii="Times New Roman" w:cs="Times New Roman" w:eastAsia="Times New Roman" w:hAnsi="Times New Roman"/>
          <w:sz w:val="18"/>
          <w:szCs w:val="18"/>
          <w:color w:val="050505"/>
        </w:rPr>
        <w:t xml:space="preserve"> This Agreement Is </w:t>
      </w:r>
      <w:r>
        <w:rPr>
          <w:rFonts w:ascii="Times New Roman" w:cs="Times New Roman" w:eastAsia="Times New Roman" w:hAnsi="Times New Roman"/>
          <w:sz w:val="18"/>
          <w:szCs w:val="18"/>
          <w:i w:val="1"/>
          <w:iCs w:val="1"/>
          <w:color w:val="050505"/>
        </w:rPr>
        <w:t>not</w:t>
      </w:r>
      <w:r>
        <w:rPr>
          <w:rFonts w:ascii="Times New Roman" w:cs="Times New Roman" w:eastAsia="Times New Roman" w:hAnsi="Times New Roman"/>
          <w:sz w:val="18"/>
          <w:szCs w:val="18"/>
          <w:color w:val="050505"/>
        </w:rPr>
        <w:t xml:space="preserve"> a contract of employment. Neither Employee nor the Company are obligated to any specific term of employment.</w:t>
      </w:r>
    </w:p>
    <w:p>
      <w:pPr>
        <w:spacing w:after="0" w:line="160" w:lineRule="exact"/>
        <w:rPr>
          <w:rFonts w:ascii="Times New Roman" w:cs="Times New Roman" w:eastAsia="Times New Roman" w:hAnsi="Times New Roman"/>
          <w:sz w:val="18"/>
          <w:szCs w:val="18"/>
          <w:color w:val="050505"/>
        </w:rPr>
      </w:pPr>
    </w:p>
    <w:p>
      <w:pPr>
        <w:jc w:val="both"/>
        <w:ind w:left="1000" w:hanging="689"/>
        <w:spacing w:after="0" w:line="247" w:lineRule="auto"/>
        <w:tabs>
          <w:tab w:leader="none" w:pos="1000" w:val="left"/>
        </w:tabs>
        <w:numPr>
          <w:ilvl w:val="0"/>
          <w:numId w:val="41"/>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Restricted Stock Award.</w:t>
      </w:r>
      <w:r>
        <w:rPr>
          <w:rFonts w:ascii="Times New Roman" w:cs="Times New Roman" w:eastAsia="Times New Roman" w:hAnsi="Times New Roman"/>
          <w:sz w:val="18"/>
          <w:szCs w:val="18"/>
          <w:color w:val="050505"/>
        </w:rPr>
        <w:t xml:space="preserve"> Employee shall receive as soon as practicable following the Effective Date an award of 7,500 restricted shares of Acadia common stock (the </w:t>
      </w:r>
      <w:r>
        <w:rPr>
          <w:rFonts w:ascii="Times New Roman" w:cs="Times New Roman" w:eastAsia="Times New Roman" w:hAnsi="Times New Roman"/>
          <w:sz w:val="23"/>
          <w:szCs w:val="23"/>
          <w:color w:val="050505"/>
          <w:vertAlign w:val="superscript"/>
        </w:rPr>
        <w:t>“</w:t>
      </w:r>
      <w:r>
        <w:rPr>
          <w:rFonts w:ascii="Times New Roman" w:cs="Times New Roman" w:eastAsia="Times New Roman" w:hAnsi="Times New Roman"/>
          <w:sz w:val="18"/>
          <w:szCs w:val="18"/>
          <w:u w:val="single" w:color="auto"/>
          <w:color w:val="050505"/>
        </w:rPr>
        <w:t>Restricted Shares”)</w:t>
      </w:r>
      <w:r>
        <w:rPr>
          <w:rFonts w:ascii="Times New Roman" w:cs="Times New Roman" w:eastAsia="Times New Roman" w:hAnsi="Times New Roman"/>
          <w:sz w:val="18"/>
          <w:szCs w:val="18"/>
          <w:color w:val="050505"/>
        </w:rPr>
        <w:t>. The Restricted Shares shall vest in four equal annual Installments from the Effective Date, subject to Employee's continued employment with the Company through the applicable vesting date and the terms of this Agreement.</w:t>
      </w:r>
    </w:p>
    <w:p>
      <w:pPr>
        <w:spacing w:after="0" w:line="150" w:lineRule="exact"/>
        <w:rPr>
          <w:rFonts w:ascii="Times New Roman" w:cs="Times New Roman" w:eastAsia="Times New Roman" w:hAnsi="Times New Roman"/>
          <w:sz w:val="18"/>
          <w:szCs w:val="18"/>
          <w:color w:val="050505"/>
        </w:rPr>
      </w:pPr>
    </w:p>
    <w:p>
      <w:pPr>
        <w:ind w:left="1000" w:hanging="689"/>
        <w:spacing w:after="0" w:line="280" w:lineRule="auto"/>
        <w:tabs>
          <w:tab w:leader="none" w:pos="1000" w:val="left"/>
        </w:tabs>
        <w:numPr>
          <w:ilvl w:val="0"/>
          <w:numId w:val="41"/>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Severance Benefit.</w:t>
      </w:r>
      <w:r>
        <w:rPr>
          <w:rFonts w:ascii="Times New Roman" w:cs="Times New Roman" w:eastAsia="Times New Roman" w:hAnsi="Times New Roman"/>
          <w:sz w:val="18"/>
          <w:szCs w:val="18"/>
          <w:color w:val="050505"/>
        </w:rPr>
        <w:t xml:space="preserve"> If Employee's employment with the Company is terminated without Cause or if Employee resigns</w:t>
      </w:r>
      <w:r>
        <w:rPr>
          <w:rFonts w:ascii="Times New Roman" w:cs="Times New Roman" w:eastAsia="Times New Roman" w:hAnsi="Times New Roman"/>
          <w:sz w:val="18"/>
          <w:szCs w:val="18"/>
          <w:color w:val="4D4D4D"/>
        </w:rPr>
        <w:t>-</w:t>
      </w:r>
      <w:r>
        <w:rPr>
          <w:rFonts w:ascii="Times New Roman" w:cs="Times New Roman" w:eastAsia="Times New Roman" w:hAnsi="Times New Roman"/>
          <w:sz w:val="18"/>
          <w:szCs w:val="18"/>
          <w:color w:val="050505"/>
        </w:rPr>
        <w:t>with Good Reason (as such terms are defined in Section 5 hereof), then Employee shall be entitled to receive:</w:t>
      </w:r>
    </w:p>
    <w:p>
      <w:pPr>
        <w:spacing w:after="0" w:line="41" w:lineRule="exact"/>
        <w:rPr>
          <w:sz w:val="20"/>
          <w:szCs w:val="20"/>
          <w:color w:val="auto"/>
        </w:rPr>
      </w:pPr>
    </w:p>
    <w:p>
      <w:pPr>
        <w:ind w:left="1000" w:right="20" w:hanging="689"/>
        <w:spacing w:after="0" w:line="266" w:lineRule="auto"/>
        <w:tabs>
          <w:tab w:leader="none" w:pos="1000" w:val="left"/>
        </w:tabs>
        <w:numPr>
          <w:ilvl w:val="0"/>
          <w:numId w:val="42"/>
        </w:numPr>
        <w:rPr>
          <w:rFonts w:ascii="Times New Roman" w:cs="Times New Roman" w:eastAsia="Times New Roman" w:hAnsi="Times New Roman"/>
          <w:sz w:val="19"/>
          <w:szCs w:val="19"/>
          <w:color w:val="050505"/>
        </w:rPr>
      </w:pPr>
      <w:r>
        <w:rPr>
          <w:rFonts w:ascii="Times New Roman" w:cs="Times New Roman" w:eastAsia="Times New Roman" w:hAnsi="Times New Roman"/>
          <w:sz w:val="18"/>
          <w:szCs w:val="18"/>
          <w:color w:val="050505"/>
        </w:rPr>
        <w:t>a severance payment equal to twelve (12) months of Employee's regular base salary in effect on the Termination Date, payable in equal Installments in the manner Employee's base salary was paid under the Company's regular payroll practices;</w:t>
      </w:r>
    </w:p>
    <w:p>
      <w:pPr>
        <w:spacing w:after="0" w:line="173" w:lineRule="exact"/>
        <w:rPr>
          <w:rFonts w:ascii="Times New Roman" w:cs="Times New Roman" w:eastAsia="Times New Roman" w:hAnsi="Times New Roman"/>
          <w:sz w:val="19"/>
          <w:szCs w:val="19"/>
          <w:color w:val="050505"/>
        </w:rPr>
      </w:pPr>
    </w:p>
    <w:p>
      <w:pPr>
        <w:ind w:left="1000" w:hanging="689"/>
        <w:spacing w:after="0"/>
        <w:tabs>
          <w:tab w:leader="none" w:pos="1000" w:val="left"/>
        </w:tabs>
        <w:numPr>
          <w:ilvl w:val="0"/>
          <w:numId w:val="42"/>
        </w:numPr>
        <w:rPr>
          <w:rFonts w:ascii="Times New Roman" w:cs="Times New Roman" w:eastAsia="Times New Roman" w:hAnsi="Times New Roman"/>
          <w:sz w:val="19"/>
          <w:szCs w:val="19"/>
          <w:color w:val="050505"/>
        </w:rPr>
      </w:pPr>
      <w:r>
        <w:rPr>
          <w:rFonts w:ascii="Times New Roman" w:cs="Times New Roman" w:eastAsia="Times New Roman" w:hAnsi="Times New Roman"/>
          <w:sz w:val="18"/>
          <w:szCs w:val="18"/>
          <w:color w:val="050505"/>
        </w:rPr>
        <w:t>the accelerated vesting of the Restricted Shares that are unvested on the Termination Date;</w:t>
      </w:r>
    </w:p>
    <w:p>
      <w:pPr>
        <w:spacing w:after="0" w:line="211" w:lineRule="exact"/>
        <w:rPr>
          <w:rFonts w:ascii="Times New Roman" w:cs="Times New Roman" w:eastAsia="Times New Roman" w:hAnsi="Times New Roman"/>
          <w:sz w:val="19"/>
          <w:szCs w:val="19"/>
          <w:color w:val="050505"/>
        </w:rPr>
      </w:pPr>
    </w:p>
    <w:p>
      <w:pPr>
        <w:ind w:left="1000" w:hanging="689"/>
        <w:spacing w:after="0"/>
        <w:tabs>
          <w:tab w:leader="none" w:pos="1000" w:val="left"/>
        </w:tabs>
        <w:numPr>
          <w:ilvl w:val="0"/>
          <w:numId w:val="42"/>
        </w:numPr>
        <w:rPr>
          <w:rFonts w:ascii="Times New Roman" w:cs="Times New Roman" w:eastAsia="Times New Roman" w:hAnsi="Times New Roman"/>
          <w:sz w:val="19"/>
          <w:szCs w:val="19"/>
          <w:color w:val="050505"/>
        </w:rPr>
      </w:pPr>
      <w:r>
        <w:rPr>
          <w:rFonts w:ascii="Times New Roman" w:cs="Times New Roman" w:eastAsia="Times New Roman" w:hAnsi="Times New Roman"/>
          <w:sz w:val="18"/>
          <w:szCs w:val="18"/>
          <w:color w:val="050505"/>
        </w:rPr>
        <w:t>PTO accrued as of the time of such termination, payable in accordance with the Company's normal policies and procedures;</w:t>
      </w:r>
    </w:p>
    <w:p>
      <w:pPr>
        <w:spacing w:after="0" w:line="198" w:lineRule="exact"/>
        <w:rPr>
          <w:rFonts w:ascii="Times New Roman" w:cs="Times New Roman" w:eastAsia="Times New Roman" w:hAnsi="Times New Roman"/>
          <w:sz w:val="19"/>
          <w:szCs w:val="19"/>
          <w:color w:val="050505"/>
        </w:rPr>
      </w:pPr>
    </w:p>
    <w:p>
      <w:pPr>
        <w:jc w:val="both"/>
        <w:ind w:left="980" w:hanging="670"/>
        <w:spacing w:after="0" w:line="264" w:lineRule="auto"/>
        <w:tabs>
          <w:tab w:leader="none" w:pos="980" w:val="left"/>
        </w:tabs>
        <w:numPr>
          <w:ilvl w:val="0"/>
          <w:numId w:val="42"/>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an amount equal to the cost of the premiums for continued health and dental insurance for Employee and Employee's dependents in accordance with the Consolidated Budget Reconciliation Act of 1985 (</w:t>
      </w:r>
      <w:r>
        <w:rPr>
          <w:rFonts w:ascii="Times New Roman" w:cs="Times New Roman" w:eastAsia="Times New Roman" w:hAnsi="Times New Roman"/>
          <w:sz w:val="18"/>
          <w:szCs w:val="18"/>
          <w:u w:val="single" w:color="auto"/>
          <w:color w:val="050505"/>
        </w:rPr>
        <w:t>"COBRA")</w:t>
      </w:r>
      <w:r>
        <w:rPr>
          <w:rFonts w:ascii="Times New Roman" w:cs="Times New Roman" w:eastAsia="Times New Roman" w:hAnsi="Times New Roman"/>
          <w:sz w:val="18"/>
          <w:szCs w:val="18"/>
          <w:color w:val="050505"/>
        </w:rPr>
        <w:t xml:space="preserve"> for twelve (12) months, payable in monthly Installments;</w:t>
      </w:r>
    </w:p>
    <w:p>
      <w:pPr>
        <w:spacing w:after="0" w:line="176" w:lineRule="exact"/>
        <w:rPr>
          <w:rFonts w:ascii="Times New Roman" w:cs="Times New Roman" w:eastAsia="Times New Roman" w:hAnsi="Times New Roman"/>
          <w:sz w:val="18"/>
          <w:szCs w:val="18"/>
          <w:color w:val="050505"/>
        </w:rPr>
      </w:pPr>
    </w:p>
    <w:p>
      <w:pPr>
        <w:ind w:left="980" w:hanging="670"/>
        <w:spacing w:after="0"/>
        <w:tabs>
          <w:tab w:leader="none" w:pos="980" w:val="left"/>
        </w:tabs>
        <w:numPr>
          <w:ilvl w:val="0"/>
          <w:numId w:val="42"/>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 xml:space="preserve">The benefits described </w:t>
      </w:r>
      <w:r>
        <w:rPr>
          <w:rFonts w:ascii="Times New Roman" w:cs="Times New Roman" w:eastAsia="Times New Roman" w:hAnsi="Times New Roman"/>
          <w:sz w:val="18"/>
          <w:szCs w:val="18"/>
          <w:color w:val="1A1A1A"/>
        </w:rPr>
        <w:t>in</w:t>
      </w:r>
      <w:r>
        <w:rPr>
          <w:rFonts w:ascii="Times New Roman" w:cs="Times New Roman" w:eastAsia="Times New Roman" w:hAnsi="Times New Roman"/>
          <w:sz w:val="18"/>
          <w:szCs w:val="18"/>
          <w:color w:val="050505"/>
        </w:rPr>
        <w:t xml:space="preserve"> subsections (a) – (d) above are collectively referred to herein as the </w:t>
      </w:r>
      <w:r>
        <w:rPr>
          <w:rFonts w:ascii="Times New Roman" w:cs="Times New Roman" w:eastAsia="Times New Roman" w:hAnsi="Times New Roman"/>
          <w:sz w:val="18"/>
          <w:szCs w:val="18"/>
          <w:u w:val="single" w:color="auto"/>
          <w:color w:val="050505"/>
        </w:rPr>
        <w:t>"Severance Benefit";</w:t>
      </w:r>
      <w:r>
        <w:rPr>
          <w:rFonts w:ascii="Times New Roman" w:cs="Times New Roman" w:eastAsia="Times New Roman" w:hAnsi="Times New Roman"/>
          <w:sz w:val="18"/>
          <w:szCs w:val="18"/>
          <w:color w:val="050505"/>
        </w:rPr>
        <w:t xml:space="preserve"> and</w:t>
      </w:r>
    </w:p>
    <w:p>
      <w:pPr>
        <w:spacing w:after="0" w:line="200" w:lineRule="exact"/>
        <w:rPr>
          <w:rFonts w:ascii="Times New Roman" w:cs="Times New Roman" w:eastAsia="Times New Roman" w:hAnsi="Times New Roman"/>
          <w:sz w:val="18"/>
          <w:szCs w:val="18"/>
          <w:color w:val="050505"/>
        </w:rPr>
      </w:pPr>
    </w:p>
    <w:p>
      <w:pPr>
        <w:spacing w:after="0" w:line="224" w:lineRule="exact"/>
        <w:rPr>
          <w:rFonts w:ascii="Times New Roman" w:cs="Times New Roman" w:eastAsia="Times New Roman" w:hAnsi="Times New Roman"/>
          <w:sz w:val="18"/>
          <w:szCs w:val="18"/>
          <w:color w:val="050505"/>
        </w:rPr>
      </w:pPr>
    </w:p>
    <w:p>
      <w:pPr>
        <w:ind w:left="920" w:hanging="610"/>
        <w:spacing w:after="0"/>
        <w:tabs>
          <w:tab w:leader="none" w:pos="920" w:val="left"/>
        </w:tabs>
        <w:numPr>
          <w:ilvl w:val="0"/>
          <w:numId w:val="42"/>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Employee agrees that before accepting any of the Severance Benefit, he will execute a full release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728980</wp:posOffset>
            </wp:positionV>
            <wp:extent cx="71583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98" w:name="page99"/>
    <w:bookmarkEnd w:id="98"/>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050505"/>
        </w:rPr>
        <w:t xml:space="preserve">claims he may have against the Company, substantially In the form attached hereto as </w:t>
      </w:r>
      <w:r>
        <w:rPr>
          <w:rFonts w:ascii="Times New Roman" w:cs="Times New Roman" w:eastAsia="Times New Roman" w:hAnsi="Times New Roman"/>
          <w:sz w:val="18"/>
          <w:szCs w:val="18"/>
          <w:u w:val="single" w:color="auto"/>
          <w:color w:val="050505"/>
        </w:rPr>
        <w:t>Schedule</w:t>
      </w:r>
      <w:r>
        <w:rPr>
          <w:rFonts w:ascii="Times New Roman" w:cs="Times New Roman" w:eastAsia="Times New Roman" w:hAnsi="Times New Roman"/>
          <w:sz w:val="18"/>
          <w:szCs w:val="18"/>
          <w:color w:val="050505"/>
        </w:rPr>
        <w:t xml:space="preserve"> 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0" w:hanging="689"/>
        <w:spacing w:after="0"/>
        <w:tabs>
          <w:tab w:leader="none" w:pos="700" w:val="left"/>
        </w:tabs>
        <w:numPr>
          <w:ilvl w:val="0"/>
          <w:numId w:val="43"/>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Termination Without Cause</w:t>
      </w:r>
      <w:r>
        <w:rPr>
          <w:rFonts w:ascii="Times New Roman" w:cs="Times New Roman" w:eastAsia="Times New Roman" w:hAnsi="Times New Roman"/>
          <w:sz w:val="18"/>
          <w:szCs w:val="18"/>
          <w:color w:val="050505"/>
        </w:rPr>
        <w:t>: Resignation with Good Reason</w:t>
      </w:r>
    </w:p>
    <w:p>
      <w:pPr>
        <w:spacing w:after="0" w:line="277" w:lineRule="exact"/>
        <w:rPr>
          <w:sz w:val="20"/>
          <w:szCs w:val="20"/>
          <w:color w:val="auto"/>
        </w:rPr>
      </w:pPr>
    </w:p>
    <w:p>
      <w:pPr>
        <w:jc w:val="both"/>
        <w:ind w:left="640" w:hanging="629"/>
        <w:spacing w:after="0" w:line="249" w:lineRule="auto"/>
        <w:tabs>
          <w:tab w:leader="none" w:pos="640" w:val="left"/>
        </w:tabs>
        <w:numPr>
          <w:ilvl w:val="0"/>
          <w:numId w:val="44"/>
        </w:numPr>
        <w:rPr>
          <w:rFonts w:ascii="Times New Roman" w:cs="Times New Roman" w:eastAsia="Times New Roman" w:hAnsi="Times New Roman"/>
          <w:sz w:val="19"/>
          <w:szCs w:val="19"/>
          <w:color w:val="050505"/>
        </w:rPr>
      </w:pPr>
      <w:r>
        <w:rPr>
          <w:rFonts w:ascii="Times New Roman" w:cs="Times New Roman" w:eastAsia="Times New Roman" w:hAnsi="Times New Roman"/>
          <w:sz w:val="18"/>
          <w:szCs w:val="18"/>
          <w:color w:val="050505"/>
        </w:rPr>
        <w:t>"Cause" shall mean with respect to Employee one or more of the following: (a) the arrest and indictment for, conviction of or plea of nolo contendere to a felony or other crime involving</w:t>
      </w:r>
      <w:r>
        <w:rPr>
          <w:rFonts w:ascii="Times New Roman" w:cs="Times New Roman" w:eastAsia="Times New Roman" w:hAnsi="Times New Roman"/>
          <w:sz w:val="18"/>
          <w:szCs w:val="18"/>
          <w:color w:val="595959"/>
        </w:rPr>
        <w:t>-</w:t>
      </w:r>
      <w:r>
        <w:rPr>
          <w:rFonts w:ascii="Times New Roman" w:cs="Times New Roman" w:eastAsia="Times New Roman" w:hAnsi="Times New Roman"/>
          <w:sz w:val="18"/>
          <w:szCs w:val="18"/>
          <w:color w:val="050505"/>
        </w:rPr>
        <w:t xml:space="preserve">moral turpitude or the conviction of any crime involving misappropriation, embezzlement or fraud with respect to Acadia or any of its subsidiaries or any of their customers, suppliers or other business relations; (b) willful conduct outside the scope of Employee's duties and responsibilities that causes Acadia or any of its subsidiaries substantial public disgrace or disrepute or demonstrable economic harm; (c) material breach of any written policy of Acadia; (d) any willful act or knowing omission of aiding or abetting a competitor of Acadia or any of Its subsidiaries to the disadvantage or detriment of Acadia and Its subsidiaries; (e) material breach of fiduciary duty, intentional misconduct or gross negligence in the performance of Employee's duties to Acadia or any of its Subsidiaries; or (f) an administrative or other proceeding arising as a result of Employee's action that results In the suspension or debarment of Employee from participation </w:t>
      </w:r>
      <w:r>
        <w:rPr>
          <w:rFonts w:ascii="Times New Roman" w:cs="Times New Roman" w:eastAsia="Times New Roman" w:hAnsi="Times New Roman"/>
          <w:sz w:val="18"/>
          <w:szCs w:val="18"/>
          <w:color w:val="181818"/>
        </w:rPr>
        <w:t>in</w:t>
      </w:r>
      <w:r>
        <w:rPr>
          <w:rFonts w:ascii="Times New Roman" w:cs="Times New Roman" w:eastAsia="Times New Roman" w:hAnsi="Times New Roman"/>
          <w:sz w:val="18"/>
          <w:szCs w:val="18"/>
          <w:color w:val="050505"/>
        </w:rPr>
        <w:t xml:space="preserve"> any contracts with, or programs of the United States or any of the fifty states or any agency or department thereof, or any finding of a governmental agency that Employee personally has engaged In misconduct in connection with their employment by the Company; provided that no determination of "Cause" may be made with respect to conduct described in subsections (c) or (e) until Employee has been given written notice from the Company detailing the specific Cause event and, to the extent such conduct is capable of being cured, as determined by the Company, a period of thirty (30) days following receipt of such notice to cure such event.</w:t>
      </w:r>
    </w:p>
    <w:p>
      <w:pPr>
        <w:spacing w:after="0" w:line="10" w:lineRule="exact"/>
        <w:rPr>
          <w:rFonts w:ascii="Times New Roman" w:cs="Times New Roman" w:eastAsia="Times New Roman" w:hAnsi="Times New Roman"/>
          <w:sz w:val="19"/>
          <w:szCs w:val="19"/>
          <w:color w:val="050505"/>
        </w:rPr>
      </w:pPr>
    </w:p>
    <w:p>
      <w:pPr>
        <w:jc w:val="both"/>
        <w:ind w:left="640" w:hanging="629"/>
        <w:spacing w:after="0" w:line="261" w:lineRule="auto"/>
        <w:tabs>
          <w:tab w:leader="none" w:pos="640" w:val="left"/>
        </w:tabs>
        <w:numPr>
          <w:ilvl w:val="0"/>
          <w:numId w:val="44"/>
        </w:numPr>
        <w:rPr>
          <w:rFonts w:ascii="Times New Roman" w:cs="Times New Roman" w:eastAsia="Times New Roman" w:hAnsi="Times New Roman"/>
          <w:sz w:val="18"/>
          <w:szCs w:val="18"/>
          <w:color w:val="050505"/>
        </w:rPr>
      </w:pPr>
      <w:r>
        <w:rPr>
          <w:rFonts w:ascii="Times New Roman" w:cs="Times New Roman" w:eastAsia="Times New Roman" w:hAnsi="Times New Roman"/>
          <w:sz w:val="17"/>
          <w:szCs w:val="17"/>
          <w:color w:val="050505"/>
        </w:rPr>
        <w:t xml:space="preserve">"Good Reason" shall mean with respect to Employee one or more of the following (in each case taken without Employee's written consent): (a) a reduction in Employee's base salary in effect on the date hereof; (b) a material diminution of Employee's job duties and responsibilities inconsistent with Employee's position; or (c) a relocation of Acadia's principal executive offices and corporate headquarters outside of a thirty (30) mile radius of Nashville, Tennessee; provided that1 none </w:t>
      </w:r>
      <w:r>
        <w:rPr>
          <w:rFonts w:ascii="Times New Roman" w:cs="Times New Roman" w:eastAsia="Times New Roman" w:hAnsi="Times New Roman"/>
          <w:sz w:val="17"/>
          <w:szCs w:val="17"/>
          <w:b w:val="1"/>
          <w:bCs w:val="1"/>
          <w:color w:val="050505"/>
        </w:rPr>
        <w:t>of</w:t>
      </w:r>
      <w:r>
        <w:rPr>
          <w:rFonts w:ascii="Times New Roman" w:cs="Times New Roman" w:eastAsia="Times New Roman" w:hAnsi="Times New Roman"/>
          <w:sz w:val="17"/>
          <w:szCs w:val="17"/>
          <w:color w:val="050505"/>
        </w:rPr>
        <w:t xml:space="preserve"> the events described above shall constitute Good Reason unless Employee shall have notified the Company In writing describing the event which constitutes Good Reason within ninety (90) days after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50505"/>
        </w:rPr>
        <w:t>the occurrence of such event and then only if the Company and/or Acadia shall have failed to</w:t>
      </w:r>
    </w:p>
    <w:p>
      <w:pPr>
        <w:spacing w:after="0" w:line="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050505"/>
        </w:rPr>
        <w:t>cure such event within thirty (30) days after the Company's receipt of such written notice and Employee elects to terminate his employment as a result within thirty (30) days after the end of such thirty (30)-day cure period.</w:t>
      </w:r>
    </w:p>
    <w:p>
      <w:pPr>
        <w:jc w:val="both"/>
        <w:ind w:left="340" w:hanging="330"/>
        <w:spacing w:after="0" w:line="249" w:lineRule="auto"/>
        <w:tabs>
          <w:tab w:leader="none" w:pos="340" w:val="left"/>
        </w:tabs>
        <w:numPr>
          <w:ilvl w:val="0"/>
          <w:numId w:val="45"/>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Non-Compete.</w:t>
      </w:r>
      <w:r>
        <w:rPr>
          <w:rFonts w:ascii="Times New Roman" w:cs="Times New Roman" w:eastAsia="Times New Roman" w:hAnsi="Times New Roman"/>
          <w:sz w:val="18"/>
          <w:szCs w:val="18"/>
          <w:color w:val="050505"/>
        </w:rPr>
        <w:t xml:space="preserve"> Because of the good and valuable consideration offered to Employee hereunder, Employee acknowledges that during the course of employment with the Company, Employee has and shall become familiar with Acadia's trade secrets and with other Confidential Information concerning Acadia and that Employee's services have been and shall be of special, unique and extraordinary value to Acadia, and, therefore, Employee agrees that, during the Restricted Period, Employee shall not, (I) directly or indirectly own any interest in, manage, control, participate in, consult with, be employed by, render services for, or in any manner engage in any business that derives at least 25% of its gross revenue from the business of providing behavioral healthcare and/or related services or (II) directly or indirectly manage, control, participate in, consult with, be employed by or render services specifically with respect to any unit, division, segment or subsidiary of any other business that engages In or otherwise competes with (or was organized for the purpose of engaging In or competing </w:t>
      </w:r>
      <w:r>
        <w:rPr>
          <w:rFonts w:ascii="Times New Roman" w:cs="Times New Roman" w:eastAsia="Times New Roman" w:hAnsi="Times New Roman"/>
          <w:sz w:val="18"/>
          <w:szCs w:val="18"/>
          <w:color w:val="030303"/>
        </w:rPr>
        <w:t>with) the business of providing behavioral healthcare and/or related services, ln each. case, within any</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color w:val="030303"/>
        </w:rPr>
        <w:t>geographical area in which Acadia engages In such businesses. For purposes of this Agreement, the term "participate in" shall include, without limitation, having any direct or indirect interest In any business, whether as a sole proprietor, owner, stockholder, partner, joint venturer, creditor or otherwise, or rendering any direct or indirect service or assistance to any individual, corporation, partnership, joint venture and other business entity (whether as a director, officer, manager, supervisor, employee, agent, consultant or otherwise). Nothing herein shall prohibit Employee from being a passive owner of not more than 2% of the outstanding stock of any class of a corporation which is publicly traded, so long as Employee has no active participation in the business of such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715010</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220"/>
          </w:cols>
          <w:pgMar w:left="1380" w:top="1440" w:right="129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350" w:hanging="350"/>
        <w:spacing w:after="0" w:line="254" w:lineRule="auto"/>
        <w:tabs>
          <w:tab w:leader="none" w:pos="35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30303"/>
        </w:rPr>
        <w:t>Non-Solicit:</w:t>
      </w:r>
      <w:r>
        <w:rPr>
          <w:rFonts w:ascii="Times New Roman" w:cs="Times New Roman" w:eastAsia="Times New Roman" w:hAnsi="Times New Roman"/>
          <w:sz w:val="18"/>
          <w:szCs w:val="18"/>
          <w:color w:val="030303"/>
        </w:rPr>
        <w:t xml:space="preserve"> Employee agrees that during the Restricted Period, Employee shall not directly or indirectly (i) induce or attempt to induce any employee or independent contractor of Acadia to leave the employ or services of Acadia, or In any way Interfere with the relationship between Acadia and Its subsidiaries and any employee or independent contractor thereof, (ii) hire or seek any business affiliation with any person who was an employee or Independent contractor of Acadia at any time during the twelve (12) months prior to the Termination Date or (iii) induce or attempt to induce any customer, supplier, licensee, licensor or other business relation of Acadia to cease doing business with Acadia or interfere with the relationship between any such customer, supplier, licensor or other business relation and Acadia,</w:t>
      </w:r>
    </w:p>
    <w:p>
      <w:pPr>
        <w:spacing w:after="0" w:line="200" w:lineRule="exact"/>
        <w:rPr>
          <w:rFonts w:ascii="Times New Roman" w:cs="Times New Roman" w:eastAsia="Times New Roman" w:hAnsi="Times New Roman"/>
          <w:sz w:val="18"/>
          <w:szCs w:val="18"/>
          <w:color w:val="050505"/>
        </w:rPr>
      </w:pPr>
    </w:p>
    <w:p>
      <w:pPr>
        <w:spacing w:after="0" w:line="201" w:lineRule="exact"/>
        <w:rPr>
          <w:rFonts w:ascii="Times New Roman" w:cs="Times New Roman" w:eastAsia="Times New Roman" w:hAnsi="Times New Roman"/>
          <w:sz w:val="18"/>
          <w:szCs w:val="18"/>
          <w:color w:val="050505"/>
        </w:rPr>
      </w:pPr>
    </w:p>
    <w:p>
      <w:pPr>
        <w:jc w:val="both"/>
        <w:ind w:left="350" w:hanging="350"/>
        <w:spacing w:after="0" w:line="254" w:lineRule="auto"/>
        <w:tabs>
          <w:tab w:leader="none" w:pos="35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30303"/>
        </w:rPr>
        <w:t>Blue-Pencil.</w:t>
      </w:r>
      <w:r>
        <w:rPr>
          <w:rFonts w:ascii="Times New Roman" w:cs="Times New Roman" w:eastAsia="Times New Roman" w:hAnsi="Times New Roman"/>
          <w:sz w:val="18"/>
          <w:szCs w:val="18"/>
          <w:color w:val="030303"/>
        </w:rPr>
        <w:t xml:space="preserve"> If, at the time of enforcement of this Agreement,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duration, scope and area permitted by law. Employee hereby acknowledges and represents that Employee has either consulted with independent legal counsel regarding rights and obligations under this Agreement or knowingly and voluntarily waived the opportunity to do so and that Employee fully understands the terms and conditions contained herein.</w:t>
      </w:r>
    </w:p>
    <w:p>
      <w:pPr>
        <w:spacing w:after="0" w:line="361" w:lineRule="exact"/>
        <w:rPr>
          <w:rFonts w:ascii="Times New Roman" w:cs="Times New Roman" w:eastAsia="Times New Roman" w:hAnsi="Times New Roman"/>
          <w:sz w:val="18"/>
          <w:szCs w:val="18"/>
          <w:color w:val="050505"/>
        </w:rPr>
      </w:pPr>
    </w:p>
    <w:p>
      <w:pPr>
        <w:jc w:val="both"/>
        <w:ind w:left="330" w:right="40" w:hanging="330"/>
        <w:spacing w:after="0" w:line="253" w:lineRule="auto"/>
        <w:tabs>
          <w:tab w:leader="none" w:pos="33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30303"/>
        </w:rPr>
        <w:t>Non-Disparagement.</w:t>
      </w:r>
      <w:r>
        <w:rPr>
          <w:rFonts w:ascii="Times New Roman" w:cs="Times New Roman" w:eastAsia="Times New Roman" w:hAnsi="Times New Roman"/>
          <w:sz w:val="18"/>
          <w:szCs w:val="18"/>
          <w:color w:val="030303"/>
        </w:rPr>
        <w:t xml:space="preserve"> Employee hereby covenants and agrees that, except as may be required by applicable law, Employee shall not make any statement, written or verbal, In any forum or media, or take any other action In disparagement of Acadia, </w:t>
      </w:r>
      <w:r>
        <w:rPr>
          <w:rFonts w:ascii="Times New Roman" w:cs="Times New Roman" w:eastAsia="Times New Roman" w:hAnsi="Times New Roman"/>
          <w:sz w:val="18"/>
          <w:szCs w:val="18"/>
          <w:color w:val="313131"/>
        </w:rPr>
        <w:t>.</w:t>
      </w:r>
      <w:r>
        <w:rPr>
          <w:rFonts w:ascii="Times New Roman" w:cs="Times New Roman" w:eastAsia="Times New Roman" w:hAnsi="Times New Roman"/>
          <w:sz w:val="18"/>
          <w:szCs w:val="18"/>
          <w:color w:val="030303"/>
        </w:rPr>
        <w:t xml:space="preserve">any of its subsidiaries or any of Acadia's directors, officers or employees, during their term of employment and for a period of five (5) years thereafter (the </w:t>
      </w:r>
      <w:r>
        <w:rPr>
          <w:rFonts w:ascii="Times New Roman" w:cs="Times New Roman" w:eastAsia="Times New Roman" w:hAnsi="Times New Roman"/>
          <w:sz w:val="18"/>
          <w:szCs w:val="18"/>
          <w:u w:val="single" w:color="auto"/>
          <w:color w:val="030303"/>
        </w:rPr>
        <w:t>"Non-Disparagement Period").</w:t>
      </w:r>
      <w:r>
        <w:rPr>
          <w:rFonts w:ascii="Times New Roman" w:cs="Times New Roman" w:eastAsia="Times New Roman" w:hAnsi="Times New Roman"/>
          <w:sz w:val="18"/>
          <w:szCs w:val="18"/>
          <w:color w:val="030303"/>
        </w:rPr>
        <w:t xml:space="preserve"> Without limiting any other obligation of Acadia pursuant to this Agreement, Acadia hereby covenants and agrees that, except as may be required by applicable law, Acadia shall instruct Its officers and members of the Board, in their official capacities with Acadia, not to make, any statement, written or verbal, In any forum or media, or take any other action In disparagement </w:t>
      </w:r>
      <w:r>
        <w:rPr>
          <w:rFonts w:ascii="Times New Roman" w:cs="Times New Roman" w:eastAsia="Times New Roman" w:hAnsi="Times New Roman"/>
          <w:sz w:val="18"/>
          <w:szCs w:val="18"/>
          <w:color w:val="050505"/>
        </w:rPr>
        <w:t>of Employee, during the Non-Disparagement Period. This Section will not be violated by (i) truthful statements required to be made by law or legal process1 or (ii) Internal statements in connection with providing services to Acadia and its subsidiaries.</w:t>
      </w:r>
    </w:p>
    <w:p>
      <w:pPr>
        <w:spacing w:after="0" w:line="186" w:lineRule="exact"/>
        <w:rPr>
          <w:rFonts w:ascii="Times New Roman" w:cs="Times New Roman" w:eastAsia="Times New Roman" w:hAnsi="Times New Roman"/>
          <w:sz w:val="18"/>
          <w:szCs w:val="18"/>
          <w:color w:val="050505"/>
        </w:rPr>
      </w:pPr>
    </w:p>
    <w:p>
      <w:pPr>
        <w:jc w:val="both"/>
        <w:ind w:left="350" w:hanging="350"/>
        <w:spacing w:after="0" w:line="264" w:lineRule="auto"/>
        <w:tabs>
          <w:tab w:leader="none" w:pos="35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auto"/>
        </w:rPr>
        <w:t>Legal Fees and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In the event that either party prevails in an action against the other party to enforce the terms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this Agreement, such prevailing party shall receive all court costs and attorneys' fees incurred by it in connection with such action from the other party,</w:t>
      </w:r>
    </w:p>
    <w:p>
      <w:pPr>
        <w:spacing w:after="0" w:line="365" w:lineRule="exact"/>
        <w:rPr>
          <w:rFonts w:ascii="Times New Roman" w:cs="Times New Roman" w:eastAsia="Times New Roman" w:hAnsi="Times New Roman"/>
          <w:sz w:val="18"/>
          <w:szCs w:val="18"/>
          <w:color w:val="050505"/>
        </w:rPr>
      </w:pPr>
    </w:p>
    <w:p>
      <w:pPr>
        <w:jc w:val="both"/>
        <w:ind w:left="330" w:right="40" w:hanging="330"/>
        <w:spacing w:after="0" w:line="259" w:lineRule="auto"/>
        <w:tabs>
          <w:tab w:leader="none" w:pos="33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color w:val="050505"/>
        </w:rPr>
        <w:t>Injunctive Relief</w:t>
      </w:r>
      <w:r>
        <w:rPr>
          <w:rFonts w:ascii="Times New Roman" w:cs="Times New Roman" w:eastAsia="Times New Roman" w:hAnsi="Times New Roman"/>
          <w:sz w:val="18"/>
          <w:szCs w:val="18"/>
          <w:color w:val="2F2F2F"/>
        </w:rPr>
        <w:t>.</w:t>
      </w:r>
      <w:r>
        <w:rPr>
          <w:rFonts w:ascii="Times New Roman" w:cs="Times New Roman" w:eastAsia="Times New Roman" w:hAnsi="Times New Roman"/>
          <w:sz w:val="18"/>
          <w:szCs w:val="18"/>
          <w:color w:val="050505"/>
        </w:rPr>
        <w:t xml:space="preserve"> Employee hereby acknowledges (1) that the Company will suffer irreparable harm If Employee breaches obligations under this Agreement; and (2) that monetary damages will be inadequate to compensate the Company for such a breach. Therefore, if Employee breaches any of such provisions, then the Company shall be entitled to injunctive relief, in addition to any other remedies at law or equity, to enforce such provisions.</w:t>
      </w:r>
    </w:p>
    <w:p>
      <w:pPr>
        <w:spacing w:after="0" w:line="329" w:lineRule="exact"/>
        <w:rPr>
          <w:rFonts w:ascii="Times New Roman" w:cs="Times New Roman" w:eastAsia="Times New Roman" w:hAnsi="Times New Roman"/>
          <w:sz w:val="18"/>
          <w:szCs w:val="18"/>
          <w:color w:val="050505"/>
        </w:rPr>
      </w:pPr>
    </w:p>
    <w:p>
      <w:pPr>
        <w:jc w:val="both"/>
        <w:ind w:left="330" w:right="40" w:hanging="330"/>
        <w:spacing w:after="0" w:line="264" w:lineRule="auto"/>
        <w:tabs>
          <w:tab w:leader="none" w:pos="33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Severable Provisions.</w:t>
      </w:r>
      <w:r>
        <w:rPr>
          <w:rFonts w:ascii="Times New Roman" w:cs="Times New Roman" w:eastAsia="Times New Roman" w:hAnsi="Times New Roman"/>
          <w:sz w:val="18"/>
          <w:szCs w:val="18"/>
          <w:color w:val="050505"/>
        </w:rPr>
        <w:t xml:space="preserve"> The provisions of this Agreement are severable, and if any one or more provisions may be determined to be Illegal or otherwise unenforceable, in whole or in part, the remaining provisions and any partially unenforceable provisions to the extent enforceable shall nevertheless be binding and enforceable.</w:t>
      </w:r>
    </w:p>
    <w:p>
      <w:pPr>
        <w:spacing w:after="0" w:line="311" w:lineRule="exact"/>
        <w:rPr>
          <w:rFonts w:ascii="Times New Roman" w:cs="Times New Roman" w:eastAsia="Times New Roman" w:hAnsi="Times New Roman"/>
          <w:sz w:val="18"/>
          <w:szCs w:val="18"/>
          <w:color w:val="050505"/>
        </w:rPr>
      </w:pPr>
    </w:p>
    <w:p>
      <w:pPr>
        <w:ind w:left="370" w:hanging="370"/>
        <w:spacing w:after="0"/>
        <w:tabs>
          <w:tab w:leader="none" w:pos="370" w:val="left"/>
        </w:tabs>
        <w:numPr>
          <w:ilvl w:val="0"/>
          <w:numId w:val="46"/>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Modifications</w:t>
      </w:r>
      <w:r>
        <w:rPr>
          <w:rFonts w:ascii="Times New Roman" w:cs="Times New Roman" w:eastAsia="Times New Roman" w:hAnsi="Times New Roman"/>
          <w:sz w:val="18"/>
          <w:szCs w:val="18"/>
          <w:color w:val="050505"/>
        </w:rPr>
        <w:t>. This Agreement may be modified only by a writing executed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-1416050</wp:posOffset>
            </wp:positionV>
            <wp:extent cx="7670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7" w:lineRule="exact"/>
        <w:rPr>
          <w:sz w:val="20"/>
          <w:szCs w:val="20"/>
          <w:color w:val="auto"/>
        </w:rPr>
      </w:pPr>
    </w:p>
    <w:p>
      <w:pPr>
        <w:ind w:left="650"/>
        <w:spacing w:after="0"/>
        <w:rPr>
          <w:sz w:val="20"/>
          <w:szCs w:val="20"/>
          <w:color w:val="auto"/>
        </w:rPr>
      </w:pPr>
      <w:r>
        <w:rPr>
          <w:rFonts w:ascii="Times New Roman" w:cs="Times New Roman" w:eastAsia="Times New Roman" w:hAnsi="Times New Roman"/>
          <w:sz w:val="18"/>
          <w:szCs w:val="18"/>
          <w:color w:val="050505"/>
        </w:rPr>
        <w:t>both Employee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760095</wp:posOffset>
            </wp:positionV>
            <wp:extent cx="71583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230"/>
          </w:cols>
          <w:pgMar w:left="1390" w:top="1440" w:right="1279" w:bottom="1440" w:gutter="0" w:footer="0" w:header="0"/>
        </w:sectPr>
      </w:pPr>
    </w:p>
    <w:bookmarkStart w:id="100" w:name="page101"/>
    <w:bookmarkEnd w:id="100"/>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ind w:left="540" w:right="20" w:hanging="330"/>
        <w:spacing w:after="0" w:line="260" w:lineRule="auto"/>
        <w:tabs>
          <w:tab w:leader="none" w:pos="540" w:val="left"/>
        </w:tabs>
        <w:numPr>
          <w:ilvl w:val="0"/>
          <w:numId w:val="4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Prior Understandings</w:t>
      </w:r>
      <w:r>
        <w:rPr>
          <w:rFonts w:ascii="Times New Roman" w:cs="Times New Roman" w:eastAsia="Times New Roman" w:hAnsi="Times New Roman"/>
          <w:sz w:val="18"/>
          <w:szCs w:val="18"/>
          <w:color w:val="050505"/>
        </w:rPr>
        <w:t>. This Agreement contains the entire agreement between the parties with respect to the subject matter of this Agreement. The Agreement supersedes all prior understanding, agreements, or representations.</w:t>
      </w:r>
    </w:p>
    <w:p>
      <w:pPr>
        <w:jc w:val="both"/>
        <w:ind w:left="540" w:hanging="330"/>
        <w:spacing w:after="0" w:line="252" w:lineRule="auto"/>
        <w:tabs>
          <w:tab w:leader="none" w:pos="540" w:val="left"/>
        </w:tabs>
        <w:numPr>
          <w:ilvl w:val="0"/>
          <w:numId w:val="4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Waiver.</w:t>
      </w:r>
      <w:r>
        <w:rPr>
          <w:rFonts w:ascii="Times New Roman" w:cs="Times New Roman" w:eastAsia="Times New Roman" w:hAnsi="Times New Roman"/>
          <w:sz w:val="18"/>
          <w:szCs w:val="18"/>
          <w:color w:val="050505"/>
        </w:rPr>
        <w:t xml:space="preserve"> Any waiver of a default under this Agreement must be made in writing and shall not be a waiver of any other default concerning the same or any other provision of this Agreement. No delay or omission in the exercise of any right or remedy shall Impair such right or remedy or be constructed as a waiver. A consent to or approval of any act shall not be deemed to waive or render unnecessary consent to or approval of any other or subsequent act.</w:t>
      </w:r>
    </w:p>
    <w:p>
      <w:pPr>
        <w:spacing w:after="0" w:line="186" w:lineRule="exact"/>
        <w:rPr>
          <w:rFonts w:ascii="Times New Roman" w:cs="Times New Roman" w:eastAsia="Times New Roman" w:hAnsi="Times New Roman"/>
          <w:sz w:val="18"/>
          <w:szCs w:val="18"/>
          <w:color w:val="050505"/>
        </w:rPr>
      </w:pPr>
    </w:p>
    <w:p>
      <w:pPr>
        <w:jc w:val="both"/>
        <w:ind w:left="540" w:hanging="330"/>
        <w:spacing w:after="0" w:line="254" w:lineRule="auto"/>
        <w:tabs>
          <w:tab w:leader="none" w:pos="540" w:val="left"/>
        </w:tabs>
        <w:numPr>
          <w:ilvl w:val="0"/>
          <w:numId w:val="4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Jurisdiction and Venue.</w:t>
      </w:r>
      <w:r>
        <w:rPr>
          <w:rFonts w:ascii="Times New Roman" w:cs="Times New Roman" w:eastAsia="Times New Roman" w:hAnsi="Times New Roman"/>
          <w:sz w:val="18"/>
          <w:szCs w:val="18"/>
          <w:color w:val="050505"/>
        </w:rPr>
        <w:t xml:space="preserve"> All issues and questions concerning the construction, validity, enforcement and interpretation of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agree that any dispute arising out of or relating to this Agreement, exclusively shall be brought in the state courts located in Williamson County, Tennessee or the United States District Court for the Middle District of Tennessee. Each party hereby waives any objection to the personal or subject matter </w:t>
      </w:r>
      <w:r>
        <w:rPr>
          <w:rFonts w:ascii="Times New Roman" w:cs="Times New Roman" w:eastAsia="Times New Roman" w:hAnsi="Times New Roman"/>
          <w:sz w:val="18"/>
          <w:szCs w:val="18"/>
          <w:color w:val="1A1A1A"/>
        </w:rPr>
        <w:t>jurisdiction</w:t>
      </w:r>
      <w:r>
        <w:rPr>
          <w:rFonts w:ascii="Times New Roman" w:cs="Times New Roman" w:eastAsia="Times New Roman" w:hAnsi="Times New Roman"/>
          <w:sz w:val="18"/>
          <w:szCs w:val="18"/>
          <w:color w:val="050505"/>
        </w:rPr>
        <w:t xml:space="preserve"> and venue of such courts.</w:t>
      </w:r>
    </w:p>
    <w:p>
      <w:pPr>
        <w:spacing w:after="0" w:line="334" w:lineRule="exact"/>
        <w:rPr>
          <w:rFonts w:ascii="Times New Roman" w:cs="Times New Roman" w:eastAsia="Times New Roman" w:hAnsi="Times New Roman"/>
          <w:sz w:val="18"/>
          <w:szCs w:val="18"/>
          <w:color w:val="050505"/>
        </w:rPr>
      </w:pPr>
    </w:p>
    <w:p>
      <w:pPr>
        <w:jc w:val="both"/>
        <w:ind w:left="540" w:right="20" w:hanging="330"/>
        <w:spacing w:after="0" w:line="256" w:lineRule="auto"/>
        <w:tabs>
          <w:tab w:leader="none" w:pos="540" w:val="left"/>
        </w:tabs>
        <w:numPr>
          <w:ilvl w:val="0"/>
          <w:numId w:val="47"/>
        </w:numPr>
        <w:rPr>
          <w:rFonts w:ascii="Times New Roman" w:cs="Times New Roman" w:eastAsia="Times New Roman" w:hAnsi="Times New Roman"/>
          <w:sz w:val="18"/>
          <w:szCs w:val="18"/>
          <w:color w:val="050505"/>
        </w:rPr>
      </w:pPr>
      <w:r>
        <w:rPr>
          <w:rFonts w:ascii="Times New Roman" w:cs="Times New Roman" w:eastAsia="Times New Roman" w:hAnsi="Times New Roman"/>
          <w:sz w:val="18"/>
          <w:szCs w:val="18"/>
          <w:u w:val="single" w:color="auto"/>
          <w:color w:val="050505"/>
        </w:rPr>
        <w:t>Notice.</w:t>
      </w:r>
      <w:r>
        <w:rPr>
          <w:rFonts w:ascii="Times New Roman" w:cs="Times New Roman" w:eastAsia="Times New Roman" w:hAnsi="Times New Roman"/>
          <w:sz w:val="18"/>
          <w:szCs w:val="18"/>
          <w:color w:val="050505"/>
        </w:rPr>
        <w:t xml:space="preserve"> Any notice required or permitted to be given under the Agreement shall be sufficient If In writing and will be deemed to have been given when delivered in person (to Employee if such notice </w:t>
      </w:r>
      <w:r>
        <w:rPr>
          <w:rFonts w:ascii="Times New Roman" w:cs="Times New Roman" w:eastAsia="Times New Roman" w:hAnsi="Times New Roman"/>
          <w:sz w:val="18"/>
          <w:szCs w:val="18"/>
          <w:i w:val="1"/>
          <w:iCs w:val="1"/>
          <w:color w:val="050505"/>
        </w:rPr>
        <w:t>is</w:t>
      </w:r>
      <w:r>
        <w:rPr>
          <w:rFonts w:ascii="Times New Roman" w:cs="Times New Roman" w:eastAsia="Times New Roman" w:hAnsi="Times New Roman"/>
          <w:sz w:val="18"/>
          <w:szCs w:val="18"/>
          <w:color w:val="050505"/>
        </w:rPr>
        <w:t xml:space="preserve"> for Employee) or five days following mailing by first class, certified or registered mail, postage prepaid, to Employee at Employee's home address, or such addresses as Employee shall have designated in writing, or if to the Company, to the attention of the General Counsel of Acadia, at the principal place of business of Acadia.</w:t>
      </w:r>
    </w:p>
    <w:p>
      <w:pPr>
        <w:spacing w:after="0" w:line="226" w:lineRule="exact"/>
        <w:rPr>
          <w:sz w:val="20"/>
          <w:szCs w:val="20"/>
          <w:color w:val="auto"/>
        </w:rPr>
      </w:pPr>
    </w:p>
    <w:p>
      <w:pPr>
        <w:ind w:left="920" w:right="3040" w:hanging="1032"/>
        <w:spacing w:after="0" w:line="311" w:lineRule="auto"/>
        <w:rPr>
          <w:sz w:val="20"/>
          <w:szCs w:val="20"/>
          <w:color w:val="auto"/>
        </w:rPr>
      </w:pPr>
      <w:r>
        <w:rPr>
          <w:rFonts w:ascii="Times New Roman" w:cs="Times New Roman" w:eastAsia="Times New Roman" w:hAnsi="Times New Roman"/>
          <w:sz w:val="18"/>
          <w:szCs w:val="18"/>
          <w:color w:val="050505"/>
        </w:rPr>
        <w:t>IN WITNESS WHEREOF, each of the undersigned has executed this Agreement as of the date first above written.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1082675</wp:posOffset>
            </wp:positionV>
            <wp:extent cx="71583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420"/>
          </w:cols>
          <w:pgMar w:left="1180" w:top="1440" w:right="129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Sincerely,</w:t>
      </w:r>
    </w:p>
    <w:p>
      <w:pPr>
        <w:spacing w:after="0" w:line="242"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21"/>
          <w:szCs w:val="21"/>
          <w:color w:val="auto"/>
        </w:rPr>
        <w:t>ACADIA MANAGEMENT COMPANY, LLC</w:t>
      </w:r>
    </w:p>
    <w:p>
      <w:pPr>
        <w:spacing w:after="0" w:line="200" w:lineRule="exact"/>
        <w:rPr>
          <w:sz w:val="20"/>
          <w:szCs w:val="20"/>
          <w:color w:val="auto"/>
        </w:rPr>
      </w:pPr>
    </w:p>
    <w:p>
      <w:pPr>
        <w:spacing w:after="0" w:line="2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 /s/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-6985</wp:posOffset>
            </wp:positionV>
            <wp:extent cx="19526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Name: Christopher L. Howard</w:t>
      </w:r>
    </w:p>
    <w:p>
      <w:pPr>
        <w:ind w:left="4180"/>
        <w:spacing w:after="0"/>
        <w:rPr>
          <w:sz w:val="20"/>
          <w:szCs w:val="20"/>
          <w:color w:val="auto"/>
        </w:rPr>
      </w:pPr>
      <w:r>
        <w:rPr>
          <w:rFonts w:ascii="Times New Roman" w:cs="Times New Roman" w:eastAsia="Times New Roman" w:hAnsi="Times New Roman"/>
          <w:sz w:val="21"/>
          <w:szCs w:val="21"/>
          <w:color w:val="auto"/>
        </w:rPr>
        <w:t>Title: Vice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ACKNOWLEDGED AND AGREED: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Timothy 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0922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Timothy Sides</w:t>
      </w:r>
    </w:p>
    <w:p>
      <w:pPr>
        <w:spacing w:after="0" w:line="21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4305300</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-6985</wp:posOffset>
            </wp:positionV>
            <wp:extent cx="15811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Schedule 1</w:t>
      </w:r>
    </w:p>
    <w:p>
      <w:pPr>
        <w:spacing w:after="0" w:line="24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FORM OF GENERAL RELEASE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580" w:right="960" w:firstLine="193"/>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Tim Sides</w:t>
      </w:r>
      <w:r>
        <w:rPr>
          <w:rFonts w:ascii="Times New Roman" w:cs="Times New Roman" w:eastAsia="Times New Roman" w:hAnsi="Times New Roman"/>
          <w:sz w:val="18"/>
          <w:szCs w:val="18"/>
          <w:color w:val="auto"/>
        </w:rPr>
        <w:t xml:space="preserve">, in consideration </w:t>
      </w:r>
      <w:r>
        <w:rPr>
          <w:rFonts w:ascii="Times New Roman" w:cs="Times New Roman" w:eastAsia="Times New Roman" w:hAnsi="Times New Roman"/>
          <w:sz w:val="18"/>
          <w:szCs w:val="18"/>
          <w:color w:val="030303"/>
        </w:rPr>
        <w:t>of and subject to the performance by Acadia Management Company, LLC,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30303"/>
        </w:rPr>
        <w:t>Delaware limited liability company (together with Its affiliates, the “</w:t>
      </w:r>
      <w:r>
        <w:rPr>
          <w:rFonts w:ascii="Times New Roman" w:cs="Times New Roman" w:eastAsia="Times New Roman" w:hAnsi="Times New Roman"/>
          <w:sz w:val="18"/>
          <w:szCs w:val="18"/>
          <w:u w:val="single" w:color="auto"/>
          <w:color w:val="030303"/>
        </w:rPr>
        <w:t>Company”),</w:t>
      </w:r>
      <w:r>
        <w:rPr>
          <w:rFonts w:ascii="Times New Roman" w:cs="Times New Roman" w:eastAsia="Times New Roman" w:hAnsi="Times New Roman"/>
          <w:sz w:val="18"/>
          <w:szCs w:val="18"/>
          <w:color w:val="030303"/>
        </w:rPr>
        <w:t xml:space="preserve"> of the Company's obligations under the Severance Agreement dated as of April 21, 2022 (the “</w:t>
      </w:r>
      <w:r>
        <w:rPr>
          <w:rFonts w:ascii="Times New Roman" w:cs="Times New Roman" w:eastAsia="Times New Roman" w:hAnsi="Times New Roman"/>
          <w:sz w:val="18"/>
          <w:szCs w:val="18"/>
          <w:u w:val="single" w:color="auto"/>
          <w:color w:val="030303"/>
        </w:rPr>
        <w:t>Agreement”')</w:t>
      </w:r>
      <w:r>
        <w:rPr>
          <w:rFonts w:ascii="Times New Roman" w:cs="Times New Roman" w:eastAsia="Times New Roman" w:hAnsi="Times New Roman"/>
          <w:sz w:val="18"/>
          <w:szCs w:val="18"/>
          <w:color w:val="030303"/>
        </w:rPr>
        <w:t xml:space="preserve">, do hereby release and forever discharge as of the date hereof the Company and all present, former and future managers, directors, officers, employees, successors and assigns of the Company and direct or Indirect owners (collectively, the </w:t>
      </w:r>
      <w:r>
        <w:rPr>
          <w:rFonts w:ascii="Times New Roman" w:cs="Times New Roman" w:eastAsia="Times New Roman" w:hAnsi="Times New Roman"/>
          <w:sz w:val="18"/>
          <w:szCs w:val="18"/>
          <w:u w:val="single" w:color="auto"/>
          <w:color w:val="030303"/>
        </w:rPr>
        <w:t>“Released Parties”)</w:t>
      </w:r>
      <w:r>
        <w:rPr>
          <w:rFonts w:ascii="Times New Roman" w:cs="Times New Roman" w:eastAsia="Times New Roman" w:hAnsi="Times New Roman"/>
          <w:sz w:val="18"/>
          <w:szCs w:val="18"/>
          <w:color w:val="030303"/>
        </w:rPr>
        <w:t xml:space="preserve"> to the extent provided below (this “</w:t>
      </w:r>
      <w:r>
        <w:rPr>
          <w:rFonts w:ascii="Times New Roman" w:cs="Times New Roman" w:eastAsia="Times New Roman" w:hAnsi="Times New Roman"/>
          <w:sz w:val="18"/>
          <w:szCs w:val="18"/>
          <w:u w:val="single" w:color="auto"/>
          <w:color w:val="030303"/>
        </w:rPr>
        <w:t>General Release”)</w:t>
      </w:r>
      <w:r>
        <w:rPr>
          <w:rFonts w:ascii="Times New Roman" w:cs="Times New Roman" w:eastAsia="Times New Roman" w:hAnsi="Times New Roman"/>
          <w:sz w:val="18"/>
          <w:szCs w:val="18"/>
          <w:color w:val="030303"/>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186" w:lineRule="exact"/>
        <w:rPr>
          <w:sz w:val="20"/>
          <w:szCs w:val="20"/>
          <w:color w:val="auto"/>
        </w:rPr>
      </w:pPr>
    </w:p>
    <w:p>
      <w:pPr>
        <w:ind w:left="580" w:right="1020" w:firstLine="195"/>
        <w:spacing w:after="0" w:line="255" w:lineRule="auto"/>
        <w:rPr>
          <w:sz w:val="20"/>
          <w:szCs w:val="20"/>
          <w:color w:val="auto"/>
        </w:rPr>
      </w:pPr>
      <w:r>
        <w:rPr>
          <w:rFonts w:ascii="Times New Roman" w:cs="Times New Roman" w:eastAsia="Times New Roman" w:hAnsi="Times New Roman"/>
          <w:sz w:val="18"/>
          <w:szCs w:val="18"/>
          <w:color w:val="030303"/>
        </w:rPr>
        <w:t>1.l understand that any payments or benefits paid or granted to me under Section 4 of the Agreement represent, in part, consideration for signing this General Release and are not salary, wages or benefits to which I was already entitled. I understand and agree that I will not receive certain of the payments and benefits specified in Section 4,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w:t>
      </w:r>
    </w:p>
    <w:p>
      <w:pPr>
        <w:spacing w:after="0" w:line="78" w:lineRule="exact"/>
        <w:rPr>
          <w:sz w:val="20"/>
          <w:szCs w:val="20"/>
          <w:color w:val="auto"/>
        </w:rPr>
      </w:pPr>
    </w:p>
    <w:p>
      <w:pPr>
        <w:ind w:left="580" w:right="1040" w:firstLine="210"/>
        <w:spacing w:after="0" w:line="251" w:lineRule="auto"/>
        <w:rPr>
          <w:sz w:val="20"/>
          <w:szCs w:val="20"/>
          <w:color w:val="auto"/>
        </w:rPr>
      </w:pPr>
      <w:r>
        <w:rPr>
          <w:rFonts w:ascii="Times New Roman" w:cs="Times New Roman" w:eastAsia="Times New Roman" w:hAnsi="Times New Roman"/>
          <w:sz w:val="18"/>
          <w:szCs w:val="18"/>
          <w:color w:val="030303"/>
        </w:rPr>
        <w:t>2.Except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including those that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w:t>
      </w:r>
    </w:p>
    <w:p>
      <w:pPr>
        <w:spacing w:after="0" w:line="1" w:lineRule="exact"/>
        <w:rPr>
          <w:sz w:val="20"/>
          <w:szCs w:val="20"/>
          <w:color w:val="auto"/>
        </w:rPr>
      </w:pPr>
    </w:p>
    <w:p>
      <w:pPr>
        <w:jc w:val="both"/>
        <w:ind w:left="580" w:right="980" w:firstLine="7"/>
        <w:spacing w:after="0" w:line="252" w:lineRule="auto"/>
        <w:rPr>
          <w:sz w:val="20"/>
          <w:szCs w:val="20"/>
          <w:color w:val="auto"/>
        </w:rPr>
      </w:pPr>
      <w:r>
        <w:rPr>
          <w:rFonts w:ascii="Times New Roman" w:cs="Times New Roman" w:eastAsia="Times New Roman" w:hAnsi="Times New Roman"/>
          <w:sz w:val="18"/>
          <w:szCs w:val="18"/>
          <w:color w:val="030303"/>
        </w:rPr>
        <w:t>(including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18"/>
          <w:szCs w:val="18"/>
          <w:u w:val="single" w:color="auto"/>
          <w:color w:val="030303"/>
        </w:rPr>
        <w:t>Claims”).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030303"/>
        </w:rPr>
        <w:t>3.The released claims described in paragraph 2 hereof Include all such claims, whether known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635635</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03" w:name="page104"/>
    <w:bookmarkEnd w:id="103"/>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030303"/>
        </w:rPr>
        <w:t>unknown by me.</w:t>
      </w:r>
    </w:p>
    <w:p>
      <w:pPr>
        <w:spacing w:after="0" w:line="102" w:lineRule="exact"/>
        <w:rPr>
          <w:sz w:val="20"/>
          <w:szCs w:val="20"/>
          <w:color w:val="auto"/>
        </w:rPr>
      </w:pPr>
    </w:p>
    <w:p>
      <w:pPr>
        <w:ind w:left="640" w:right="500" w:firstLine="195"/>
        <w:spacing w:after="0" w:line="280" w:lineRule="auto"/>
        <w:rPr>
          <w:sz w:val="20"/>
          <w:szCs w:val="20"/>
          <w:color w:val="auto"/>
        </w:rPr>
      </w:pPr>
      <w:r>
        <w:rPr>
          <w:rFonts w:ascii="Times New Roman" w:cs="Times New Roman" w:eastAsia="Times New Roman" w:hAnsi="Times New Roman"/>
          <w:sz w:val="18"/>
          <w:szCs w:val="18"/>
          <w:color w:val="030303"/>
        </w:rPr>
        <w:t>4.I represent that I have made no assignment or transfer of any right, claim, demand, cause of action, or other matter covered by paragraph 2 above,</w:t>
      </w:r>
    </w:p>
    <w:p>
      <w:pPr>
        <w:spacing w:after="0" w:line="55" w:lineRule="exact"/>
        <w:rPr>
          <w:sz w:val="20"/>
          <w:szCs w:val="20"/>
          <w:color w:val="auto"/>
        </w:rPr>
      </w:pPr>
    </w:p>
    <w:p>
      <w:pPr>
        <w:ind w:left="620" w:right="220" w:firstLine="195"/>
        <w:spacing w:after="0" w:line="256" w:lineRule="auto"/>
        <w:rPr>
          <w:sz w:val="20"/>
          <w:szCs w:val="20"/>
          <w:color w:val="auto"/>
        </w:rPr>
      </w:pPr>
      <w:r>
        <w:rPr>
          <w:rFonts w:ascii="Times New Roman" w:cs="Times New Roman" w:eastAsia="Times New Roman" w:hAnsi="Times New Roman"/>
          <w:sz w:val="18"/>
          <w:szCs w:val="18"/>
          <w:color w:val="030303"/>
        </w:rPr>
        <w:t>5.I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79" w:lineRule="exact"/>
        <w:rPr>
          <w:sz w:val="20"/>
          <w:szCs w:val="20"/>
          <w:color w:val="auto"/>
        </w:rPr>
      </w:pPr>
    </w:p>
    <w:p>
      <w:pPr>
        <w:ind w:left="620" w:firstLine="210"/>
        <w:spacing w:after="0" w:line="251" w:lineRule="auto"/>
        <w:rPr>
          <w:sz w:val="20"/>
          <w:szCs w:val="20"/>
          <w:color w:val="auto"/>
        </w:rPr>
      </w:pPr>
      <w:r>
        <w:rPr>
          <w:rFonts w:ascii="Times New Roman" w:cs="Times New Roman" w:eastAsia="Times New Roman" w:hAnsi="Times New Roman"/>
          <w:sz w:val="18"/>
          <w:szCs w:val="18"/>
          <w:color w:val="030303"/>
        </w:rPr>
        <w:t xml:space="preserve">6.I agree that I hereby waive all rights to sue or obtain equitable, remedial or punitive relief from any or all Released Parties of any kind whatsoever In respect of any Claim, including, without !imitation,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Times New Roman" w:cs="Times New Roman" w:eastAsia="Times New Roman" w:hAnsi="Times New Roman"/>
          <w:sz w:val="18"/>
          <w:szCs w:val="18"/>
          <w:u w:val="single" w:color="auto"/>
          <w:color w:val="030303"/>
        </w:rPr>
        <w:t>provided, however,</w:t>
      </w:r>
      <w:r>
        <w:rPr>
          <w:rFonts w:ascii="Times New Roman" w:cs="Times New Roman" w:eastAsia="Times New Roman" w:hAnsi="Times New Roman"/>
          <w:sz w:val="18"/>
          <w:szCs w:val="18"/>
          <w:color w:val="030303"/>
        </w:rPr>
        <w:t xml:space="preserve"> that I disclaim and waive any right to share or participate In any monetary award resulting from the prosecution of such charge or Investigation or proceeding. Additionally, I am not waiving (and nothing set forth herein shall be deemed a release of) (a) any right to any earned and accrued salary, vacation, benefits, expense reimbursements, or any severance benefits to which I am entitled under the Agreement, (b) any claim relating to directors' and officers' liability insurance coverage or any right of indemnification under the Company's organizational documents, applicable law or otherwise, (c) my rights as an equity or security holder in the Company, (d) claims for workers' compensation benefits under any of the Company's workers' compensation insurance policies or funds, (e) claims related to my rights under the Consolidated Budget Reconciliation Act of 1985, as amended and/or (f) any obligations of the Company under this General Release, Including my rights to enforce this General Release.</w:t>
      </w:r>
    </w:p>
    <w:p>
      <w:pPr>
        <w:spacing w:after="0" w:line="6" w:lineRule="exact"/>
        <w:rPr>
          <w:sz w:val="20"/>
          <w:szCs w:val="20"/>
          <w:color w:val="auto"/>
        </w:rPr>
      </w:pPr>
    </w:p>
    <w:p>
      <w:pPr>
        <w:ind w:left="600" w:right="60" w:hanging="5"/>
        <w:spacing w:after="0" w:line="252" w:lineRule="auto"/>
        <w:tabs>
          <w:tab w:leader="none" w:pos="896" w:val="left"/>
        </w:tabs>
        <w:numPr>
          <w:ilvl w:val="0"/>
          <w:numId w:val="48"/>
        </w:numPr>
        <w:rPr>
          <w:rFonts w:ascii="Times New Roman" w:cs="Times New Roman" w:eastAsia="Times New Roman" w:hAnsi="Times New Roman"/>
          <w:sz w:val="18"/>
          <w:szCs w:val="18"/>
          <w:color w:val="030303"/>
        </w:rPr>
      </w:pPr>
      <w:r>
        <w:rPr>
          <w:rFonts w:ascii="Times New Roman" w:cs="Times New Roman" w:eastAsia="Times New Roman" w:hAnsi="Times New Roman"/>
          <w:sz w:val="18"/>
          <w:szCs w:val="18"/>
          <w:color w:val="030303"/>
        </w:rPr>
        <w:t xml:space="preserve">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w:t>
      </w:r>
      <w:r>
        <w:rPr>
          <w:rFonts w:ascii="Times New Roman" w:cs="Times New Roman" w:eastAsia="Times New Roman" w:hAnsi="Times New Roman"/>
          <w:sz w:val="18"/>
          <w:szCs w:val="18"/>
          <w:color w:val="050505"/>
        </w:rPr>
        <w:t>extent permitted by law. I further agree that</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050505"/>
        </w:rPr>
        <w:t>I am not aware of any pending claim of the type described in paragraph 2 above as of the execution of this General Release.</w:t>
      </w:r>
    </w:p>
    <w:p>
      <w:pPr>
        <w:spacing w:after="0" w:line="66" w:lineRule="exact"/>
        <w:rPr>
          <w:sz w:val="20"/>
          <w:szCs w:val="20"/>
          <w:color w:val="auto"/>
        </w:rPr>
      </w:pPr>
    </w:p>
    <w:p>
      <w:pPr>
        <w:jc w:val="both"/>
        <w:ind w:left="580" w:right="60" w:firstLine="195"/>
        <w:spacing w:after="0" w:line="264" w:lineRule="auto"/>
        <w:rPr>
          <w:sz w:val="20"/>
          <w:szCs w:val="20"/>
          <w:color w:val="auto"/>
        </w:rPr>
      </w:pPr>
      <w:r>
        <w:rPr>
          <w:rFonts w:ascii="Times New Roman" w:cs="Times New Roman" w:eastAsia="Times New Roman" w:hAnsi="Times New Roman"/>
          <w:sz w:val="18"/>
          <w:szCs w:val="18"/>
          <w:color w:val="050505"/>
        </w:rPr>
        <w:t>8.I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83" w:lineRule="exact"/>
        <w:rPr>
          <w:sz w:val="20"/>
          <w:szCs w:val="20"/>
          <w:color w:val="auto"/>
        </w:rPr>
      </w:pPr>
    </w:p>
    <w:p>
      <w:pPr>
        <w:ind w:left="580" w:right="100" w:firstLine="195"/>
        <w:spacing w:after="0" w:line="310" w:lineRule="auto"/>
        <w:rPr>
          <w:sz w:val="20"/>
          <w:szCs w:val="20"/>
          <w:color w:val="auto"/>
        </w:rPr>
      </w:pPr>
      <w:r>
        <w:rPr>
          <w:rFonts w:ascii="Times New Roman" w:cs="Times New Roman" w:eastAsia="Times New Roman" w:hAnsi="Times New Roman"/>
          <w:sz w:val="17"/>
          <w:szCs w:val="17"/>
          <w:color w:val="050505"/>
        </w:rPr>
        <w:t>9.I agree that if I violate this General Release by suing the Company or the other Released Parties, I will pay all costs and expenses of defending against the suit Incurred by the Released Parties, including reasonable attorneys' fees.</w:t>
      </w:r>
    </w:p>
    <w:p>
      <w:pPr>
        <w:spacing w:after="0" w:line="6" w:lineRule="exact"/>
        <w:rPr>
          <w:sz w:val="20"/>
          <w:szCs w:val="20"/>
          <w:color w:val="auto"/>
        </w:rPr>
      </w:pPr>
    </w:p>
    <w:p>
      <w:pPr>
        <w:ind w:left="580" w:right="240" w:firstLine="180"/>
        <w:spacing w:after="0" w:line="259" w:lineRule="auto"/>
        <w:rPr>
          <w:sz w:val="20"/>
          <w:szCs w:val="20"/>
          <w:color w:val="auto"/>
        </w:rPr>
      </w:pPr>
      <w:r>
        <w:rPr>
          <w:rFonts w:ascii="Times New Roman" w:cs="Times New Roman" w:eastAsia="Times New Roman" w:hAnsi="Times New Roman"/>
          <w:sz w:val="18"/>
          <w:szCs w:val="18"/>
          <w:color w:val="050505"/>
        </w:rPr>
        <w:t>10.Any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spacing w:after="0" w:line="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050505"/>
        </w:rPr>
        <w:t>11.I hereby acknowledge that Sections 2 through 17 of the Agreement shall survive my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635635</wp:posOffset>
            </wp:positionV>
            <wp:extent cx="71583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160"/>
          </w:cols>
          <w:pgMar w:left="1440" w:top="1440" w:right="1299" w:bottom="1440" w:gutter="0" w:footer="0" w:header="0"/>
        </w:sectPr>
      </w:pPr>
    </w:p>
    <w:bookmarkStart w:id="104" w:name="page105"/>
    <w:bookmarkEnd w:id="104"/>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2750820</wp:posOffset>
            </wp:positionH>
            <wp:positionV relativeFrom="page">
              <wp:posOffset>498475</wp:posOffset>
            </wp:positionV>
            <wp:extent cx="2047875" cy="5715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2047875" cy="57150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050505"/>
        </w:rPr>
        <w:t>of this General Release.</w:t>
      </w:r>
    </w:p>
    <w:p>
      <w:pPr>
        <w:spacing w:after="0" w:line="115" w:lineRule="exact"/>
        <w:rPr>
          <w:sz w:val="20"/>
          <w:szCs w:val="20"/>
          <w:color w:val="auto"/>
        </w:rPr>
      </w:pPr>
    </w:p>
    <w:p>
      <w:pPr>
        <w:ind w:left="580" w:right="40" w:firstLine="195"/>
        <w:spacing w:after="0" w:line="256" w:lineRule="auto"/>
        <w:rPr>
          <w:sz w:val="20"/>
          <w:szCs w:val="20"/>
          <w:color w:val="auto"/>
        </w:rPr>
      </w:pPr>
      <w:r>
        <w:rPr>
          <w:rFonts w:ascii="Times New Roman" w:cs="Times New Roman" w:eastAsia="Times New Roman" w:hAnsi="Times New Roman"/>
          <w:sz w:val="18"/>
          <w:szCs w:val="18"/>
          <w:color w:val="050505"/>
        </w:rPr>
        <w:t>12.I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79" w:lineRule="exact"/>
        <w:rPr>
          <w:sz w:val="20"/>
          <w:szCs w:val="20"/>
          <w:color w:val="auto"/>
        </w:rPr>
      </w:pPr>
    </w:p>
    <w:p>
      <w:pPr>
        <w:jc w:val="both"/>
        <w:ind w:left="580" w:right="400" w:firstLine="195"/>
        <w:spacing w:after="0" w:line="264" w:lineRule="auto"/>
        <w:rPr>
          <w:sz w:val="20"/>
          <w:szCs w:val="20"/>
          <w:color w:val="auto"/>
        </w:rPr>
      </w:pPr>
      <w:r>
        <w:rPr>
          <w:rFonts w:ascii="Times New Roman" w:cs="Times New Roman" w:eastAsia="Times New Roman" w:hAnsi="Times New Roman"/>
          <w:sz w:val="18"/>
          <w:szCs w:val="18"/>
          <w:color w:val="050505"/>
        </w:rPr>
        <w:t>13.Notwithstanding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56" w:lineRule="exact"/>
        <w:rPr>
          <w:sz w:val="20"/>
          <w:szCs w:val="20"/>
          <w:color w:val="auto"/>
        </w:rPr>
      </w:pPr>
    </w:p>
    <w:p>
      <w:pPr>
        <w:ind w:left="580" w:firstLine="195"/>
        <w:spacing w:after="0" w:line="255" w:lineRule="auto"/>
        <w:rPr>
          <w:sz w:val="20"/>
          <w:szCs w:val="20"/>
          <w:color w:val="auto"/>
        </w:rPr>
      </w:pPr>
      <w:r>
        <w:rPr>
          <w:rFonts w:ascii="Times New Roman" w:cs="Times New Roman" w:eastAsia="Times New Roman" w:hAnsi="Times New Roman"/>
          <w:sz w:val="18"/>
          <w:szCs w:val="18"/>
          <w:color w:val="050505"/>
        </w:rPr>
        <w:t>14.Whenever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748030</wp:posOffset>
            </wp:positionV>
            <wp:extent cx="71583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80"/>
          </w:cols>
          <w:pgMar w:left="1440" w:top="1440" w:right="137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19050</wp:posOffset>
            </wp:positionV>
            <wp:extent cx="2201545" cy="6140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2201545"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BY SIGNING THIS GENERAL RELEASE, I REPRESENT AND AGREE THAT:</w:t>
      </w:r>
    </w:p>
    <w:p>
      <w:pPr>
        <w:spacing w:after="0" w:line="20" w:lineRule="exact"/>
        <w:rPr>
          <w:sz w:val="20"/>
          <w:szCs w:val="20"/>
          <w:color w:val="auto"/>
        </w:rPr>
      </w:pPr>
    </w:p>
    <w:p>
      <w:pPr>
        <w:ind w:left="480" w:hanging="473"/>
        <w:spacing w:after="0"/>
        <w:tabs>
          <w:tab w:leader="none" w:pos="4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HAVE READ IT CAREFULLY;</w:t>
      </w:r>
    </w:p>
    <w:p>
      <w:pPr>
        <w:ind w:right="100" w:firstLine="7"/>
        <w:spacing w:after="0"/>
        <w:tabs>
          <w:tab w:leader="none" w:pos="4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UNDERSTAND ALL OF ITS TERMS AND KNOW THAT I AM GIVING UP IMPORTANT RIGHTS, INCLUDING BUT NOT LlMITED TO, RIGHTS UNDER THE AGE DISCRIMINATION IN EMPLOYMENT ACT OF 19671 AS AMENDED; TITLE VII OF THE CIVIL RIGHTS ACT OF 1964, AS AMENDED; THE EQUAL PAY ACT OF 1963; THE AMERICANS WITH DISABILITIES ACT OF 1990; AND THE EMPLOYEE RETIREMENT INCOME SECURITY ACT OF 1974, AS AMENDED;</w:t>
      </w:r>
    </w:p>
    <w:p>
      <w:pPr>
        <w:spacing w:after="0" w:line="1" w:lineRule="exact"/>
        <w:rPr>
          <w:rFonts w:ascii="Arial" w:cs="Arial" w:eastAsia="Arial" w:hAnsi="Arial"/>
          <w:sz w:val="21"/>
          <w:szCs w:val="21"/>
          <w:color w:val="auto"/>
        </w:rPr>
      </w:pPr>
    </w:p>
    <w:p>
      <w:pPr>
        <w:ind w:left="480" w:hanging="473"/>
        <w:spacing w:after="0"/>
        <w:tabs>
          <w:tab w:leader="none" w:pos="4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VOLUNTARILY CONSENT TO EVERYTHING IN IT;</w:t>
      </w:r>
    </w:p>
    <w:p>
      <w:pPr>
        <w:ind w:right="280" w:firstLine="7"/>
        <w:spacing w:after="0"/>
        <w:tabs>
          <w:tab w:leader="none" w:pos="4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HAVE BEEN ADVISED TO CONSULT WITH AN ATTORNEY BEFORE EXECUTING IT AND I HAVE DONE SO OR, AFTER CAREFUL READING AND CONSIDERATION, I HAVE CHOSEN NOT TO DO SO OF MY OWN VOLITION;</w:t>
      </w:r>
    </w:p>
    <w:p>
      <w:pPr>
        <w:spacing w:after="0" w:line="1" w:lineRule="exact"/>
        <w:rPr>
          <w:rFonts w:ascii="Arial" w:cs="Arial" w:eastAsia="Arial" w:hAnsi="Arial"/>
          <w:sz w:val="21"/>
          <w:szCs w:val="21"/>
          <w:color w:val="auto"/>
        </w:rPr>
      </w:pPr>
    </w:p>
    <w:p>
      <w:pPr>
        <w:ind w:right="60" w:firstLine="7"/>
        <w:spacing w:after="0"/>
        <w:tabs>
          <w:tab w:leader="none" w:pos="4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HAVE HAD AT LEAST [21][45] DAYS FROM THE DATE OF MY RECEIPT Of THIS RELEASE TO CONSIDER IT, AND THE CHANGES MADE SINCE MY RECEIPT OF THIS RELEASE ARE NOT MATERIAL OR WERE MADE AT MY REQUEST ANO WILL NOT RESTART THE REQUIRED [211(45]-DAY PERIOD;</w:t>
      </w:r>
    </w:p>
    <w:p>
      <w:pPr>
        <w:spacing w:after="0" w:line="1" w:lineRule="exact"/>
        <w:rPr>
          <w:rFonts w:ascii="Arial" w:cs="Arial" w:eastAsia="Arial" w:hAnsi="Arial"/>
          <w:sz w:val="21"/>
          <w:szCs w:val="21"/>
          <w:color w:val="auto"/>
        </w:rPr>
      </w:pPr>
    </w:p>
    <w:p>
      <w:pPr>
        <w:jc w:val="both"/>
        <w:ind w:right="120" w:firstLine="7"/>
        <w:spacing w:after="0"/>
        <w:tabs>
          <w:tab w:leader="none" w:pos="4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UNDERSTAND THAT I HAVE SEVEN (7) DAYS AFTER THE EXECUTION OF THIS RELEASE TO REVOKE IT AND THAT THIS RELEASE SHALL NOT BECOME EFFECTIVE OR ENFORCEABLE UNTIL THE REVOCATION PERIOD HAS EXPIRED;</w:t>
      </w:r>
    </w:p>
    <w:p>
      <w:pPr>
        <w:spacing w:after="0" w:line="1" w:lineRule="exact"/>
        <w:rPr>
          <w:rFonts w:ascii="Arial" w:cs="Arial" w:eastAsia="Arial" w:hAnsi="Arial"/>
          <w:sz w:val="21"/>
          <w:szCs w:val="21"/>
          <w:color w:val="auto"/>
        </w:rPr>
      </w:pPr>
    </w:p>
    <w:p>
      <w:pPr>
        <w:ind w:right="200" w:firstLine="7"/>
        <w:spacing w:after="0"/>
        <w:tabs>
          <w:tab w:leader="none" w:pos="4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HAVE SIGNED THIS GENERAL RELEASE KNOWINGLY AND VOLUNTARILY AND WITH THE ADVICE OF ANY COUNSEL RETAINED TO ADVISE ME WITH RESPECT TO IT; AND</w:t>
      </w:r>
    </w:p>
    <w:p>
      <w:pPr>
        <w:ind w:right="780" w:firstLine="7"/>
        <w:spacing w:after="0" w:line="250" w:lineRule="auto"/>
        <w:tabs>
          <w:tab w:leader="none" w:pos="4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20" w:val="left"/>
        </w:tabs>
        <w:rPr>
          <w:sz w:val="20"/>
          <w:szCs w:val="20"/>
          <w:color w:val="auto"/>
        </w:rPr>
      </w:pPr>
      <w:r>
        <w:rPr>
          <w:rFonts w:ascii="Arial" w:cs="Arial" w:eastAsia="Arial" w:hAnsi="Arial"/>
          <w:sz w:val="21"/>
          <w:szCs w:val="21"/>
          <w:color w:val="auto"/>
        </w:rPr>
        <w:t>Signed: /s/ Timothy Sides</w:t>
      </w:r>
      <w:r>
        <w:rPr>
          <w:sz w:val="20"/>
          <w:szCs w:val="20"/>
          <w:color w:val="auto"/>
        </w:rPr>
        <w:tab/>
      </w:r>
      <w:r>
        <w:rPr>
          <w:rFonts w:ascii="Arial" w:cs="Arial" w:eastAsia="Arial" w:hAnsi="Arial"/>
          <w:sz w:val="21"/>
          <w:szCs w:val="21"/>
          <w:u w:val="single" w:color="auto"/>
          <w:color w:val="auto"/>
        </w:rPr>
        <w:t>Dated: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-7620</wp:posOffset>
            </wp:positionV>
            <wp:extent cx="12814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color w:val="002F87"/>
        </w:rPr>
        <w:t>6100 Tower Circle, Suite 1000 | Franklin, TN 37067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002F87"/>
        </w:rPr>
        <w:t>www.acadiahealthcare.com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469265</wp:posOffset>
            </wp:positionV>
            <wp:extent cx="71583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00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46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7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Abilene Holding Company,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Abilene Legacy Sub,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Abilene Behavioral Health</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Assurance Company</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Austin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Battle Creek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Capital Investments,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Central Florida JV Holdings, LLC</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Chattanooga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Columbus JV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Council Bluffs JV Holdings, LLC</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Crestwyn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32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CTC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32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Denver JV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Detroit JV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Eastern NC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Florida HoldCo,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Fort Wayne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IN HoldCo,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Knoxville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LaPlace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Management Company, LLC</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Merger Sub,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Middlesex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Nashville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New Bedford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PA JV Holdings, LLC</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Reading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Real Estate Holdings, LLC</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Realty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San Diego JV Holdings, LLC</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SNH JV Holdings, LLC</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St. Paul JV,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Capitol Park Mental Health Hospital</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St. Paul JV Holdings,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Acadia-SCL Health JV,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West Pines Behavioral Hospital</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 Tufts Medicine JV,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Tufts Medicine Behavioral Health Hospital</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 - Vidant Joint Venture,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ECU Health Behavioral Health Hospital</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Acadiana Addiction Center,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Acadiana Addiction Center</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Advanced Treatment Systems,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Coatesville Treatment Center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Coatesville Comprehensive Treatment Center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Lebanon Treatment Center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Lebanon Comprehensive Treatment Center</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Arizona Treatment Center,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180"/>
          </w:cols>
          <w:pgMar w:left="380" w:top="762" w:right="339" w:bottom="467"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391795</wp:posOffset>
            </wp:positionV>
            <wp:extent cx="71583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Casa Grande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Arkansas Treatment Centers,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Fort Smith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Ascent Acquisition - CYPDC,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Arkansas</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Ascent Acquisition - CYPDC</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Ascent Acquisition - PSC,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Arkansas</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Ascent Acquisition - PSC</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Ascent Acquisition,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Arkansas</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Ascent Children’s Health Services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Ascent</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Aspen Education Group,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Aspen Youth,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Atlanta Recovery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ATS of Cecil County,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Cumberland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Cumberland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Elkton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Elkton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Pine Heights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Pine Heights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ATS of Delaware,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Claymont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Claymont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Newark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Dover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Sussex County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ATS of North Carolina,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Carolina Treatment Center of Fayetteville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Carolina Treatment Center of Pinehurst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Carolina Treatment Center of Goldsboro</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Cumberland County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Granite Falls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Hamlet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Laurinburg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Mooresville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Mountain Health Solutions – North Wilkesboro</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Mountain Health Solutions – Asheville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Fayetteville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Goldsboro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Greenville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Hillsborough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Pinehurst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Asheville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 Wilkesboro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Raleigh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Shelby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Winston-Salem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Austin Behavioral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Cross Creek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Cross Creek Behavioral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Austin Eating Disorders Partners,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McCallum Place Austin</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138"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0"/>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Springs Austin</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Azure Acres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Azure Acres Recovery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Baton Rouge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Baton Rouge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Bayside Marin,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Bayside Marin I</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Bayside Marin II</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Bayside Marin III</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Bayside Marin IV</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Bayside San Francisco</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BCA of Detroit,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BCA Stonecrest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StoneCrest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Beckley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Beckley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Beckley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Belmont Behavioral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Philadelphia Children’s Crisis Response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Belmont Physician Services,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Bethlehem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BGI of Brandywine,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Bowling Green at Brandywine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Blue Ridge Mountain Recovery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Blue Ridge Mountain Recovery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Bowling Green Inn of Pensacola,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Twelve Oaks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Twelve Oaks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Wellness Resource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Bowling Green Inn of South Dakota, Inc.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Keystone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89" w:lineRule="exact"/>
        <w:rPr>
          <w:sz w:val="20"/>
          <w:szCs w:val="20"/>
          <w:color w:val="auto"/>
        </w:rPr>
      </w:pPr>
    </w:p>
    <w:p>
      <w:pPr>
        <w:sectPr>
          <w:pgSz w:w="11900" w:h="16838" w:orient="portrait"/>
          <w:cols w:equalWidth="0" w:num="1">
            <w:col w:w="11180"/>
          </w:cols>
          <w:pgMar w:left="380" w:top="762" w:right="339" w:bottom="179" w:gutter="0" w:footer="0" w:header="0"/>
        </w:sectPr>
      </w:pPr>
    </w:p>
    <w:p>
      <w:pPr>
        <w:spacing w:after="0"/>
        <w:rPr>
          <w:sz w:val="20"/>
          <w:szCs w:val="20"/>
          <w:color w:val="auto"/>
        </w:rPr>
      </w:pPr>
      <w:r>
        <w:rPr>
          <w:rFonts w:ascii="Times New Roman" w:cs="Times New Roman" w:eastAsia="Times New Roman" w:hAnsi="Times New Roman"/>
          <w:sz w:val="18"/>
          <w:szCs w:val="18"/>
          <w:color w:val="auto"/>
        </w:rPr>
        <w:t>Bronson-Acadia Joint Venture,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Bronson Behavioral Health Hospital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Brooksville Behavioral Health Services, LLC</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Sabal Palms Recovery Center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Treatment Services, LLC</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Anaheim Comprehensive Treatment Center</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Recovery Solutions of Santa Ana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Canopy Cove, LLC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Capestrano Investment Company,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Capestrano Realty Company,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CAPS of Virginia, LLC</w:t>
      </w:r>
    </w:p>
    <w:p>
      <w:pPr>
        <w:spacing w:after="0" w:line="115" w:lineRule="exact"/>
        <w:rPr>
          <w:sz w:val="20"/>
          <w:szCs w:val="20"/>
          <w:color w:val="auto"/>
        </w:rPr>
      </w:pPr>
    </w:p>
    <w:p>
      <w:pPr>
        <w:jc w:val="right"/>
        <w:ind w:right="5740"/>
        <w:spacing w:after="0"/>
        <w:rPr>
          <w:sz w:val="20"/>
          <w:szCs w:val="20"/>
          <w:color w:val="auto"/>
        </w:rPr>
      </w:pPr>
      <w:r>
        <w:rPr>
          <w:rFonts w:ascii="Times New Roman" w:cs="Times New Roman" w:eastAsia="Times New Roman" w:hAnsi="Times New Roman"/>
          <w:sz w:val="18"/>
          <w:szCs w:val="18"/>
          <w:color w:val="auto"/>
        </w:rPr>
        <w:t>Cartersville Center, LLC</w:t>
      </w:r>
    </w:p>
    <w:p>
      <w:pPr>
        <w:spacing w:after="0" w:line="27" w:lineRule="exact"/>
        <w:rPr>
          <w:sz w:val="20"/>
          <w:szCs w:val="20"/>
          <w:color w:val="auto"/>
        </w:rPr>
      </w:pPr>
    </w:p>
    <w:p>
      <w:pPr>
        <w:jc w:val="right"/>
        <w:ind w:right="5760"/>
        <w:spacing w:after="0"/>
        <w:rPr>
          <w:sz w:val="20"/>
          <w:szCs w:val="20"/>
          <w:color w:val="auto"/>
        </w:rPr>
      </w:pPr>
      <w:r>
        <w:rPr>
          <w:rFonts w:ascii="Times New Roman" w:cs="Times New Roman" w:eastAsia="Times New Roman" w:hAnsi="Times New Roman"/>
          <w:sz w:val="18"/>
          <w:szCs w:val="18"/>
          <w:color w:val="auto"/>
        </w:rPr>
        <w:t>dba Cartersville Center</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dba Cartersville Comprehensive Treatment Center</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8"/>
          <w:szCs w:val="18"/>
          <w:color w:val="auto"/>
        </w:rPr>
        <w:t>Michigan</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Delaware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California</w:t>
      </w:r>
    </w:p>
    <w:p>
      <w:pPr>
        <w:spacing w:after="0" w:line="200" w:lineRule="exact"/>
        <w:rPr>
          <w:sz w:val="20"/>
          <w:szCs w:val="20"/>
          <w:color w:val="auto"/>
        </w:rPr>
      </w:pPr>
    </w:p>
    <w:p>
      <w:pPr>
        <w:spacing w:after="0" w:line="345"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Puerto Rico</w:t>
      </w:r>
    </w:p>
    <w:p>
      <w:pPr>
        <w:spacing w:after="0" w:line="115"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Puerto Rico</w:t>
      </w:r>
    </w:p>
    <w:p>
      <w:pPr>
        <w:spacing w:after="0" w:line="115"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Virginia</w:t>
      </w:r>
    </w:p>
    <w:p>
      <w:pPr>
        <w:spacing w:after="0" w:line="115"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Georgia</w:t>
      </w:r>
    </w:p>
    <w:p>
      <w:pPr>
        <w:spacing w:after="0" w:line="545" w:lineRule="exact"/>
        <w:rPr>
          <w:sz w:val="20"/>
          <w:szCs w:val="20"/>
          <w:color w:val="auto"/>
        </w:rPr>
      </w:pPr>
    </w:p>
    <w:p>
      <w:pPr>
        <w:sectPr>
          <w:pgSz w:w="11900" w:h="16838" w:orient="portrait"/>
          <w:cols w:equalWidth="0" w:num="2">
            <w:col w:w="7540" w:space="720"/>
            <w:col w:w="2920"/>
          </w:cols>
          <w:pgMar w:left="380" w:top="762" w:right="339" w:bottom="179" w:gutter="0" w:footer="0" w:header="0"/>
          <w:type w:val="continuous"/>
        </w:sectPr>
      </w:pPr>
    </w:p>
    <w:p>
      <w:pPr>
        <w:spacing w:after="0"/>
        <w:tabs>
          <w:tab w:leader="none" w:pos="8320" w:val="left"/>
        </w:tabs>
        <w:rPr>
          <w:sz w:val="20"/>
          <w:szCs w:val="20"/>
          <w:color w:val="auto"/>
        </w:rPr>
      </w:pPr>
      <w:r>
        <w:rPr>
          <w:rFonts w:ascii="Times New Roman" w:cs="Times New Roman" w:eastAsia="Times New Roman" w:hAnsi="Times New Roman"/>
          <w:sz w:val="18"/>
          <w:szCs w:val="18"/>
          <w:color w:val="auto"/>
        </w:rPr>
        <w:t>Cascade Behavioral Holding Company, LLC</w:t>
      </w:r>
      <w:r>
        <w:rPr>
          <w:sz w:val="20"/>
          <w:szCs w:val="20"/>
          <w:color w:val="auto"/>
        </w:rPr>
        <w:tab/>
      </w: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color w:val="auto"/>
        </w:rPr>
        <w:t>Cascade Behavioral Hospital, LLC</w:t>
      </w:r>
      <w:r>
        <w:rPr>
          <w:sz w:val="20"/>
          <w:szCs w:val="20"/>
          <w:color w:val="auto"/>
        </w:rPr>
        <w:tab/>
      </w: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Cascade Behavioral Health</w:t>
      </w:r>
    </w:p>
    <w:p>
      <w:pPr>
        <w:spacing w:after="0" w:line="97" w:lineRule="exact"/>
        <w:rPr>
          <w:sz w:val="20"/>
          <w:szCs w:val="20"/>
          <w:color w:val="auto"/>
        </w:rPr>
      </w:pPr>
    </w:p>
    <w:p>
      <w:pPr>
        <w:spacing w:after="0"/>
        <w:tabs>
          <w:tab w:leader="none" w:pos="8460" w:val="left"/>
        </w:tabs>
        <w:rPr>
          <w:sz w:val="20"/>
          <w:szCs w:val="20"/>
          <w:color w:val="auto"/>
        </w:rPr>
      </w:pPr>
      <w:r>
        <w:rPr>
          <w:rFonts w:ascii="Times New Roman" w:cs="Times New Roman" w:eastAsia="Times New Roman" w:hAnsi="Times New Roman"/>
          <w:sz w:val="18"/>
          <w:szCs w:val="18"/>
          <w:color w:val="auto"/>
        </w:rPr>
        <w:t>Cedar Crest Clinic</w:t>
      </w:r>
      <w:r>
        <w:rPr>
          <w:sz w:val="20"/>
          <w:szCs w:val="20"/>
          <w:color w:val="auto"/>
        </w:rPr>
        <w:tab/>
      </w:r>
      <w:r>
        <w:rPr>
          <w:rFonts w:ascii="Times New Roman" w:cs="Times New Roman" w:eastAsia="Times New Roman" w:hAnsi="Times New Roman"/>
          <w:sz w:val="17"/>
          <w:szCs w:val="17"/>
          <w:color w:val="auto"/>
        </w:rPr>
        <w:t>Texas</w:t>
      </w:r>
    </w:p>
    <w:p>
      <w:pPr>
        <w:spacing w:after="0" w:line="115"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18"/>
          <w:szCs w:val="18"/>
          <w:color w:val="auto"/>
        </w:rPr>
        <w:t>Center for Behavioral Health - HA, LLC</w:t>
      </w:r>
      <w:r>
        <w:rPr>
          <w:sz w:val="20"/>
          <w:szCs w:val="20"/>
          <w:color w:val="auto"/>
        </w:rPr>
        <w:tab/>
      </w:r>
      <w:r>
        <w:rPr>
          <w:rFonts w:ascii="Times New Roman" w:cs="Times New Roman" w:eastAsia="Times New Roman" w:hAnsi="Times New Roman"/>
          <w:sz w:val="17"/>
          <w:szCs w:val="17"/>
          <w:color w:val="auto"/>
        </w:rPr>
        <w:t>Pennsylvania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Chambersburg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Downtown Pittsburgh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Harrisburg Comprehensive Treatment Center</w:t>
      </w:r>
    </w:p>
    <w:p>
      <w:pPr>
        <w:sectPr>
          <w:pgSz w:w="11900" w:h="16838" w:orient="portrait"/>
          <w:cols w:equalWidth="0" w:num="1">
            <w:col w:w="11180"/>
          </w:cols>
          <w:pgMar w:left="380" w:top="762" w:right="339" w:bottom="179" w:gutter="0" w:footer="0" w:header="0"/>
          <w:type w:val="continuous"/>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579755</wp:posOffset>
            </wp:positionV>
            <wp:extent cx="71583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Farrell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Lewistown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York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Sharon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Center for Behavioral Health-ME,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Discovery House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 Portland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Center for Behavioral Health - PA,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Cranberry Township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Pittsburgh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Behavioral Health System,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Columbia Real Estate, LLC</w:t>
            </w:r>
          </w:p>
        </w:tc>
        <w:tc>
          <w:tcPr>
            <w:tcW w:w="120" w:type="dxa"/>
            <w:vAlign w:val="bottom"/>
          </w:tcPr>
          <w:p>
            <w:pPr>
              <w:spacing w:after="0"/>
              <w:rPr>
                <w:sz w:val="20"/>
                <w:szCs w:val="20"/>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Community Based Services,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CenterPointe Hospital of Columbia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CenterPointe Hospital of Columbia</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Chambersburg Comprehensive Treatment Center,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Charleston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Charleston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Charleston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Chicago BH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Montrose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Clarksburg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Clarksburg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Clarksburg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Clarksville Treatment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Clarksville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Clearbrook Treatment Centers,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Huntington Creek Recovery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Clearbrook Treatment Centers Land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Colorado Comprehensive Treatment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Aurora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Commodore Acquisition Sub,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Concord CTC,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Conway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Corrections - Comprehensive Treatment Centers,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CP Acquisition Sub,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CPCA,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Ann Arbor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Rapids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Holland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Midcoast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Western Michigan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ED Treatment,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Center for Hope of the Sierras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Montecatini</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Montecatini II</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House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Carolina House-Raleigh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Montecatini Outpatient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Group,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eGetgoing</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180"/>
          </w:cols>
          <w:pgMar w:left="380" w:top="762" w:right="339" w:bottom="924"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5835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715835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Health Oregon,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Albany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Tigard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Portland -Alder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Ontario</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Portland - Belmont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East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Portland - Burnside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Beaverton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 Medford</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Allied Health Services for Drug Recovery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Willamette Valley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Salem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Downtown Portland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Belmont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East Portland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Medford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Hillsboro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Health Tennessee,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Life Lodge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Life Recovery Services-Cookeville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Mirror Lake Recovery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Life Recovery Services-Jacksboro</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Life Recovery Services-Jamestown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Life Recovery Services-Knoxville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Life Recovery Services-Knoxville West</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Health Treatment Clinics,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 Florida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Maricopa County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Hattiesburg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Gulf Coast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Shelbyville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Southaven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Kentuckian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 Orlando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Volusia County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West Tampa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Volusia County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St. Lucie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Panhandle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Ft. Lauderdale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 Miami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Lakeland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 Florida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Longwood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Recovery,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Midcoast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Cedar Rapids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Cedar Rapids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Davenport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Lansing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Council Bluffs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Ann Arbor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Ann Arbor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Sioux City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Western Michigan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Western Michigan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CRC Wisconsin RD,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Wisconsin</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Burkwood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Crestwyn Health Group,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Crestwyn Behavioral Health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Crossroads Regional Hospital,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Longleaf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Cumberland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Ascension Saint Thomas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Danville Hospital Opco,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Geisinger Behavioral Health Center Danville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Delta Medical Services,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Detroit Behavioral Institute,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1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Capstone Academy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Detroit Behavioral Institute – Capstone Program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Detroit Capstone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DHG Services,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Huntingdon Valley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House-BC,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Duncansville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House-BR,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Bangor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CC,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Mechanicsburg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CU,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Clearfield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House-Group,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House-HZ,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House-LT,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Layton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MA,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Monroeville,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House-NC,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New Castle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of Central Maine,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Waterville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Augusta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TV,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Taylorsville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House-UC,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Orem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Utah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Salt Lake City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Sandy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Discovery House WC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Maine</w:t>
            </w:r>
          </w:p>
        </w:tc>
      </w:tr>
      <w:tr>
        <w:trPr>
          <w:trHeight w:val="30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DHNM - Northern Maine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Presque Isle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Calais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Rumford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180"/>
          </w:cols>
          <w:pgMar w:left="380" w:top="762" w:right="339" w:bottom="0"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716280</wp:posOffset>
            </wp:positionV>
            <wp:extent cx="71583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Augusta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Madison ME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Bayside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DMC - Memphis,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Delta Medical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Delta Specialty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Delta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Dowell Springs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 Tennessee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Duffy’s Napa Valley Rehab,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Duffy’s Napa Valley Rehab</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East Indiana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 Indiana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 Indiana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East Lake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El Paso Behavioral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Rio Vista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Erlanger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Erlanger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Evansville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Evansville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Evansville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FENX Healthcare,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First Light Patient Safety Organization,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First Light PSO</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Four Circles Recovery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Four Circles Evolution</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FWBH,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Maple Heights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Galax Treatment Center, LLC</w:t>
            </w:r>
          </w:p>
        </w:tc>
        <w:tc>
          <w:tcPr>
            <w:tcW w:w="120" w:type="dxa"/>
            <w:vAlign w:val="bottom"/>
          </w:tcPr>
          <w:p>
            <w:pPr>
              <w:spacing w:after="0"/>
              <w:rPr>
                <w:sz w:val="18"/>
                <w:szCs w:val="18"/>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Life Center of Galax</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River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Winchester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Christiansburg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River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Clinch Valley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Georgia CTC,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Cumming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Dallas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Loganville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Woodstock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Gifford Street Wellness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Gifford Street Wellness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Gifford Street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Ginger Holdco,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Glenmaura Holdings,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Geisinger Behavioral Health Center Northeast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Greenbrier Acquisition,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Greenbrier Holdings,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Greenbrier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Covington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Greenbrier Realty,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Greenleaf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80" w:top="762" w:right="339" w:bottom="493"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374650</wp:posOffset>
            </wp:positionV>
            <wp:extent cx="71583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Greenleaf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Greenleaf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Habilitation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Arkansas</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Millcreek of Arkansas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Little Creek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Habit Opco,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West Lebanon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Manchester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Wareham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Lynn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Boston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Brattleboro</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Pottstown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Suburban Treatment Associates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Strathmore Treatment Associates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Allentown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Dunmore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Taunton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Springfield</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Fitchburg</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Fall River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Lowell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Habit OPCO - Watsontown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Bennington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Amesbury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Allentown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Dunmore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Watsontown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Manchester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West Lebanon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Central Jersey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Brattleboro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Boston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Wareham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Taunton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Brockton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Lawrence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Fitchburg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Springfield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Lynn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Concord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Spencer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Salisbury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Medford MA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Elizabeth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Boston Comprehensive Treatment Center - Albany Street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Reading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Lynn Comprehensive Treatment Center-Union St.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 Street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HCP Polaris Investment,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Hendersonville Recovery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Henryville Inn,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Hermitage Behavioral,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HFHS-Acadia Joint Venture,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Michigan</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Henry Ford Health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HMIH Cedar Crest,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Cedar Crest Hospital &amp; RTC</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HSI-Acadia Joint Venture,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Huntington Treatment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Huntington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Huntington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Indianapolis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Indianapolis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Indianapolis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Indio Behavioral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Coachella Valley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Integrated Treatment Centers,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Green Bay Integrated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Park Royal Integrated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IVRTC,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BH Services,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Coastal Pines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Kids Behavioral Health of Montana, Inc.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Montana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Acadia Montana</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Lakeland Hospital Acquisition,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Lakeland Regional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Lakeland Behavioral Health System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Lewistown Comprehensive Treatment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Lewistown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Little Hills Healthcare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Madison BH,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Shorewood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Manawa Healthcare,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Methodist Jennie Edmundson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McCallum Group,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McCallum Properties,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Mesa Development Sub,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Middle Tennessee Treatment Centers,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Cleveland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Hermitage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South Nashville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Hendersonville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Millcreek School of Arkansas,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Arkansas</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Millcreek Schools,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Mississippi</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Millerton Acquisition Sub,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Milwaukee Health Services System,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10th Street Clinic</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River’s Shore Clinic</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Madison Health Services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Valley Health Services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Wausau Health Services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Appleton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195"/>
        </w:trPr>
        <w:tc>
          <w:tcPr>
            <w:tcW w:w="6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dba Madison East Comprehensive Treatment Center</w:t>
            </w: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235"/>
        </w:trPr>
        <w:tc>
          <w:tcPr>
            <w:tcW w:w="6260" w:type="dxa"/>
            <w:vAlign w:val="bottom"/>
          </w:tcPr>
          <w:p>
            <w:pPr>
              <w:ind w:left="120"/>
              <w:spacing w:after="0" w:line="235" w:lineRule="exact"/>
              <w:rPr>
                <w:sz w:val="20"/>
                <w:szCs w:val="20"/>
                <w:color w:val="auto"/>
              </w:rPr>
            </w:pPr>
            <w:r>
              <w:rPr>
                <w:rFonts w:ascii="Times New Roman" w:cs="Times New Roman" w:eastAsia="Times New Roman" w:hAnsi="Times New Roman"/>
                <w:sz w:val="18"/>
                <w:szCs w:val="18"/>
                <w:color w:val="auto"/>
              </w:rPr>
              <w:t>dba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River’s Shore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031"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Wausau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 West Wisconsin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Eau Claire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Mission Treatment Centers,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Hefner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Henderson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Las Vegas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Oklahoma City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Scottsdale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Southern Hills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Tulsa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Loveland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Southwest Vegas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Mission Treatment Services, Inc.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San Diego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Oceanside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Escondido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Mississippi Comprehensive Treatment Centers,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Jackson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Mount Bachelor Educational Center,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Mount Carmel Behavioral Healthcare,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Mount Carmel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Mt. Airy Development,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Glenwood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Muncie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Muncie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North Port BH,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Port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Northeast Behavioral Health,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Northern VA BH,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dba Northern Virginia Adolescent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Ochsner-Acadia,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River Place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Ohio Hospital for Psychiatry,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34"/>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Ohio Hospital of Psychiatry</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Ohio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Cleveland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Canton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Toledo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Options Treatment Center Acquisition Corporation</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Options Behavioral Health System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Options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YFCS OPT</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Parkersburg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Parkersburg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Parkersburg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PC Ohio Treatment Centers,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PHC Meadowwood,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MeadowWood Behavioral Health System</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PHC of Michigan,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Harbor Oaks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Pioneer Healthcare of Michigan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Wellplace Michigan</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031"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PHC of Utah,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15"/>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Highland Ridge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Wellplace Utah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PHC of Virginia,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34"/>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Mount Regis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Crisis Response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Pine Grove BH Services,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Piney Ridge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Piney Ridge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Piney Ridge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Ridgeview Group Home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Yellow Rock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Pocono Mountain Recovery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Pocono Mountain Recovery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89" w:lineRule="exact"/>
        <w:rPr>
          <w:sz w:val="20"/>
          <w:szCs w:val="20"/>
          <w:color w:val="auto"/>
        </w:rPr>
      </w:pPr>
    </w:p>
    <w:p>
      <w:pPr>
        <w:sectPr>
          <w:pgSz w:w="11900" w:h="16838" w:orient="portrait"/>
          <w:cols w:equalWidth="0" w:num="1">
            <w:col w:w="11180"/>
          </w:cols>
          <w:pgMar w:left="380" w:top="76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Pocono Mountain Recovery Center Land,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Hospital Holdings,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Psychiatric Resource Partners,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Addiction Management, Inc.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dba West Milwaukee Comprehensive Treatment Center</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Racine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Madison West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Waukesha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Sheboygan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Green Bay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Delavan Comprehensive Treatment Center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Beloit Comprehensive Treatment Center</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dba Green Bay East Comprehensive Treatment Center</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dba Manitowoc Comprehensive Treatment Center</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dba Janesville Comprehensive Treatment Center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Behavioral Healthcare, LLC</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dba Tower Behavioral Health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Rebound Behavioral Health, LLC</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dba Rebound Behavioral Health</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Times New Roman" w:cs="Times New Roman" w:eastAsia="Times New Roman" w:hAnsi="Times New Roman"/>
          <w:sz w:val="18"/>
          <w:szCs w:val="18"/>
          <w:color w:val="auto"/>
        </w:rPr>
        <w:t>Pennsylvania</w:t>
      </w:r>
    </w:p>
    <w:p>
      <w:pPr>
        <w:spacing w:after="0" w:line="11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Nevada</w:t>
      </w:r>
    </w:p>
    <w:p>
      <w:pPr>
        <w:spacing w:after="0" w:line="11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Wisconsin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Delaware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Carolina</w:t>
      </w:r>
    </w:p>
    <w:p>
      <w:pPr>
        <w:spacing w:after="0" w:line="342" w:lineRule="exact"/>
        <w:rPr>
          <w:sz w:val="20"/>
          <w:szCs w:val="20"/>
          <w:color w:val="auto"/>
        </w:rPr>
      </w:pPr>
    </w:p>
    <w:p>
      <w:pPr>
        <w:sectPr>
          <w:pgSz w:w="11900" w:h="16838" w:orient="portrait"/>
          <w:cols w:equalWidth="0" w:num="2">
            <w:col w:w="7420" w:space="720"/>
            <w:col w:w="3040"/>
          </w:cols>
          <w:pgMar w:left="380" w:top="762"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Rebound Lodge, LLC</w:t>
            </w:r>
          </w:p>
        </w:tc>
        <w:tc>
          <w:tcPr>
            <w:tcW w:w="3860" w:type="dxa"/>
            <w:vAlign w:val="bottom"/>
          </w:tcPr>
          <w:p>
            <w:pPr>
              <w:jc w:val="center"/>
              <w:ind w:left="2690"/>
              <w:spacing w:after="0"/>
              <w:rPr>
                <w:sz w:val="20"/>
                <w:szCs w:val="20"/>
                <w:color w:val="auto"/>
              </w:rPr>
            </w:pPr>
            <w:r>
              <w:rPr>
                <w:rFonts w:ascii="Times New Roman" w:cs="Times New Roman" w:eastAsia="Times New Roman" w:hAnsi="Times New Roman"/>
                <w:sz w:val="18"/>
                <w:szCs w:val="18"/>
                <w:color w:val="auto"/>
                <w:w w:val="99"/>
              </w:rPr>
              <w:t>South Carolina</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Red River Holding Company, LLC</w:t>
            </w:r>
          </w:p>
        </w:tc>
        <w:tc>
          <w:tcPr>
            <w:tcW w:w="38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Red River Hospital, LLC</w:t>
            </w:r>
          </w:p>
        </w:tc>
        <w:tc>
          <w:tcPr>
            <w:tcW w:w="38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Red River Hospital</w:t>
            </w:r>
          </w:p>
        </w:tc>
        <w:tc>
          <w:tcPr>
            <w:tcW w:w="3860" w:type="dxa"/>
            <w:vAlign w:val="bottom"/>
          </w:tcPr>
          <w:p>
            <w:pPr>
              <w:spacing w:after="0"/>
              <w:rPr>
                <w:sz w:val="20"/>
                <w:szCs w:val="20"/>
                <w:color w:val="auto"/>
              </w:rPr>
            </w:pPr>
          </w:p>
        </w:tc>
      </w:tr>
      <w:tr>
        <w:trPr>
          <w:trHeight w:val="30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Rehabilitation Centers, LLC</w:t>
            </w:r>
          </w:p>
        </w:tc>
        <w:tc>
          <w:tcPr>
            <w:tcW w:w="38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Mississippi</w:t>
            </w: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Millcreek of Magee</w:t>
            </w:r>
          </w:p>
        </w:tc>
        <w:tc>
          <w:tcPr>
            <w:tcW w:w="3860" w:type="dxa"/>
            <w:vAlign w:val="bottom"/>
          </w:tcPr>
          <w:p>
            <w:pPr>
              <w:spacing w:after="0"/>
              <w:rPr>
                <w:sz w:val="18"/>
                <w:szCs w:val="18"/>
                <w:color w:val="auto"/>
              </w:rPr>
            </w:pP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Millcreek of Pontotoc</w:t>
            </w:r>
          </w:p>
        </w:tc>
        <w:tc>
          <w:tcPr>
            <w:tcW w:w="3860" w:type="dxa"/>
            <w:vAlign w:val="bottom"/>
          </w:tcPr>
          <w:p>
            <w:pPr>
              <w:spacing w:after="0"/>
              <w:rPr>
                <w:sz w:val="18"/>
                <w:szCs w:val="18"/>
                <w:color w:val="auto"/>
              </w:rPr>
            </w:pPr>
          </w:p>
        </w:tc>
      </w:tr>
      <w:tr>
        <w:trPr>
          <w:trHeight w:val="23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Millcreek of Mississippi</w:t>
            </w:r>
          </w:p>
        </w:tc>
        <w:tc>
          <w:tcPr>
            <w:tcW w:w="3860" w:type="dxa"/>
            <w:vAlign w:val="bottom"/>
          </w:tcPr>
          <w:p>
            <w:pPr>
              <w:spacing w:after="0"/>
              <w:rPr>
                <w:sz w:val="20"/>
                <w:szCs w:val="20"/>
                <w:color w:val="auto"/>
              </w:rPr>
            </w:pPr>
          </w:p>
        </w:tc>
      </w:tr>
      <w:tr>
        <w:trPr>
          <w:trHeight w:val="30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Resolute Acquisition Corporation</w:t>
            </w:r>
          </w:p>
        </w:tc>
        <w:tc>
          <w:tcPr>
            <w:tcW w:w="38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Resolute Treatment Center</w:t>
            </w:r>
          </w:p>
        </w:tc>
        <w:tc>
          <w:tcPr>
            <w:tcW w:w="3860" w:type="dxa"/>
            <w:vAlign w:val="bottom"/>
          </w:tcPr>
          <w:p>
            <w:pPr>
              <w:spacing w:after="0"/>
              <w:rPr>
                <w:sz w:val="18"/>
                <w:szCs w:val="18"/>
                <w:color w:val="auto"/>
              </w:rPr>
            </w:pP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Resolute Treatment Facility</w:t>
            </w:r>
          </w:p>
        </w:tc>
        <w:tc>
          <w:tcPr>
            <w:tcW w:w="3860" w:type="dxa"/>
            <w:vAlign w:val="bottom"/>
          </w:tcPr>
          <w:p>
            <w:pPr>
              <w:spacing w:after="0"/>
              <w:rPr>
                <w:sz w:val="18"/>
                <w:szCs w:val="18"/>
                <w:color w:val="auto"/>
              </w:rPr>
            </w:pP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YFCS REL</w:t>
            </w:r>
          </w:p>
        </w:tc>
        <w:tc>
          <w:tcPr>
            <w:tcW w:w="3860" w:type="dxa"/>
            <w:vAlign w:val="bottom"/>
          </w:tcPr>
          <w:p>
            <w:pPr>
              <w:spacing w:after="0"/>
              <w:rPr>
                <w:sz w:val="18"/>
                <w:szCs w:val="18"/>
                <w:color w:val="auto"/>
              </w:rPr>
            </w:pP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Resolute</w:t>
            </w:r>
          </w:p>
        </w:tc>
        <w:tc>
          <w:tcPr>
            <w:tcW w:w="3860" w:type="dxa"/>
            <w:vAlign w:val="bottom"/>
          </w:tcPr>
          <w:p>
            <w:pPr>
              <w:spacing w:after="0"/>
              <w:rPr>
                <w:sz w:val="18"/>
                <w:szCs w:val="18"/>
                <w:color w:val="auto"/>
              </w:rPr>
            </w:pP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Polaris Group Home</w:t>
            </w:r>
          </w:p>
        </w:tc>
        <w:tc>
          <w:tcPr>
            <w:tcW w:w="3860" w:type="dxa"/>
            <w:vAlign w:val="bottom"/>
          </w:tcPr>
          <w:p>
            <w:pPr>
              <w:spacing w:after="0"/>
              <w:rPr>
                <w:sz w:val="18"/>
                <w:szCs w:val="18"/>
                <w:color w:val="auto"/>
              </w:rPr>
            </w:pPr>
          </w:p>
        </w:tc>
      </w:tr>
      <w:tr>
        <w:trPr>
          <w:trHeight w:val="215"/>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Success Group Home</w:t>
            </w:r>
          </w:p>
        </w:tc>
        <w:tc>
          <w:tcPr>
            <w:tcW w:w="3860" w:type="dxa"/>
            <w:vAlign w:val="bottom"/>
          </w:tcPr>
          <w:p>
            <w:pPr>
              <w:spacing w:after="0"/>
              <w:rPr>
                <w:sz w:val="18"/>
                <w:szCs w:val="18"/>
                <w:color w:val="auto"/>
              </w:rPr>
            </w:pPr>
          </w:p>
        </w:tc>
      </w:tr>
      <w:tr>
        <w:trPr>
          <w:trHeight w:val="23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Milestones Behavioral Health</w:t>
            </w:r>
          </w:p>
        </w:tc>
        <w:tc>
          <w:tcPr>
            <w:tcW w:w="3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Richland County Comprehensive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Richmond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Richmond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Richmond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R.I.S.A.T.,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Rhode Island</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Providence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Woonsocket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Riverview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Vista Health Texarkana</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Riverview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Providence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RiverWoods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Riverwoods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Blue Ridge Mountain Recovery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Acadia Riverwood</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Rock Crest Drive,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Rock Crest LLC Limited Liability Company</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Rolling Hills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Oklahoma</w:t>
            </w:r>
          </w:p>
        </w:tc>
      </w:tr>
      <w:tr>
        <w:trPr>
          <w:trHeight w:val="234"/>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Rolling Hills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RTC Resource Acquisition Corporation</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YFCS RES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Resource Treatment Facility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RTC Resource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Polaris Group Home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Carina Group Home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Sahara Health Systems,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San Diego Health Alliance</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El Cajon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El Cajon Integrated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El Cajon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Ramona Integrated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Fashion Valley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Capalina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San Diego Treatment Services,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Third Avenue Clinic</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San Juan Capestrano Hospital,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Puerto Rico</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San Juan Capestrano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SC Legacy Sub, LLC</w:t>
            </w:r>
          </w:p>
        </w:tc>
        <w:tc>
          <w:tcPr>
            <w:tcW w:w="120" w:type="dxa"/>
            <w:vAlign w:val="bottom"/>
          </w:tcPr>
          <w:p>
            <w:pPr>
              <w:spacing w:after="0"/>
              <w:rPr>
                <w:sz w:val="20"/>
                <w:szCs w:val="20"/>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Sellati &amp; Co., Inc.</w:t>
            </w:r>
          </w:p>
        </w:tc>
        <w:tc>
          <w:tcPr>
            <w:tcW w:w="120" w:type="dxa"/>
            <w:vAlign w:val="bottom"/>
          </w:tcPr>
          <w:p>
            <w:pPr>
              <w:spacing w:after="0"/>
              <w:rPr>
                <w:sz w:val="24"/>
                <w:szCs w:val="24"/>
                <w:color w:val="auto"/>
              </w:rPr>
            </w:pPr>
          </w:p>
        </w:tc>
        <w:tc>
          <w:tcPr>
            <w:tcW w:w="4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Florida</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Annandale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Manassas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Broad Street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Virginia Beach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Serenity Knolls</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dba Serenity Knolls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Seven Hills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Seven Hills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Seymour Treatment Center,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Seymour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Sheltered Living Incorporated</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Life Healing Center of Santa Fe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Sierra Tucson,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Sierra Tucson</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180"/>
          </w:cols>
          <w:pgMar w:left="380" w:top="762" w:right="339" w:bottom="709"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238125</wp:posOffset>
            </wp:positionV>
            <wp:extent cx="71583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Sierra Tucson OPAZ,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Sierra Tucson Outpatient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Sierra at Scottsdale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Sierra Tucson OPTX,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Sierra at Southlake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Signature Behavioral Hospital Operations,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Signature Hospital of Leavenworth,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SJBH,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San Jose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Skyway House,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Sober Living by the Sea,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Sunrise Recovery Ranch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Rose of Newport Beach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Victorian of Newport Beach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Sober Living IOP</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Landing at Newport Beach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Sunrise Ranch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Sierra by the Sea</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Sonora Behavioral Health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Sonora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South Boston Behavioral Health, LLC</w:t>
            </w:r>
          </w:p>
        </w:tc>
        <w:tc>
          <w:tcPr>
            <w:tcW w:w="120" w:type="dxa"/>
            <w:vAlign w:val="bottom"/>
          </w:tcPr>
          <w:p>
            <w:pPr>
              <w:spacing w:after="0"/>
              <w:rPr>
                <w:sz w:val="24"/>
                <w:szCs w:val="24"/>
                <w:color w:val="auto"/>
              </w:rPr>
            </w:pPr>
          </w:p>
        </w:tc>
        <w:tc>
          <w:tcPr>
            <w:tcW w:w="4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Hopewood Recovery Center</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 CTC,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Clinton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Ridgeland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Easley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Southern Indiana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Southern Indiana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Southern Indiana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Southern New Hampshire Behavioral Health, LLC</w:t>
            </w:r>
          </w:p>
        </w:tc>
        <w:tc>
          <w:tcPr>
            <w:tcW w:w="120" w:type="dxa"/>
            <w:vAlign w:val="bottom"/>
          </w:tcPr>
          <w:p>
            <w:pPr>
              <w:spacing w:after="0"/>
              <w:rPr>
                <w:sz w:val="18"/>
                <w:szCs w:val="18"/>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Southstone Behavioral Healthcare Center, LLC</w:t>
            </w:r>
          </w:p>
        </w:tc>
        <w:tc>
          <w:tcPr>
            <w:tcW w:w="12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Southwestern Children’s Health Services,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Parc Place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Parc Place Behavioral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Oasis Behavioral Health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89" w:lineRule="exact"/>
        <w:rPr>
          <w:sz w:val="20"/>
          <w:szCs w:val="20"/>
          <w:color w:val="auto"/>
        </w:rPr>
      </w:pPr>
    </w:p>
    <w:p>
      <w:pPr>
        <w:sectPr>
          <w:pgSz w:w="11900" w:h="16838" w:orient="portrait"/>
          <w:cols w:equalWidth="0" w:num="1">
            <w:col w:w="11180"/>
          </w:cols>
          <w:pgMar w:left="380" w:top="762" w:right="339" w:bottom="1440" w:gutter="0" w:footer="0" w:header="0"/>
        </w:sectPr>
      </w:pPr>
    </w:p>
    <w:p>
      <w:pPr>
        <w:jc w:val="right"/>
        <w:ind w:right="4760"/>
        <w:spacing w:after="0"/>
        <w:rPr>
          <w:sz w:val="20"/>
          <w:szCs w:val="20"/>
          <w:color w:val="auto"/>
        </w:rPr>
      </w:pPr>
      <w:r>
        <w:rPr>
          <w:rFonts w:ascii="Times New Roman" w:cs="Times New Roman" w:eastAsia="Times New Roman" w:hAnsi="Times New Roman"/>
          <w:sz w:val="17"/>
          <w:szCs w:val="17"/>
          <w:color w:val="auto"/>
        </w:rPr>
        <w:t>Southwood Psychiatric Hospital, LLC</w:t>
      </w:r>
    </w:p>
    <w:p>
      <w:pPr>
        <w:spacing w:after="0" w:line="38"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color w:val="auto"/>
        </w:rPr>
        <w:t>dba Southwood Psychiatric Hospital</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Intercare – Southwood Psychiatric Hospital</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Intercare – Southwood Psychiatric Hospital</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Lakewood Residential Program</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Prosperity House Residential Program</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Southwood Family Home Services</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Southwood School</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Southwood Outpatient Psychiatric Clinic</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Southwood Partial Hospitalization Program</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dba Southwood Children's Behavioral Healthcare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Starlite Recovery Center, LLC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 Crest Clinic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dba Stonecrest Recovery Center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Structure House,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dba Wellspring at Structure House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 Acquisition, LLC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SUWS of the Carolinas,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891540</wp:posOffset>
            </wp:positionV>
            <wp:extent cx="71583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Michigan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w:t>
      </w:r>
    </w:p>
    <w:p>
      <w:pPr>
        <w:spacing w:after="0" w:line="330"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Indiana</w:t>
      </w:r>
    </w:p>
    <w:p>
      <w:pPr>
        <w:spacing w:after="0" w:line="115"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500" w:space="720"/>
            <w:col w:w="2960"/>
          </w:cols>
          <w:pgMar w:left="380" w:top="762" w:right="33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SUWS Seasons</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Swift River Academy,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Ten Broeck Tampa,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North Tampa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Ten Lakes Center,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Texarkana Behavioral Associates, 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Riverview Behavioral Health Outpatient Program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Vantage Point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Vantage Point of Northwest Arkansas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Vantage Point of the Ozarks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Valley Behavioral Health System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Valley Behavioral Health Outpatient Program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Valley Behavioral Health System Outpatient Program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Vista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Riverview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Camp Recovery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Azure Acres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Starlite Recovery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Camp Recovery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Camp IOP-Campbell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Camp IOP-Scotts Valley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Camp IOP-Monterey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Azure Acres IOP</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Pavilion at HealthPark,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Park Royal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Park Royal Psychiatric Hospital at Healthpark</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Park Royal Outpatient Clinic</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Refuge, A Healing Place,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Refuge - The Nest, LLC</w:t>
            </w:r>
          </w:p>
        </w:tc>
        <w:tc>
          <w:tcPr>
            <w:tcW w:w="120" w:type="dxa"/>
            <w:vAlign w:val="bottom"/>
          </w:tcPr>
          <w:p>
            <w:pPr>
              <w:spacing w:after="0"/>
              <w:rPr>
                <w:sz w:val="20"/>
                <w:szCs w:val="20"/>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Refuge- Transitions,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TK Behavioral Holding Company,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TK Behavioral,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Timberline Knolls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Timberline Knolls Residential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Transcultural Health Development,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Coastal Recovery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Coastal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Treatment Associates,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Sacramento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Sacramento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TrustPoint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5"/>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ClearPath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Trustpoint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Murfreesboro Rehabilitation Hospital at TrustPoint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Trustpoint Brain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Tulsa BH Services,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Utah Behavioral Health Services, LLC</w:t>
            </w:r>
          </w:p>
        </w:tc>
        <w:tc>
          <w:tcPr>
            <w:tcW w:w="120" w:type="dxa"/>
            <w:vAlign w:val="bottom"/>
          </w:tcPr>
          <w:p>
            <w:pPr>
              <w:spacing w:after="0"/>
              <w:rPr>
                <w:sz w:val="24"/>
                <w:szCs w:val="24"/>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dba Turning Point Centers</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Vallejo Acquisition Sub,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Valley Behavioral Health System,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Valley Behavioral Health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Valley Behavioral Health System</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Vantage Point Behavioral Health</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180"/>
          </w:cols>
          <w:pgMar w:left="380" w:top="762" w:right="339" w:bottom="709"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238125</wp:posOffset>
            </wp:positionV>
            <wp:extent cx="71583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Vantage Point of Northwest Arkansas</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Vermilion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Vermilion Behavioral Health Systems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Vermilion Behavioral Health Systems North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Vermilion Behavioral Health Systems South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Acadia Vermilion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Optima Specialty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Village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Village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Virginia Treatment Center,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Roanoke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Lynchburg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Roanoke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Lynchburg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Downtown Roanoke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Vista Behavioral Holding Company,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Vista Behavioral Hospital,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Pacific Grove Hospital</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Vista Behavioral Hospital</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Vita Nova,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Rhode Island</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Volunteer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Volunteer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WCHS, Inc.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California</w:t>
            </w: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Northwest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Tri-Cities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Kent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Canyon Park Treatment Solutions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Renton Clinic</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Tacoma Treatment Solutions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Vancouver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Spokane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Anchorage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Longview Treatment Solutions</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Kelso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Grays Harbor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Riverside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Bellingham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Bothell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Colton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Desert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Lakewood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Temecula Valley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Pasco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Wenatchee Comprehensive Treatment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Clark County Jail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2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Webster Wellness Professionals, LLC</w:t>
            </w:r>
          </w:p>
        </w:tc>
        <w:tc>
          <w:tcPr>
            <w:tcW w:w="120" w:type="dxa"/>
            <w:vAlign w:val="bottom"/>
          </w:tcPr>
          <w:p>
            <w:pPr>
              <w:spacing w:after="0"/>
              <w:rPr>
                <w:sz w:val="24"/>
                <w:szCs w:val="24"/>
                <w:color w:val="auto"/>
              </w:rPr>
            </w:pPr>
          </w:p>
        </w:tc>
        <w:tc>
          <w:tcPr>
            <w:tcW w:w="4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Wellplace,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15"/>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Wellplace Utah</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Wellplace Pennsylvania</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Westminster Behavioral Health,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dba Boulder Creek Recovery</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0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Wheeling Treatment Center, LLC</w:t>
            </w:r>
          </w:p>
        </w:tc>
        <w:tc>
          <w:tcPr>
            <w:tcW w:w="120" w:type="dxa"/>
            <w:vAlign w:val="bottom"/>
          </w:tcPr>
          <w:p>
            <w:pPr>
              <w:spacing w:after="0"/>
              <w:rPr>
                <w:sz w:val="24"/>
                <w:szCs w:val="24"/>
                <w:color w:val="auto"/>
              </w:rPr>
            </w:pPr>
          </w:p>
        </w:tc>
        <w:tc>
          <w:tcPr>
            <w:tcW w:w="4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Wheeling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874395</wp:posOffset>
            </wp:positionV>
            <wp:extent cx="71583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80" w:top="762"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 w:type="dxa"/>
            <w:vAlign w:val="bottom"/>
          </w:tcPr>
          <w:p>
            <w:pPr>
              <w:spacing w:after="0"/>
              <w:rPr>
                <w:sz w:val="21"/>
                <w:szCs w:val="21"/>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57"/>
        </w:trPr>
        <w:tc>
          <w:tcPr>
            <w:tcW w:w="60" w:type="dxa"/>
            <w:vAlign w:val="bottom"/>
          </w:tcPr>
          <w:p>
            <w:pPr>
              <w:spacing w:after="0"/>
              <w:rPr>
                <w:sz w:val="24"/>
                <w:szCs w:val="24"/>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(including dba name, if applicable)</w:t>
            </w:r>
          </w:p>
        </w:tc>
        <w:tc>
          <w:tcPr>
            <w:tcW w:w="120" w:type="dxa"/>
            <w:vAlign w:val="bottom"/>
          </w:tcPr>
          <w:p>
            <w:pPr>
              <w:spacing w:after="0"/>
              <w:rPr>
                <w:sz w:val="24"/>
                <w:szCs w:val="24"/>
                <w:color w:val="auto"/>
              </w:rPr>
            </w:pPr>
          </w:p>
        </w:tc>
        <w:tc>
          <w:tcPr>
            <w:tcW w:w="4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60" w:type="dxa"/>
            <w:vAlign w:val="bottom"/>
          </w:tcPr>
          <w:p>
            <w:pPr>
              <w:spacing w:after="0"/>
              <w:rPr>
                <w:sz w:val="24"/>
                <w:szCs w:val="24"/>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Wheeling Comprehensive Treatment Center</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2"/>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White Deer Realty, LLC</w:t>
            </w:r>
          </w:p>
        </w:tc>
        <w:tc>
          <w:tcPr>
            <w:tcW w:w="120" w:type="dxa"/>
            <w:vAlign w:val="bottom"/>
          </w:tcPr>
          <w:p>
            <w:pPr>
              <w:spacing w:after="0"/>
              <w:rPr>
                <w:sz w:val="24"/>
                <w:szCs w:val="24"/>
                <w:color w:val="auto"/>
              </w:rPr>
            </w:pPr>
          </w:p>
        </w:tc>
        <w:tc>
          <w:tcPr>
            <w:tcW w:w="4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304"/>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White Deer Run, LLC</w:t>
            </w:r>
          </w:p>
        </w:tc>
        <w:tc>
          <w:tcPr>
            <w:tcW w:w="120" w:type="dxa"/>
            <w:vAlign w:val="bottom"/>
          </w:tcPr>
          <w:p>
            <w:pPr>
              <w:spacing w:after="0"/>
              <w:rPr>
                <w:sz w:val="24"/>
                <w:szCs w:val="24"/>
                <w:color w:val="auto"/>
              </w:rPr>
            </w:pPr>
          </w:p>
        </w:tc>
        <w:tc>
          <w:tcPr>
            <w:tcW w:w="4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Cove PREP</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Lancaster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Perspectives at White Deer Run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at Blue Mountain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New Directions at Cove Forge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Cove Forge Renewal Center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Allentown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Allenwood</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Harrisburg</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Lewisburg</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Lancaster</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New Castle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Williamsport</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of York</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Cove Forge Behavioral System at Erie</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Cove Forge Behavioral System at Pittsburg</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Cove Forge Behavioral System at Williamsburg</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Lehigh County Center for Recovery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The HOPE Program of Cover Forge at Robinson</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White Deer Run Youth Assessment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2"/>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Wichita Treatment Center Inc.</w:t>
            </w:r>
          </w:p>
        </w:tc>
        <w:tc>
          <w:tcPr>
            <w:tcW w:w="120" w:type="dxa"/>
            <w:vAlign w:val="bottom"/>
          </w:tcPr>
          <w:p>
            <w:pPr>
              <w:spacing w:after="0"/>
              <w:rPr>
                <w:sz w:val="24"/>
                <w:szCs w:val="24"/>
                <w:color w:val="auto"/>
              </w:rPr>
            </w:pPr>
          </w:p>
        </w:tc>
        <w:tc>
          <w:tcPr>
            <w:tcW w:w="4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Kansas</w:t>
            </w:r>
          </w:p>
        </w:tc>
      </w:tr>
      <w:tr>
        <w:trPr>
          <w:trHeight w:val="304"/>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Williamson Treatment Center, LLC</w:t>
            </w:r>
          </w:p>
        </w:tc>
        <w:tc>
          <w:tcPr>
            <w:tcW w:w="120" w:type="dxa"/>
            <w:vAlign w:val="bottom"/>
          </w:tcPr>
          <w:p>
            <w:pPr>
              <w:spacing w:after="0"/>
              <w:rPr>
                <w:sz w:val="24"/>
                <w:szCs w:val="24"/>
                <w:color w:val="auto"/>
              </w:rPr>
            </w:pPr>
          </w:p>
        </w:tc>
        <w:tc>
          <w:tcPr>
            <w:tcW w:w="4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West Virginia</w:t>
            </w:r>
          </w:p>
        </w:tc>
      </w:tr>
      <w:tr>
        <w:trPr>
          <w:trHeight w:val="234"/>
        </w:trPr>
        <w:tc>
          <w:tcPr>
            <w:tcW w:w="60" w:type="dxa"/>
            <w:vAlign w:val="bottom"/>
          </w:tcPr>
          <w:p>
            <w:pPr>
              <w:spacing w:after="0"/>
              <w:rPr>
                <w:sz w:val="20"/>
                <w:szCs w:val="20"/>
                <w:color w:val="auto"/>
              </w:rPr>
            </w:pP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dba Williamson Comprehensive Treatment Center</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2"/>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Wilmington Treatment Center, LLC</w:t>
            </w:r>
          </w:p>
        </w:tc>
        <w:tc>
          <w:tcPr>
            <w:tcW w:w="120" w:type="dxa"/>
            <w:vAlign w:val="bottom"/>
          </w:tcPr>
          <w:p>
            <w:pPr>
              <w:spacing w:after="0"/>
              <w:rPr>
                <w:sz w:val="24"/>
                <w:szCs w:val="24"/>
                <w:color w:val="auto"/>
              </w:rPr>
            </w:pPr>
          </w:p>
        </w:tc>
        <w:tc>
          <w:tcPr>
            <w:tcW w:w="4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322"/>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WP Acquisition Sub, LLC</w:t>
            </w:r>
          </w:p>
        </w:tc>
        <w:tc>
          <w:tcPr>
            <w:tcW w:w="120" w:type="dxa"/>
            <w:vAlign w:val="bottom"/>
          </w:tcPr>
          <w:p>
            <w:pPr>
              <w:spacing w:after="0"/>
              <w:rPr>
                <w:sz w:val="24"/>
                <w:szCs w:val="24"/>
                <w:color w:val="auto"/>
              </w:rPr>
            </w:pPr>
          </w:p>
        </w:tc>
        <w:tc>
          <w:tcPr>
            <w:tcW w:w="4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Delaware</w:t>
            </w:r>
          </w:p>
        </w:tc>
      </w:tr>
      <w:tr>
        <w:trPr>
          <w:trHeight w:val="304"/>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Youth and Family Centered Services of New Mexico, Inc.</w:t>
            </w:r>
          </w:p>
        </w:tc>
        <w:tc>
          <w:tcPr>
            <w:tcW w:w="120" w:type="dxa"/>
            <w:vAlign w:val="bottom"/>
          </w:tcPr>
          <w:p>
            <w:pPr>
              <w:spacing w:after="0"/>
              <w:rPr>
                <w:sz w:val="24"/>
                <w:szCs w:val="24"/>
                <w:color w:val="auto"/>
              </w:rPr>
            </w:pPr>
          </w:p>
        </w:tc>
        <w:tc>
          <w:tcPr>
            <w:tcW w:w="4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New Mexico</w:t>
            </w:r>
          </w:p>
        </w:tc>
      </w:tr>
      <w:tr>
        <w:trPr>
          <w:trHeight w:val="234"/>
        </w:trPr>
        <w:tc>
          <w:tcPr>
            <w:tcW w:w="60" w:type="dxa"/>
            <w:vAlign w:val="bottom"/>
          </w:tcPr>
          <w:p>
            <w:pPr>
              <w:spacing w:after="0"/>
              <w:rPr>
                <w:sz w:val="20"/>
                <w:szCs w:val="20"/>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Desert Hills of New Mexico</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4"/>
        </w:trPr>
        <w:tc>
          <w:tcPr>
            <w:tcW w:w="6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Youth Care of Utah, Inc.</w:t>
            </w:r>
          </w:p>
        </w:tc>
        <w:tc>
          <w:tcPr>
            <w:tcW w:w="120" w:type="dxa"/>
            <w:vAlign w:val="bottom"/>
          </w:tcPr>
          <w:p>
            <w:pPr>
              <w:spacing w:after="0"/>
              <w:rPr>
                <w:sz w:val="24"/>
                <w:szCs w:val="24"/>
                <w:color w:val="auto"/>
              </w:rPr>
            </w:pPr>
          </w:p>
        </w:tc>
        <w:tc>
          <w:tcPr>
            <w:tcW w:w="4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6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Pine Ridge Academy</w:t>
            </w:r>
          </w:p>
        </w:tc>
        <w:tc>
          <w:tcPr>
            <w:tcW w:w="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dba Youth Care</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04"/>
        </w:trPr>
        <w:tc>
          <w:tcPr>
            <w:tcW w:w="6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129" w:name="page130"/>
    <w:bookmarkEnd w:id="129"/>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3" w:lineRule="exact"/>
        <w:rPr>
          <w:sz w:val="20"/>
          <w:szCs w:val="20"/>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333-190232) pertaining to the Acadia Healthcare Company, Inc. Incentive Compensation Plan;</w:t>
      </w:r>
    </w:p>
    <w:p>
      <w:pPr>
        <w:spacing w:after="0" w:line="22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333-211505) pertaining to the Acadia Healthcare Company, Inc. Incentive Compensation Plan; and</w:t>
      </w:r>
    </w:p>
    <w:p>
      <w:pPr>
        <w:spacing w:after="0" w:line="22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333-258420) pertaining to the Acadia Healthcare Company, Inc. Incentive Compensation Plan; and</w:t>
      </w:r>
    </w:p>
    <w:p>
      <w:pPr>
        <w:spacing w:after="0" w:line="22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333-287698) pertaining to the Acadia Healthcare Company, Inc. Incentive Compensation Plan;</w:t>
      </w:r>
    </w:p>
    <w:p>
      <w:pPr>
        <w:spacing w:after="0" w:line="223" w:lineRule="exact"/>
        <w:rPr>
          <w:sz w:val="20"/>
          <w:szCs w:val="20"/>
          <w:color w:val="auto"/>
        </w:rPr>
      </w:pPr>
    </w:p>
    <w:p>
      <w:pPr>
        <w:ind w:left="480" w:right="600"/>
        <w:spacing w:after="0" w:line="264" w:lineRule="auto"/>
        <w:rPr>
          <w:sz w:val="20"/>
          <w:szCs w:val="20"/>
          <w:color w:val="auto"/>
        </w:rPr>
      </w:pPr>
      <w:r>
        <w:rPr>
          <w:rFonts w:ascii="Times New Roman" w:cs="Times New Roman" w:eastAsia="Times New Roman" w:hAnsi="Times New Roman"/>
          <w:sz w:val="18"/>
          <w:szCs w:val="18"/>
          <w:color w:val="auto"/>
        </w:rPr>
        <w:t>of our reports dated February 26, 2026, with respect to the consolidated financial statements of Acadia Healthcare Company, Inc. and the effectiveness of internal control over financial reporting of Acadia Healthcare Company, Inc., included in this Annual Report (Form 10-K) of Acadia Healthcare Company, Inc.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1343660</wp:posOffset>
            </wp:positionV>
            <wp:extent cx="71583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Debra K. Osteen, certify that:</w:t>
      </w:r>
    </w:p>
    <w:p>
      <w:pPr>
        <w:spacing w:after="0" w:line="115" w:lineRule="exact"/>
        <w:rPr>
          <w:sz w:val="20"/>
          <w:szCs w:val="20"/>
          <w:color w:val="auto"/>
        </w:rPr>
      </w:pPr>
    </w:p>
    <w:p>
      <w:pPr>
        <w:ind w:left="520" w:hanging="513"/>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Acadia Healthcare Company, Inc.;</w:t>
      </w:r>
    </w:p>
    <w:p>
      <w:pPr>
        <w:spacing w:after="0" w:line="115" w:lineRule="exact"/>
        <w:rPr>
          <w:rFonts w:ascii="Times New Roman" w:cs="Times New Roman" w:eastAsia="Times New Roman" w:hAnsi="Times New Roman"/>
          <w:sz w:val="18"/>
          <w:szCs w:val="18"/>
          <w:color w:val="auto"/>
        </w:rPr>
      </w:pPr>
    </w:p>
    <w:p>
      <w:pPr>
        <w:jc w:val="both"/>
        <w:ind w:left="520" w:right="300" w:hanging="513"/>
        <w:spacing w:after="0" w:line="264"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60" w:hanging="513"/>
        <w:spacing w:after="0" w:line="28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300" w:hanging="513"/>
        <w:spacing w:after="0" w:line="264"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60" w:hanging="504"/>
        <w:spacing w:after="0" w:line="264"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60" w:hanging="504"/>
        <w:spacing w:after="0" w:line="264"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40" w:hanging="504"/>
        <w:spacing w:after="0" w:line="310"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020" w:right="20" w:hanging="504"/>
        <w:spacing w:after="0" w:line="264"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80" w:hanging="513"/>
        <w:spacing w:after="0" w:line="280"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0"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Debra K. Osteen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16510</wp:posOffset>
            </wp:positionV>
            <wp:extent cx="3353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335343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Debra K. Osteen</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1152525</wp:posOffset>
            </wp:positionV>
            <wp:extent cx="71583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Young, certify that:</w:t>
      </w:r>
    </w:p>
    <w:p>
      <w:pPr>
        <w:spacing w:after="0" w:line="115" w:lineRule="exact"/>
        <w:rPr>
          <w:sz w:val="20"/>
          <w:szCs w:val="20"/>
          <w:color w:val="auto"/>
        </w:rPr>
      </w:pPr>
    </w:p>
    <w:p>
      <w:pPr>
        <w:ind w:left="520" w:hanging="513"/>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Acadia Healthcare Company, Inc.;</w:t>
      </w:r>
    </w:p>
    <w:p>
      <w:pPr>
        <w:spacing w:after="0" w:line="115" w:lineRule="exact"/>
        <w:rPr>
          <w:rFonts w:ascii="Times New Roman" w:cs="Times New Roman" w:eastAsia="Times New Roman" w:hAnsi="Times New Roman"/>
          <w:sz w:val="18"/>
          <w:szCs w:val="18"/>
          <w:color w:val="auto"/>
        </w:rPr>
      </w:pPr>
    </w:p>
    <w:p>
      <w:pPr>
        <w:jc w:val="both"/>
        <w:ind w:left="520" w:right="300" w:hanging="513"/>
        <w:spacing w:after="0" w:line="264"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60" w:hanging="513"/>
        <w:spacing w:after="0" w:line="28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300" w:hanging="513"/>
        <w:spacing w:after="0" w:line="264"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60" w:hanging="504"/>
        <w:spacing w:after="0" w:line="264"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60" w:hanging="504"/>
        <w:spacing w:after="0" w:line="264"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40" w:hanging="504"/>
        <w:spacing w:after="0" w:line="310"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020" w:right="20" w:hanging="504"/>
        <w:spacing w:after="0" w:line="264"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80" w:hanging="513"/>
        <w:spacing w:after="0" w:line="280"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0"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Todd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16510</wp:posOffset>
            </wp:positionV>
            <wp:extent cx="3353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335343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Todd Young</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1152525</wp:posOffset>
            </wp:positionV>
            <wp:extent cx="71583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4"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7"/>
          <w:szCs w:val="17"/>
          <w:color w:val="auto"/>
        </w:rPr>
        <w:t>In connection with the Annual Report of Acadia Healthcare Company, Inc. (the “Company”) on Form 10-K for the year ended December 31, 2025, as filed with the Securities and Exchange Commission on the date hereof (the “Report”), I, Debra K. Osteen, Chief Executive Officer and Director of the Company, certify, pursuant to 18 U.S.C. Section 1350, as adopted pursuant to Section 906 of the Sarbanes-Oxley Act of 2002, that, to my knowledge:</w:t>
      </w:r>
    </w:p>
    <w:p>
      <w:pPr>
        <w:spacing w:after="0" w:line="51" w:lineRule="exact"/>
        <w:rPr>
          <w:sz w:val="20"/>
          <w:szCs w:val="20"/>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5" w:lineRule="exact"/>
        <w:rPr>
          <w:rFonts w:ascii="Times New Roman" w:cs="Times New Roman" w:eastAsia="Times New Roman" w:hAnsi="Times New Roman"/>
          <w:sz w:val="18"/>
          <w:szCs w:val="18"/>
          <w:color w:val="auto"/>
        </w:rPr>
      </w:pPr>
    </w:p>
    <w:p>
      <w:pPr>
        <w:ind w:left="1020" w:right="600" w:hanging="504"/>
        <w:spacing w:after="0" w:line="280"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Debra K. Osteen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667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Debra K. Osteen</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1016000</wp:posOffset>
            </wp:positionV>
            <wp:extent cx="71583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4" w:lineRule="exact"/>
        <w:rPr>
          <w:sz w:val="20"/>
          <w:szCs w:val="20"/>
          <w:color w:val="auto"/>
        </w:rPr>
      </w:pPr>
    </w:p>
    <w:p>
      <w:pPr>
        <w:jc w:val="both"/>
        <w:ind w:right="160" w:firstLine="509"/>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Acadia Healthcare Company, Inc. (the “Company”) on Form 10-K for the year ended December 31, 2025, as filed with the Securities and Exchange Commission on the date hereof (the “Report”), I, Todd Young, Chief Financial Officer of the Company, certify, pursuant to 18 U.S.C. Section 1350, as adopted pursuant to Section 906 of the Sarbanes-Oxley Act of 2002, that, to my knowledge:</w:t>
      </w:r>
    </w:p>
    <w:p>
      <w:pPr>
        <w:spacing w:after="0" w:line="69" w:lineRule="exact"/>
        <w:rPr>
          <w:sz w:val="20"/>
          <w:szCs w:val="20"/>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5" w:lineRule="exact"/>
        <w:rPr>
          <w:rFonts w:ascii="Times New Roman" w:cs="Times New Roman" w:eastAsia="Times New Roman" w:hAnsi="Times New Roman"/>
          <w:sz w:val="18"/>
          <w:szCs w:val="18"/>
          <w:color w:val="auto"/>
        </w:rPr>
      </w:pPr>
    </w:p>
    <w:p>
      <w:pPr>
        <w:ind w:left="1020" w:right="600" w:hanging="504"/>
        <w:spacing w:after="0" w:line="280"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Todd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667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Young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1016000</wp:posOffset>
            </wp:positionV>
            <wp:extent cx="71583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4" w:name="page135"/>
    <w:bookmarkEnd w:id="1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2"/>
    </w:lvl>
  </w:abstractNum>
  <w:abstractNum w:abstractNumId="26">
    <w:nsid w:val="580BD78F"/>
    <w:multiLevelType w:val="hybridMultilevel"/>
    <w:lvl w:ilvl="0">
      <w:lvlJc w:val="left"/>
      <w:lvlText w:val="%1."/>
      <w:numFmt w:val="decimal"/>
      <w:start w:val="3"/>
    </w:lvl>
  </w:abstractNum>
  <w:abstractNum w:abstractNumId="27">
    <w:nsid w:val="153EA438"/>
    <w:multiLevelType w:val="hybridMultilevel"/>
    <w:lvl w:ilvl="0">
      <w:lvlJc w:val="left"/>
      <w:lvlText w:val="%1"/>
      <w:numFmt w:val="decimal"/>
      <w:start w:val="19"/>
    </w:lvl>
  </w:abstractNum>
  <w:abstractNum w:abstractNumId="28">
    <w:nsid w:val="3855585C"/>
    <w:multiLevelType w:val="hybridMultilevel"/>
    <w:lvl w:ilvl="0">
      <w:lvlJc w:val="left"/>
      <w:lvlText w:val="%1"/>
      <w:numFmt w:val="decimal"/>
      <w:start w:val="22"/>
    </w:lvl>
  </w:abstractNum>
  <w:abstractNum w:abstractNumId="29">
    <w:nsid w:val="70A64E2A"/>
    <w:multiLevelType w:val="hybridMultilevel"/>
    <w:lvl w:ilvl="0">
      <w:lvlJc w:val="left"/>
      <w:lvlText w:val="%1"/>
      <w:numFmt w:val="decimal"/>
      <w:start w:val="97"/>
    </w:lvl>
  </w:abstractNum>
  <w:abstractNum w:abstractNumId="30">
    <w:nsid w:val="6A2342EC"/>
    <w:multiLevelType w:val="hybridMultilevel"/>
    <w:lvl w:ilvl="0">
      <w:lvlJc w:val="left"/>
      <w:lvlText w:val="%1"/>
      <w:numFmt w:val="decimal"/>
      <w:start w:val="104"/>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8"/>
    </w:lvl>
  </w:abstractNum>
  <w:abstractNum w:abstractNumId="37">
    <w:nsid w:val="4B588F54"/>
    <w:multiLevelType w:val="hybridMultilevel"/>
    <w:lvl w:ilvl="0">
      <w:lvlJc w:val="left"/>
      <w:lvlText w:val="(%1)"/>
      <w:numFmt w:val="lowerLetter"/>
      <w:start w:val="27"/>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decimal"/>
      <w:start w:val="5"/>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6"/>
    </w:lvl>
  </w:abstractNum>
  <w:abstractNum w:abstractNumId="45">
    <w:nsid w:val="749ABB43"/>
    <w:multiLevelType w:val="hybridMultilevel"/>
    <w:lvl w:ilvl="0">
      <w:lvlJc w:val="left"/>
      <w:lvlText w:val="%1."/>
      <w:numFmt w:val="decimal"/>
      <w:start w:val="7"/>
    </w:lvl>
  </w:abstractNum>
  <w:abstractNum w:abstractNumId="46">
    <w:nsid w:val="3DC240FB"/>
    <w:multiLevelType w:val="hybridMultilevel"/>
    <w:lvl w:ilvl="0">
      <w:lvlJc w:val="left"/>
      <w:lvlText w:val="%1."/>
      <w:numFmt w:val="decimal"/>
      <w:start w:val="14"/>
    </w:lvl>
  </w:abstractNum>
  <w:abstractNum w:abstractNumId="47">
    <w:nsid w:val="1BA026FA"/>
    <w:multiLevelType w:val="hybridMultilevel"/>
    <w:lvl w:ilvl="0">
      <w:lvlJc w:val="left"/>
      <w:lvlText w:val="%1."/>
      <w:numFmt w:val="decimal"/>
      <w:start w:val="7"/>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2"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jpeg"/><Relationship Id="rId404" Type="http://schemas.openxmlformats.org/officeDocument/2006/relationships/image" Target="media/image352.png"/><Relationship Id="rId405" Type="http://schemas.openxmlformats.org/officeDocument/2006/relationships/image" Target="media/image353.jpeg"/><Relationship Id="rId406" Type="http://schemas.openxmlformats.org/officeDocument/2006/relationships/image" Target="media/image354.png"/><Relationship Id="rId407" Type="http://schemas.openxmlformats.org/officeDocument/2006/relationships/image" Target="media/image355.jpe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jpeg"/><Relationship Id="rId411" Type="http://schemas.openxmlformats.org/officeDocument/2006/relationships/image" Target="media/image359.png"/><Relationship Id="rId412" Type="http://schemas.openxmlformats.org/officeDocument/2006/relationships/image" Target="media/image360.jpe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jpeg"/><Relationship Id="rId418" Type="http://schemas.openxmlformats.org/officeDocument/2006/relationships/image" Target="media/image366.png"/><Relationship Id="rId419" Type="http://schemas.openxmlformats.org/officeDocument/2006/relationships/image" Target="media/image367.jpeg"/><Relationship Id="rId420" Type="http://schemas.openxmlformats.org/officeDocument/2006/relationships/image" Target="media/image368.png"/><Relationship Id="rId421" Type="http://schemas.openxmlformats.org/officeDocument/2006/relationships/image" Target="media/image369.jpeg"/><Relationship Id="rId422" Type="http://schemas.openxmlformats.org/officeDocument/2006/relationships/image" Target="media/image370.png"/><Relationship Id="rId423" Type="http://schemas.openxmlformats.org/officeDocument/2006/relationships/image" Target="media/image371.jpe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122" Type="http://schemas.openxmlformats.org/officeDocument/2006/relationships/hyperlink" Target="https://www.sec.gov/Archives/edgar/data/1520697/000119312524146576/d833064dex31.htm" TargetMode="External"/><Relationship Id="rId123" Type="http://schemas.openxmlformats.org/officeDocument/2006/relationships/hyperlink" Target="https://www.sec.gov/Archives/edgar/data/1520697/000119312517183851/d383441dex32.htm" TargetMode="External"/><Relationship Id="rId124" Type="http://schemas.openxmlformats.org/officeDocument/2006/relationships/hyperlink" Target="https://www.sec.gov/Archives/edgar/data/1520697/000119312520177619/d949477dex41.htm" TargetMode="External"/><Relationship Id="rId125" Type="http://schemas.openxmlformats.org/officeDocument/2006/relationships/hyperlink" Target="https://www.sec.gov/Archives/edgar/data/1520697/000119312520269130/d942109dex41.htm" TargetMode="External"/><Relationship Id="rId126" Type="http://schemas.openxmlformats.org/officeDocument/2006/relationships/hyperlink" Target="https://www.sec.gov/Archives/edgar/data/1520697/000119312525051083/d923379dex41.htm" TargetMode="External"/><Relationship Id="rId127" Type="http://schemas.openxmlformats.org/officeDocument/2006/relationships/hyperlink" Target="https://www.sec.gov/Archives/edgar/data/1520697/000119312514389882/d810723dex41.htm" TargetMode="External"/><Relationship Id="rId128" Type="http://schemas.openxmlformats.org/officeDocument/2006/relationships/hyperlink" Target="https://www.sec.gov/Archives/edgar/data/1520697/000119312511321378/d258032dex41.htm" TargetMode="External"/><Relationship Id="rId129" Type="http://schemas.openxmlformats.org/officeDocument/2006/relationships/hyperlink" Target="https://www.sec.gov/Archives/edgar/data/1520697/000119312516418747/d113050dex4.htm" TargetMode="External"/><Relationship Id="rId130" Type="http://schemas.openxmlformats.org/officeDocument/2006/relationships/hyperlink" Target="https://www.sec.gov/Archives/edgar/data/1520697/000119312516465367/d129839dex45.htm" TargetMode="External"/><Relationship Id="rId131" Type="http://schemas.openxmlformats.org/officeDocument/2006/relationships/hyperlink" Target="https://www.sec.gov/Archives/edgar/data/1520697/000156459021009466/achc-ex413_6.htm" TargetMode="External"/><Relationship Id="rId132" Type="http://schemas.openxmlformats.org/officeDocument/2006/relationships/hyperlink" Target="https://www.sec.gov/Archives/edgar/data/1520697/000119312521088596/d123139dex101.htm" TargetMode="External"/><Relationship Id="rId133" Type="http://schemas.openxmlformats.org/officeDocument/2006/relationships/hyperlink" Target="https://www.sec.gov/Archives/edgar/data/1520697/000095017023015296/achc-ex10_1.htm" TargetMode="External"/><Relationship Id="rId134" Type="http://schemas.openxmlformats.org/officeDocument/2006/relationships/hyperlink" Target="https://www.sec.gov/Archives/edgar/data/1520697/000119312524011225/d658459dex101.htm" TargetMode="External"/><Relationship Id="rId137" Type="http://schemas.openxmlformats.org/officeDocument/2006/relationships/hyperlink" Target="https://www.sec.gov/Archives/edgar/data/1520697/000119312521088596/d123139dex102.htm" TargetMode="External"/><Relationship Id="rId138" Type="http://schemas.openxmlformats.org/officeDocument/2006/relationships/hyperlink" Target="https://www.sec.gov/Archives/edgar/data/1520697/000119312525042573/d922354dex101.htm" TargetMode="External"/><Relationship Id="rId139" Type="http://schemas.openxmlformats.org/officeDocument/2006/relationships/hyperlink" Target="https://www.sec.gov/Archives/edgar/data/1520697/000143774926001486/ex_909377.htm" TargetMode="External"/><Relationship Id="rId140" Type="http://schemas.openxmlformats.org/officeDocument/2006/relationships/hyperlink" Target="https://www.sec.gov/Archives/edgar/data/1520697/000119312525233507/d69841dex10.htm" TargetMode="External"/><Relationship Id="rId141" Type="http://schemas.openxmlformats.org/officeDocument/2006/relationships/hyperlink" Target="https://www.sec.gov/Archives/edgar/data/1520697/000095017023035484/achc-ex10_2.htm" TargetMode="External"/><Relationship Id="rId142" Type="http://schemas.openxmlformats.org/officeDocument/2006/relationships/hyperlink" Target="https://www.sec.gov/Archives/edgar/data/1520697/000095017023035484/achc-ex10_3.htm" TargetMode="External"/><Relationship Id="rId143" Type="http://schemas.openxmlformats.org/officeDocument/2006/relationships/hyperlink" Target="https://www.sec.gov/Archives/edgar/data/1520697/000156459022017872/achc-ex103_286.htm" TargetMode="External"/><Relationship Id="rId144" Type="http://schemas.openxmlformats.org/officeDocument/2006/relationships/hyperlink" Target="https://www.sec.gov/Archives/edgar/data/1520697/000119312526020169/d78515dex101.htm" TargetMode="External"/><Relationship Id="rId145" Type="http://schemas.openxmlformats.org/officeDocument/2006/relationships/hyperlink" Target="https://www.sec.gov/Archives/edgar/data/1520697/000119312523159929/d328959dex101.htm" TargetMode="External"/><Relationship Id="rId146" Type="http://schemas.openxmlformats.org/officeDocument/2006/relationships/hyperlink" Target="https://www.sec.gov/Archives/edgar/data/1520697/000119312524146576/d833064dex101.htm" TargetMode="External"/><Relationship Id="rId147" Type="http://schemas.openxmlformats.org/officeDocument/2006/relationships/hyperlink" Target="https://www.sec.gov/Archives/edgar/data/1520697/000143774925033347/ex_883584.htm" TargetMode="External"/><Relationship Id="rId148" Type="http://schemas.openxmlformats.org/officeDocument/2006/relationships/hyperlink" Target="https://www.sec.gov/Archives/edgar/data/1520697/000095017025103160/achc-ex10_2.htm" TargetMode="External"/><Relationship Id="rId149" Type="http://schemas.openxmlformats.org/officeDocument/2006/relationships/hyperlink" Target="https://www.sec.gov/Archives/edgar/data/1520697/000119312525267062/achc-ex10_2.htm" TargetMode="External"/><Relationship Id="rId150" Type="http://schemas.openxmlformats.org/officeDocument/2006/relationships/hyperlink" Target="https://www.sec.gov/Archives/edgar/data/1520697/000119312525267062/achc-ex10_3.htm" TargetMode="External"/><Relationship Id="rId151" Type="http://schemas.openxmlformats.org/officeDocument/2006/relationships/hyperlink" Target="https://www.sec.gov/Archives/edgar/data/1520697/000119312525267062/achc-ex10_4.htm" TargetMode="External"/><Relationship Id="rId152" Type="http://schemas.openxmlformats.org/officeDocument/2006/relationships/hyperlink" Target="https://www.sec.gov/Archives/edgar/data/1520697/000119312513308767/d576163dex99.htm" TargetMode="External"/><Relationship Id="rId153" Type="http://schemas.openxmlformats.org/officeDocument/2006/relationships/hyperlink" Target="https://www.sec.gov/ix?doc=/Archives/edgar/data/0001520697/000114036125013294/ny20042551x1_def14a.htm#a018" TargetMode="External"/><Relationship Id="rId154" Type="http://schemas.openxmlformats.org/officeDocument/2006/relationships/hyperlink" Target="https://www.sec.gov/Archives/edgar/data/1520697/000119312518150794/d537812dex104.htm" TargetMode="External"/><Relationship Id="rId155" Type="http://schemas.openxmlformats.org/officeDocument/2006/relationships/hyperlink" Target="https://www.sec.gov/Archives/edgar/data/1520697/000095012311083193/c65232a2exv10w25.htm" TargetMode="External"/><Relationship Id="rId156" Type="http://schemas.openxmlformats.org/officeDocument/2006/relationships/hyperlink" Target="https://www.sec.gov/Archives/edgar/data/1520697/000095012311083193/c65232a2exv10w26.htm" TargetMode="External"/><Relationship Id="rId157" Type="http://schemas.openxmlformats.org/officeDocument/2006/relationships/hyperlink" Target="https://www.sec.gov/Archives/edgar/data/1520697/000119312518150794/d537812dex103.htm" TargetMode="External"/><Relationship Id="rId158" Type="http://schemas.openxmlformats.org/officeDocument/2006/relationships/hyperlink" Target="https://www.sec.gov/Archives/edgar/data/1520697/000095012311085847/c65232a3exv10w28.htm" TargetMode="External"/><Relationship Id="rId159" Type="http://schemas.openxmlformats.org/officeDocument/2006/relationships/hyperlink" Target="https://www.sec.gov/Archives/edgar/data/1520697/000119312513196184/d513520dex103.htm" TargetMode="External"/><Relationship Id="rId160" Type="http://schemas.openxmlformats.org/officeDocument/2006/relationships/hyperlink" Target="https://www.sec.gov/Archives/edgar/data/1520697/000119312513196184/d513520dex104.htm" TargetMode="External"/><Relationship Id="rId161" Type="http://schemas.openxmlformats.org/officeDocument/2006/relationships/hyperlink" Target="https://www.sec.gov/Archives/edgar/data/1520697/000119312511290928/d251019dex102.htm" TargetMode="External"/><Relationship Id="rId162" Type="http://schemas.openxmlformats.org/officeDocument/2006/relationships/hyperlink" Target="https://www.sec.gov/Archives/edgar/data/1520697/000119312511290928/d251019dex103.htm" TargetMode="External"/><Relationship Id="rId165" Type="http://schemas.openxmlformats.org/officeDocument/2006/relationships/hyperlink" Target="https://www.sec.gov/Archives/edgar/data/1520697/000119312523266248/d557598dex101.htm" TargetMode="External"/><Relationship Id="rId166" Type="http://schemas.openxmlformats.org/officeDocument/2006/relationships/hyperlink" Target="https://www.sec.gov/Archives/edgar/data/1520697/000119312523266248/d557598dex102.htm" TargetMode="External"/><Relationship Id="rId167" Type="http://schemas.openxmlformats.org/officeDocument/2006/relationships/hyperlink" Target="https://www.sec.gov/Archives/edgar/data/1520697/000119312523266248/d557598dex103.htm" TargetMode="External"/><Relationship Id="rId168" Type="http://schemas.openxmlformats.org/officeDocument/2006/relationships/hyperlink" Target="https://www.sec.gov/Archives/edgar/data/1520697/000095017025029095/achc-ex19.htm" TargetMode="External"/><Relationship Id="rId171" Type="http://schemas.openxmlformats.org/officeDocument/2006/relationships/hyperlink" Target="https://www.sec.gov/Archives/edgar/data/1520697/000119312525267062/achc-ex22.htm" TargetMode="External"/><Relationship Id="rId173" Type="http://schemas.openxmlformats.org/officeDocument/2006/relationships/hyperlink" Target="https://www.sec.gov/Archives/edgar/data/1520697/000095017024022057/achc-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2026-02-27T05:39:11Z</dcterms:created>
  <dcterms:modified xsi:type="dcterms:W3CDTF">2026-02-27T05:39:11Z</dcterms:modified>
</cp:coreProperties>
</file>