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333-175523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line="246" w:lineRule="auto"/>
        <w:rPr>
          <w:sz w:val="20"/>
          <w:szCs w:val="20"/>
          <w:color w:val="auto"/>
        </w:rPr>
      </w:pPr>
      <w:r>
        <w:rPr>
          <w:rFonts w:ascii="Arial" w:cs="Arial" w:eastAsia="Arial" w:hAnsi="Arial"/>
          <w:sz w:val="32"/>
          <w:szCs w:val="32"/>
          <w:b w:val="1"/>
          <w:bCs w:val="1"/>
          <w:color w:val="auto"/>
        </w:rPr>
        <w:t>POST-EFFECTIVE AMENDMENT NO. 1 TO FORM S-4 ON FORM S-8 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65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Delaware</w:t>
            </w:r>
          </w:p>
        </w:tc>
        <w:tc>
          <w:tcPr>
            <w:tcW w:w="1180" w:type="dxa"/>
            <w:vAlign w:val="bottom"/>
          </w:tcPr>
          <w:p>
            <w:pPr>
              <w:jc w:val="right"/>
              <w:ind w:right="44"/>
              <w:spacing w:after="0"/>
              <w:rPr>
                <w:sz w:val="20"/>
                <w:szCs w:val="20"/>
                <w:color w:val="auto"/>
              </w:rPr>
            </w:pPr>
            <w:r>
              <w:rPr>
                <w:rFonts w:ascii="Arial" w:cs="Arial" w:eastAsia="Arial" w:hAnsi="Arial"/>
                <w:sz w:val="18"/>
                <w:szCs w:val="18"/>
                <w:b w:val="1"/>
                <w:bCs w:val="1"/>
                <w:color w:val="auto"/>
              </w:rPr>
              <w:t>45-2492228</w:t>
            </w:r>
          </w:p>
        </w:tc>
      </w:tr>
      <w:tr>
        <w:trPr>
          <w:trHeight w:val="149"/>
        </w:trPr>
        <w:tc>
          <w:tcPr>
            <w:tcW w:w="6560" w:type="dxa"/>
            <w:vAlign w:val="bottom"/>
            <w:gridSpan w:val="3"/>
          </w:tcPr>
          <w:p>
            <w:pPr>
              <w:jc w:val="center"/>
              <w:ind w:right="38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80" w:type="dxa"/>
            <w:vAlign w:val="bottom"/>
          </w:tcPr>
          <w:p>
            <w:pPr>
              <w:jc w:val="center"/>
              <w:ind w:left="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560" w:type="dxa"/>
            <w:vAlign w:val="bottom"/>
            <w:gridSpan w:val="3"/>
          </w:tcPr>
          <w:p>
            <w:pPr>
              <w:jc w:val="center"/>
              <w:ind w:right="3800"/>
              <w:spacing w:after="0"/>
              <w:rPr>
                <w:sz w:val="20"/>
                <w:szCs w:val="20"/>
                <w:color w:val="auto"/>
              </w:rPr>
            </w:pPr>
            <w:r>
              <w:rPr>
                <w:rFonts w:ascii="Arial" w:cs="Arial" w:eastAsia="Arial" w:hAnsi="Arial"/>
                <w:sz w:val="14"/>
                <w:szCs w:val="14"/>
                <w:b w:val="1"/>
                <w:bCs w:val="1"/>
                <w:color w:val="auto"/>
                <w:w w:val="88"/>
              </w:rPr>
              <w:t>incorporation or organization)</w:t>
            </w:r>
          </w:p>
        </w:tc>
        <w:tc>
          <w:tcPr>
            <w:tcW w:w="1180" w:type="dxa"/>
            <w:vAlign w:val="bottom"/>
          </w:tcPr>
          <w:p>
            <w:pPr>
              <w:jc w:val="center"/>
              <w:ind w:left="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56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88"/>
              </w:rPr>
              <w:t>830 Crescent Centre Drive, Suite 610</w:t>
            </w:r>
          </w:p>
        </w:tc>
        <w:tc>
          <w:tcPr>
            <w:tcW w:w="1180" w:type="dxa"/>
            <w:vAlign w:val="bottom"/>
          </w:tcPr>
          <w:p>
            <w:pPr>
              <w:spacing w:after="0"/>
              <w:rPr>
                <w:sz w:val="24"/>
                <w:szCs w:val="24"/>
                <w:color w:val="auto"/>
              </w:rPr>
            </w:pPr>
          </w:p>
        </w:tc>
      </w:tr>
      <w:tr>
        <w:trPr>
          <w:trHeight w:val="216"/>
        </w:trPr>
        <w:tc>
          <w:tcPr>
            <w:tcW w:w="656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85"/>
              </w:rPr>
              <w:t>Suite 610</w:t>
            </w:r>
          </w:p>
        </w:tc>
        <w:tc>
          <w:tcPr>
            <w:tcW w:w="1180" w:type="dxa"/>
            <w:vAlign w:val="bottom"/>
          </w:tcPr>
          <w:p>
            <w:pPr>
              <w:spacing w:after="0"/>
              <w:rPr>
                <w:sz w:val="18"/>
                <w:szCs w:val="18"/>
                <w:color w:val="auto"/>
              </w:rPr>
            </w:pPr>
          </w:p>
        </w:tc>
      </w:tr>
      <w:tr>
        <w:trPr>
          <w:trHeight w:val="231"/>
        </w:trPr>
        <w:tc>
          <w:tcPr>
            <w:tcW w:w="65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6"/>
              </w:rPr>
              <w:t>Franklin, Tennessee</w:t>
            </w:r>
          </w:p>
        </w:tc>
        <w:tc>
          <w:tcPr>
            <w:tcW w:w="1180" w:type="dxa"/>
            <w:vAlign w:val="bottom"/>
          </w:tcPr>
          <w:p>
            <w:pPr>
              <w:jc w:val="right"/>
              <w:ind w:right="244"/>
              <w:spacing w:after="0"/>
              <w:rPr>
                <w:sz w:val="20"/>
                <w:szCs w:val="20"/>
                <w:color w:val="auto"/>
              </w:rPr>
            </w:pPr>
            <w:r>
              <w:rPr>
                <w:rFonts w:ascii="Arial" w:cs="Arial" w:eastAsia="Arial" w:hAnsi="Arial"/>
                <w:sz w:val="18"/>
                <w:szCs w:val="18"/>
                <w:b w:val="1"/>
                <w:bCs w:val="1"/>
                <w:color w:val="auto"/>
              </w:rPr>
              <w:t>37067</w:t>
            </w:r>
          </w:p>
        </w:tc>
      </w:tr>
      <w:tr>
        <w:trPr>
          <w:trHeight w:val="174"/>
        </w:trPr>
        <w:tc>
          <w:tcPr>
            <w:tcW w:w="65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180" w:type="dxa"/>
            <w:vAlign w:val="bottom"/>
          </w:tcPr>
          <w:p>
            <w:pPr>
              <w:jc w:val="center"/>
              <w:ind w:left="44"/>
              <w:spacing w:after="0"/>
              <w:rPr>
                <w:sz w:val="20"/>
                <w:szCs w:val="20"/>
                <w:color w:val="auto"/>
              </w:rPr>
            </w:pPr>
            <w:r>
              <w:rPr>
                <w:rFonts w:ascii="Arial" w:cs="Arial" w:eastAsia="Arial" w:hAnsi="Arial"/>
                <w:sz w:val="14"/>
                <w:szCs w:val="14"/>
                <w:b w:val="1"/>
                <w:bCs w:val="1"/>
                <w:color w:val="auto"/>
                <w:w w:val="89"/>
              </w:rPr>
              <w:t>(Zip Code)</w:t>
            </w:r>
          </w:p>
        </w:tc>
      </w:tr>
      <w:tr>
        <w:trPr>
          <w:trHeight w:val="163"/>
        </w:trPr>
        <w:tc>
          <w:tcPr>
            <w:tcW w:w="304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6"/>
        </w:trPr>
        <w:tc>
          <w:tcPr>
            <w:tcW w:w="6560" w:type="dxa"/>
            <w:vAlign w:val="bottom"/>
            <w:gridSpan w:val="3"/>
          </w:tcPr>
          <w:p>
            <w:pPr>
              <w:jc w:val="center"/>
              <w:ind w:left="1818"/>
              <w:spacing w:after="0"/>
              <w:rPr>
                <w:sz w:val="20"/>
                <w:szCs w:val="20"/>
                <w:color w:val="auto"/>
              </w:rPr>
            </w:pPr>
            <w:r>
              <w:rPr>
                <w:rFonts w:ascii="Arial" w:cs="Arial" w:eastAsia="Arial" w:hAnsi="Arial"/>
                <w:sz w:val="18"/>
                <w:szCs w:val="18"/>
                <w:b w:val="1"/>
                <w:bCs w:val="1"/>
                <w:color w:val="auto"/>
                <w:w w:val="89"/>
              </w:rPr>
              <w:t>PHC, Inc. 2004 Non-Employee Director Stock Option Plan</w:t>
            </w:r>
          </w:p>
        </w:tc>
        <w:tc>
          <w:tcPr>
            <w:tcW w:w="1180" w:type="dxa"/>
            <w:vAlign w:val="bottom"/>
          </w:tcPr>
          <w:p>
            <w:pPr>
              <w:spacing w:after="0"/>
              <w:rPr>
                <w:sz w:val="24"/>
                <w:szCs w:val="24"/>
                <w:color w:val="auto"/>
              </w:rPr>
            </w:pPr>
          </w:p>
        </w:tc>
      </w:tr>
      <w:tr>
        <w:trPr>
          <w:trHeight w:val="216"/>
        </w:trPr>
        <w:tc>
          <w:tcPr>
            <w:tcW w:w="6560" w:type="dxa"/>
            <w:vAlign w:val="bottom"/>
            <w:gridSpan w:val="3"/>
          </w:tcPr>
          <w:p>
            <w:pPr>
              <w:jc w:val="center"/>
              <w:ind w:left="1818"/>
              <w:spacing w:after="0"/>
              <w:rPr>
                <w:sz w:val="20"/>
                <w:szCs w:val="20"/>
                <w:color w:val="auto"/>
              </w:rPr>
            </w:pPr>
            <w:r>
              <w:rPr>
                <w:rFonts w:ascii="Arial" w:cs="Arial" w:eastAsia="Arial" w:hAnsi="Arial"/>
                <w:sz w:val="18"/>
                <w:szCs w:val="18"/>
                <w:b w:val="1"/>
                <w:bCs w:val="1"/>
                <w:color w:val="auto"/>
                <w:w w:val="88"/>
              </w:rPr>
              <w:t>PHC, Inc. 2003 Stock Purchase and Option Plan</w:t>
            </w:r>
          </w:p>
        </w:tc>
        <w:tc>
          <w:tcPr>
            <w:tcW w:w="1180" w:type="dxa"/>
            <w:vAlign w:val="bottom"/>
          </w:tcPr>
          <w:p>
            <w:pPr>
              <w:spacing w:after="0"/>
              <w:rPr>
                <w:sz w:val="18"/>
                <w:szCs w:val="18"/>
                <w:color w:val="auto"/>
              </w:rPr>
            </w:pPr>
          </w:p>
        </w:tc>
      </w:tr>
      <w:tr>
        <w:trPr>
          <w:trHeight w:val="216"/>
        </w:trPr>
        <w:tc>
          <w:tcPr>
            <w:tcW w:w="6560" w:type="dxa"/>
            <w:vAlign w:val="bottom"/>
            <w:gridSpan w:val="3"/>
          </w:tcPr>
          <w:p>
            <w:pPr>
              <w:jc w:val="center"/>
              <w:ind w:left="1818"/>
              <w:spacing w:after="0"/>
              <w:rPr>
                <w:sz w:val="20"/>
                <w:szCs w:val="20"/>
                <w:color w:val="auto"/>
              </w:rPr>
            </w:pPr>
            <w:r>
              <w:rPr>
                <w:rFonts w:ascii="Arial" w:cs="Arial" w:eastAsia="Arial" w:hAnsi="Arial"/>
                <w:sz w:val="18"/>
                <w:szCs w:val="18"/>
                <w:b w:val="1"/>
                <w:bCs w:val="1"/>
                <w:color w:val="auto"/>
                <w:w w:val="88"/>
              </w:rPr>
              <w:t>PHC, Inc. 1995 Employee Stock Purchase Plan</w:t>
            </w:r>
          </w:p>
        </w:tc>
        <w:tc>
          <w:tcPr>
            <w:tcW w:w="1180" w:type="dxa"/>
            <w:vAlign w:val="bottom"/>
          </w:tcPr>
          <w:p>
            <w:pPr>
              <w:spacing w:after="0"/>
              <w:rPr>
                <w:sz w:val="18"/>
                <w:szCs w:val="18"/>
                <w:color w:val="auto"/>
              </w:rPr>
            </w:pPr>
          </w:p>
        </w:tc>
      </w:tr>
      <w:tr>
        <w:trPr>
          <w:trHeight w:val="218"/>
        </w:trPr>
        <w:tc>
          <w:tcPr>
            <w:tcW w:w="6560" w:type="dxa"/>
            <w:vAlign w:val="bottom"/>
            <w:gridSpan w:val="3"/>
          </w:tcPr>
          <w:p>
            <w:pPr>
              <w:jc w:val="center"/>
              <w:ind w:left="1818"/>
              <w:spacing w:after="0"/>
              <w:rPr>
                <w:sz w:val="20"/>
                <w:szCs w:val="20"/>
                <w:color w:val="auto"/>
              </w:rPr>
            </w:pPr>
            <w:r>
              <w:rPr>
                <w:rFonts w:ascii="Arial" w:cs="Arial" w:eastAsia="Arial" w:hAnsi="Arial"/>
                <w:sz w:val="18"/>
                <w:szCs w:val="18"/>
                <w:b w:val="1"/>
                <w:bCs w:val="1"/>
                <w:color w:val="auto"/>
                <w:w w:val="88"/>
              </w:rPr>
              <w:t>PHC, Inc. 1993 Stock Purchase and Option Plan</w:t>
            </w:r>
          </w:p>
        </w:tc>
        <w:tc>
          <w:tcPr>
            <w:tcW w:w="1180" w:type="dxa"/>
            <w:vAlign w:val="bottom"/>
          </w:tcPr>
          <w:p>
            <w:pPr>
              <w:spacing w:after="0"/>
              <w:rPr>
                <w:sz w:val="18"/>
                <w:szCs w:val="18"/>
                <w:color w:val="auto"/>
              </w:rPr>
            </w:pPr>
          </w:p>
        </w:tc>
      </w:tr>
      <w:tr>
        <w:trPr>
          <w:trHeight w:val="174"/>
        </w:trPr>
        <w:tc>
          <w:tcPr>
            <w:tcW w:w="3040" w:type="dxa"/>
            <w:vAlign w:val="bottom"/>
          </w:tcPr>
          <w:p>
            <w:pPr>
              <w:spacing w:after="0"/>
              <w:rPr>
                <w:sz w:val="15"/>
                <w:szCs w:val="15"/>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(Full title of the plan)</w:t>
            </w:r>
          </w:p>
        </w:tc>
        <w:tc>
          <w:tcPr>
            <w:tcW w:w="11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L. Howard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Acadia Healthcare Company,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830 Crescent Centre Drive,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Franklin, Tennessee 37067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(615) 861-6000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Carol Anne Huff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North LaSalle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720" w:type="dxa"/>
            <w:vAlign w:val="bottom"/>
            <w:gridSpan w:val="2"/>
          </w:tcPr>
          <w:p>
            <w:pPr>
              <w:spacing w:after="0"/>
              <w:rPr>
                <w:sz w:val="20"/>
                <w:szCs w:val="20"/>
                <w:color w:val="auto"/>
              </w:rPr>
            </w:pPr>
            <w:r>
              <w:rPr>
                <w:rFonts w:ascii="Arial" w:cs="Arial" w:eastAsia="Arial" w:hAnsi="Arial"/>
                <w:sz w:val="18"/>
                <w:szCs w:val="18"/>
                <w:color w:val="auto"/>
                <w:w w:val="95"/>
              </w:rPr>
              <w:t>Large accelerated filer</w:t>
            </w:r>
          </w:p>
        </w:tc>
        <w:tc>
          <w:tcPr>
            <w:tcW w:w="18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94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80" w:type="dxa"/>
            <w:vAlign w:val="bottom"/>
            <w:gridSpan w:val="5"/>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60" w:type="dxa"/>
            <w:vAlign w:val="bottom"/>
            <w:gridSpan w:val="5"/>
          </w:tcPr>
          <w:p>
            <w:pPr>
              <w:ind w:left="4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97"/>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340" w:type="dxa"/>
            <w:vAlign w:val="bottom"/>
          </w:tcPr>
          <w:p>
            <w:pPr>
              <w:spacing w:after="0"/>
              <w:rPr>
                <w:sz w:val="10"/>
                <w:szCs w:val="10"/>
                <w:color w:val="auto"/>
              </w:rPr>
            </w:pPr>
          </w:p>
        </w:tc>
        <w:tc>
          <w:tcPr>
            <w:tcW w:w="9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80" w:type="dxa"/>
            <w:vAlign w:val="bottom"/>
          </w:tcPr>
          <w:p>
            <w:pPr>
              <w:jc w:val="center"/>
              <w:ind w:right="202"/>
              <w:spacing w:after="0" w:line="148" w:lineRule="exact"/>
              <w:rPr>
                <w:sz w:val="20"/>
                <w:szCs w:val="20"/>
                <w:color w:val="auto"/>
              </w:rPr>
            </w:pPr>
            <w:r>
              <w:rPr>
                <w:rFonts w:ascii="Arial" w:cs="Arial" w:eastAsia="Arial" w:hAnsi="Arial"/>
                <w:sz w:val="14"/>
                <w:szCs w:val="14"/>
                <w:b w:val="1"/>
                <w:bCs w:val="1"/>
                <w:color w:val="auto"/>
                <w:w w:val="86"/>
              </w:rPr>
              <w:t>Title of securities to be</w:t>
            </w:r>
          </w:p>
        </w:tc>
        <w:tc>
          <w:tcPr>
            <w:tcW w:w="9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8"/>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7"/>
              <w:spacing w:after="0" w:line="148" w:lineRule="exact"/>
              <w:rPr>
                <w:sz w:val="20"/>
                <w:szCs w:val="20"/>
                <w:color w:val="auto"/>
              </w:rPr>
            </w:pPr>
            <w:r>
              <w:rPr>
                <w:rFonts w:ascii="Arial" w:cs="Arial" w:eastAsia="Arial" w:hAnsi="Arial"/>
                <w:sz w:val="14"/>
                <w:szCs w:val="14"/>
                <w:b w:val="1"/>
                <w:bCs w:val="1"/>
                <w:color w:val="auto"/>
                <w:w w:val="86"/>
              </w:rPr>
              <w:t>offering price per</w:t>
            </w:r>
          </w:p>
        </w:tc>
        <w:tc>
          <w:tcPr>
            <w:tcW w:w="1600" w:type="dxa"/>
            <w:vAlign w:val="bottom"/>
            <w:tcBorders>
              <w:right w:val="single" w:sz="8" w:color="auto"/>
            </w:tcBorders>
          </w:tcPr>
          <w:p>
            <w:pPr>
              <w:jc w:val="center"/>
              <w:ind w:left="9"/>
              <w:spacing w:after="0" w:line="148" w:lineRule="exact"/>
              <w:rPr>
                <w:sz w:val="20"/>
                <w:szCs w:val="20"/>
                <w:color w:val="auto"/>
              </w:rPr>
            </w:pPr>
            <w:r>
              <w:rPr>
                <w:rFonts w:ascii="Arial" w:cs="Arial" w:eastAsia="Arial" w:hAnsi="Arial"/>
                <w:sz w:val="14"/>
                <w:szCs w:val="14"/>
                <w:b w:val="1"/>
                <w:bCs w:val="1"/>
                <w:color w:val="auto"/>
                <w:w w:val="84"/>
              </w:rPr>
              <w:t>aggregate offering</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2"/>
              </w:rPr>
              <w:t>registered</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registered </w:t>
            </w:r>
            <w:r>
              <w:rPr>
                <w:rFonts w:ascii="Arial" w:cs="Arial" w:eastAsia="Arial" w:hAnsi="Arial"/>
                <w:sz w:val="20"/>
                <w:szCs w:val="20"/>
                <w:b w:val="1"/>
                <w:bCs w:val="1"/>
                <w:color w:val="auto"/>
                <w:w w:val="89"/>
                <w:vertAlign w:val="superscript"/>
              </w:rPr>
              <w:t>(1)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share</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price</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fee</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6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302,125</w:t>
            </w:r>
            <w:r>
              <w:rPr>
                <w:rFonts w:ascii="Arial" w:cs="Arial" w:eastAsia="Arial" w:hAnsi="Arial"/>
                <w:sz w:val="11"/>
                <w:szCs w:val="11"/>
                <w:color w:val="auto"/>
                <w:w w:val="89"/>
              </w:rPr>
              <w:t>(2)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1"/>
                <w:szCs w:val="11"/>
                <w:b w:val="1"/>
                <w:bCs w:val="1"/>
                <w:color w:val="auto"/>
                <w:w w:val="88"/>
              </w:rPr>
              <w:t>(3)</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1"/>
                <w:szCs w:val="11"/>
                <w:b w:val="1"/>
                <w:bCs w:val="1"/>
                <w:color w:val="auto"/>
                <w:w w:val="88"/>
              </w:rPr>
              <w:t>(3)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(3)</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40" w:hanging="452"/>
        <w:spacing w:after="0" w:line="28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shares of our outstanding common stock.</w:t>
      </w:r>
    </w:p>
    <w:p>
      <w:pPr>
        <w:spacing w:after="0" w:line="1" w:lineRule="exact"/>
        <w:rPr>
          <w:rFonts w:ascii="Arial" w:cs="Arial" w:eastAsia="Arial" w:hAnsi="Arial"/>
          <w:sz w:val="16"/>
          <w:szCs w:val="16"/>
          <w:color w:val="auto"/>
        </w:rPr>
      </w:pPr>
    </w:p>
    <w:p>
      <w:pPr>
        <w:ind w:left="460" w:right="20" w:hanging="452"/>
        <w:spacing w:after="0" w:line="300"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registers the issuance of common stock issuable pursuant to equity awards issued under the PHC, Inc. 2004 Non-Employee Director Stock Option Plan, the PHC, Inc. 2003 Stock Purchase and Option Plan, the PHC, Inc. 1995 Employee Stock Purchase Plan and the PHC, Inc. 1993 Stock Purchase and Option Plan, each as amended and assumed by the Registrant as a result of the consummation on November 1, 2011 of the transactions contemplated by the Agreement and Plan of Merger, dated as of May 23, 2011, among the Registrant, PHC, Inc. and Acadia Merger Sub, LLC.</w:t>
      </w:r>
    </w:p>
    <w:p>
      <w:pPr>
        <w:spacing w:after="0" w:line="1" w:lineRule="exact"/>
        <w:rPr>
          <w:rFonts w:ascii="Arial" w:cs="Arial" w:eastAsia="Arial" w:hAnsi="Arial"/>
          <w:sz w:val="15"/>
          <w:szCs w:val="15"/>
          <w:color w:val="auto"/>
        </w:rPr>
      </w:pPr>
    </w:p>
    <w:p>
      <w:pPr>
        <w:ind w:left="460" w:right="6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filing fees payable in connection with the registration of these securities were paid in connection with the filing of the registrant’s Registration Statement on Form S-4 (No. 333–175523), which registered a total of 5,297,022 shares of the registrant’s common stock, par value $0.01 per share, including the 302,125 shares being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Registrant hereby amends its Registration Statement on Form S-4 (No. 333-175523) by filing this Post–Effective Amendment No. 1 to Form S-4 on Form S-8 (the “Form S-8”) relating to the offer and sale of 302,125 shares of the Registrant’s common stock issuable upon the exercise of equity awards granted pursuant to certain equity compensation plans of PHC, Inc., which became a wholly-owned subsidiary of the Registrant on November 1, 2011. These securities were initially registered by the Registrant on the Registration Statement on Form S–4 (No. 333–175523), which became effective on September 27, 2011 (the “Form S-4”). The Form S-8 is being filed to convert 302,125 shares of the Registrant’s common stock covered by the Form S-4 to be covered by the Form S-8.</w:t>
      </w:r>
    </w:p>
    <w:p>
      <w:pPr>
        <w:spacing w:after="0" w:line="100" w:lineRule="exact"/>
        <w:rPr>
          <w:sz w:val="20"/>
          <w:szCs w:val="20"/>
          <w:color w:val="auto"/>
        </w:rPr>
      </w:pPr>
    </w:p>
    <w:p>
      <w:pPr>
        <w:ind w:right="560" w:firstLine="438"/>
        <w:spacing w:after="0" w:line="268" w:lineRule="auto"/>
        <w:rPr>
          <w:sz w:val="20"/>
          <w:szCs w:val="20"/>
          <w:color w:val="auto"/>
        </w:rPr>
      </w:pPr>
      <w:r>
        <w:rPr>
          <w:rFonts w:ascii="Arial" w:cs="Arial" w:eastAsia="Arial" w:hAnsi="Arial"/>
          <w:sz w:val="18"/>
          <w:szCs w:val="18"/>
          <w:color w:val="auto"/>
        </w:rPr>
        <w:t>All filing fees payable in connection with the registration of the shares of the Registrant’s common stock covered by the Form S-4 were paid by the Registrant at the time of the initial filing of the Form S-4.</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 INFORMATION REQUIRED IN THE SECTION 10(a) PROSPECTUS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18" w:lineRule="exact"/>
        <w:rPr>
          <w:sz w:val="20"/>
          <w:szCs w:val="20"/>
          <w:color w:val="auto"/>
        </w:rPr>
      </w:pPr>
    </w:p>
    <w:p>
      <w:pPr>
        <w:ind w:left="220" w:hanging="212"/>
        <w:spacing w:after="0" w:line="255"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documents containing the information specified in Part I will be delivered in accordance with Rule 428(b)(1) under the Securities Act. Such documents are not required to be, and are not,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the Form S-8, taken together, constitute a prospectus that meets the requirements of Section 10(a) of the Securities Act.</w:t>
      </w:r>
    </w:p>
    <w:p>
      <w:pPr>
        <w:sectPr>
          <w:pgSz w:w="11900" w:h="16838" w:orient="portrait"/>
          <w:cols w:equalWidth="0" w:num="1">
            <w:col w:w="11360"/>
          </w:cols>
          <w:pgMar w:left="240" w:top="274"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which have been filed by the Registrant with the Commission, are incorporated in this Registration Statement by reference:</w:t>
      </w:r>
    </w:p>
    <w:p>
      <w:pPr>
        <w:spacing w:after="0" w:line="113" w:lineRule="exact"/>
        <w:rPr>
          <w:sz w:val="20"/>
          <w:szCs w:val="20"/>
          <w:color w:val="auto"/>
        </w:rPr>
      </w:pPr>
    </w:p>
    <w:p>
      <w:pPr>
        <w:ind w:left="920" w:right="460" w:firstLine="421"/>
        <w:spacing w:after="0" w:line="332" w:lineRule="auto"/>
        <w:tabs>
          <w:tab w:leader="none" w:pos="157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Prospectus, dated September 29, 2011 and filed on September 29, 2011 pursuant to Rule 424(b) of the Securities Act, which relates to the Registrant’s Registration Statement on Form S-4 (Registration No. 333-175523) (the “Registration Statement”);</w:t>
      </w:r>
    </w:p>
    <w:p>
      <w:pPr>
        <w:spacing w:after="0" w:line="4" w:lineRule="exact"/>
        <w:rPr>
          <w:rFonts w:ascii="Arial" w:cs="Arial" w:eastAsia="Arial" w:hAnsi="Arial"/>
          <w:sz w:val="16"/>
          <w:szCs w:val="16"/>
          <w:color w:val="auto"/>
        </w:rPr>
      </w:pPr>
    </w:p>
    <w:p>
      <w:pPr>
        <w:ind w:left="920" w:right="340" w:firstLine="421"/>
        <w:spacing w:after="0" w:line="268" w:lineRule="auto"/>
        <w:tabs>
          <w:tab w:leader="none" w:pos="158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Prospectus, dated October 17, 2011 and filed on October 17, 2011 pursuant to Rule 424(b) of the Securities Act, which relates to the Registration Statement;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Current Report on Form 8-K dated October 26, 2011 and filed with the Commission on October 26, 2011; and</w:t>
      </w:r>
    </w:p>
    <w:p>
      <w:pPr>
        <w:spacing w:after="0" w:line="113" w:lineRule="exact"/>
        <w:rPr>
          <w:rFonts w:ascii="Arial" w:cs="Arial" w:eastAsia="Arial" w:hAnsi="Arial"/>
          <w:sz w:val="16"/>
          <w:szCs w:val="16"/>
          <w:color w:val="auto"/>
        </w:rPr>
      </w:pPr>
    </w:p>
    <w:p>
      <w:pPr>
        <w:ind w:left="920" w:right="180" w:firstLine="421"/>
        <w:spacing w:after="0" w:line="305" w:lineRule="auto"/>
        <w:tabs>
          <w:tab w:leader="none" w:pos="158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description of the Registrant’s shares of common stock, par value $0.01 per share, included under the caption “Description of Acadia Capital Stock” in the Prospectus forming a part of the Registrant’s Registration Statement on Form S-4, initially filed with the Commission on</w:t>
      </w:r>
    </w:p>
    <w:p>
      <w:pPr>
        <w:ind w:left="920"/>
        <w:spacing w:after="0" w:line="255" w:lineRule="auto"/>
        <w:rPr>
          <w:rFonts w:ascii="Arial" w:cs="Arial" w:eastAsia="Arial" w:hAnsi="Arial"/>
          <w:sz w:val="15"/>
          <w:szCs w:val="15"/>
          <w:color w:val="auto"/>
        </w:rPr>
      </w:pPr>
      <w:r>
        <w:rPr>
          <w:rFonts w:ascii="Arial" w:cs="Arial" w:eastAsia="Arial" w:hAnsi="Arial"/>
          <w:sz w:val="18"/>
          <w:szCs w:val="18"/>
          <w:color w:val="auto"/>
        </w:rPr>
        <w:t>July 13, 2011 (Registration Nos. 333-175523), including exhibits, and as amended, which description has been incorporated by reference in Item 1 of the Registrant’s Registration Statement on Form 8-A, filed pursuant to Section 12 of the Securities Exchange Act of 1934, as amended (the “Exchange Act”), on October 31, 2011 (Registration No. 001-35331).</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All reports and other documents subsequently filed by the Registrant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4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obtained an improper personal benefit. The Registrant’s amended and restated certificate of incorporation provides for this limitation of liability.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1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4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Registrant’s amended and restated bylaws provide that the Registrant must indemnify its directors and officers to the fullest extent authorized by the DGCL and must also pay expenses incurred in defending any such proceeding in advance of its final disposition; provided, that if and to the extent required by the DGCL, the advancement of expenses shall only be made upon delivery of an undertaking, by or on behalf of an indemnified person, to repay all amounts so advanced if it should be determined ultimately that such person is not entitled to be indemnified.</w:t>
      </w:r>
    </w:p>
    <w:p>
      <w:pPr>
        <w:spacing w:after="0" w:line="113"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The indemnification rights set forth above shall not be exclusive of any other right which an indemnified person may have or hereafter acquire under any statute, provision of the Registrant’s certificate of incorporation or bylaws, agreement, vote of stockholders or disinterested directors or otherwise.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Registrant expects to maintain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attached Exhibit Index, which is incorporated herein by reference.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The undersigned registrant hereby undertakes: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5" w:name="page6"/>
    <w:bookmarkEnd w:id="5"/>
    <w:p>
      <w:pPr>
        <w:ind w:left="1080" w:hanging="239"/>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file, during any period in which offers or sales are being made, a post-effective amendment to the Registration Statement:</w:t>
      </w:r>
    </w:p>
    <w:p>
      <w:pPr>
        <w:spacing w:after="0" w:line="113" w:lineRule="exact"/>
        <w:rPr>
          <w:rFonts w:ascii="Arial" w:cs="Arial" w:eastAsia="Arial" w:hAnsi="Arial"/>
          <w:sz w:val="16"/>
          <w:szCs w:val="16"/>
          <w:color w:val="auto"/>
        </w:rPr>
      </w:pPr>
    </w:p>
    <w:p>
      <w:pPr>
        <w:ind w:left="1620" w:hanging="21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020" w:right="20" w:firstLine="387"/>
        <w:spacing w:after="0" w:line="290" w:lineRule="auto"/>
        <w:tabs>
          <w:tab w:leader="none" w:pos="1657"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020" w:right="420" w:firstLine="387"/>
        <w:spacing w:after="0" w:line="268" w:lineRule="auto"/>
        <w:tabs>
          <w:tab w:leader="none" w:pos="1703"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59" w:lineRule="exact"/>
        <w:rPr>
          <w:sz w:val="20"/>
          <w:szCs w:val="20"/>
          <w:color w:val="auto"/>
        </w:rPr>
      </w:pPr>
    </w:p>
    <w:p>
      <w:pPr>
        <w:ind w:firstLine="841"/>
        <w:spacing w:after="0" w:line="259" w:lineRule="auto"/>
        <w:tabs>
          <w:tab w:leader="none" w:pos="108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right="200" w:firstLine="841"/>
        <w:spacing w:after="0" w:line="268" w:lineRule="auto"/>
        <w:tabs>
          <w:tab w:leader="none" w:pos="108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right="60" w:firstLine="421"/>
        <w:spacing w:after="0" w:line="255" w:lineRule="auto"/>
        <w:tabs>
          <w:tab w:leader="none" w:pos="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right="160" w:firstLine="421"/>
        <w:spacing w:after="0" w:line="289" w:lineRule="auto"/>
        <w:tabs>
          <w:tab w:leader="none" w:pos="65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rFonts w:ascii="Arial" w:cs="Arial" w:eastAsia="Arial" w:hAnsi="Arial"/>
          <w:sz w:val="16"/>
          <w:szCs w:val="16"/>
          <w:color w:val="auto"/>
        </w:rPr>
      </w:pPr>
    </w:p>
    <w:p>
      <w:pPr>
        <w:ind w:left="4760" w:hanging="112"/>
        <w:spacing w:after="0"/>
        <w:tabs>
          <w:tab w:leader="none" w:pos="4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480"/>
          </w:cols>
          <w:pgMar w:left="116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Franklin of Tennessee, on November 1,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ACADIA HEALTHCARE COMPANY,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Joey A. Jacobs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Joey A. Jacobs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 undersigned officers and directors of Acadia Healthcare Company, Inc., hereby severally constitute and appoint Christopher L. Howard and Reeve B. Waud,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any subsequent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Signature</w:t>
            </w:r>
          </w:p>
        </w:tc>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Title</w:t>
            </w:r>
          </w:p>
        </w:tc>
        <w:tc>
          <w:tcPr>
            <w:tcW w:w="332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Date</w:t>
            </w:r>
          </w:p>
        </w:tc>
        <w:tc>
          <w:tcPr>
            <w:tcW w:w="320" w:type="dxa"/>
            <w:vAlign w:val="bottom"/>
          </w:tcPr>
          <w:p>
            <w:pPr>
              <w:spacing w:after="0"/>
              <w:rPr>
                <w:sz w:val="14"/>
                <w:szCs w:val="14"/>
                <w:color w:val="auto"/>
              </w:rPr>
            </w:pPr>
          </w:p>
        </w:tc>
      </w:tr>
      <w:tr>
        <w:trPr>
          <w:trHeight w:val="424"/>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Joey A. Jacobs</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c>
          <w:tcPr>
            <w:tcW w:w="3900" w:type="dxa"/>
            <w:vAlign w:val="bottom"/>
            <w:gridSpan w:val="3"/>
          </w:tcPr>
          <w:p>
            <w:pPr>
              <w:ind w:left="2600"/>
              <w:spacing w:after="0"/>
              <w:rPr>
                <w:sz w:val="20"/>
                <w:szCs w:val="20"/>
                <w:color w:val="auto"/>
              </w:rPr>
            </w:pPr>
            <w:r>
              <w:rPr>
                <w:rFonts w:ascii="Arial" w:cs="Arial" w:eastAsia="Arial" w:hAnsi="Arial"/>
                <w:sz w:val="18"/>
                <w:szCs w:val="18"/>
                <w:color w:val="auto"/>
                <w:w w:val="86"/>
              </w:rPr>
              <w:t>November 1, 2011</w:t>
            </w:r>
          </w:p>
        </w:tc>
      </w:tr>
      <w:tr>
        <w:trPr>
          <w:trHeight w:val="218"/>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5"/>
              </w:rPr>
              <w:t>Joey A. Jacobs</w:t>
            </w:r>
          </w:p>
        </w:tc>
        <w:tc>
          <w:tcPr>
            <w:tcW w:w="28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7"/>
        </w:trPr>
        <w:tc>
          <w:tcPr>
            <w:tcW w:w="2400" w:type="dxa"/>
            <w:vAlign w:val="bottom"/>
            <w:tcBorders>
              <w:bottom w:val="single" w:sz="8" w:color="auto"/>
            </w:tcBorders>
            <w:gridSpan w:val="2"/>
          </w:tcPr>
          <w:p>
            <w:pPr>
              <w:jc w:val="center"/>
              <w:ind w:left="175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3900" w:type="dxa"/>
            <w:vAlign w:val="bottom"/>
            <w:gridSpan w:val="3"/>
          </w:tcPr>
          <w:p>
            <w:pPr>
              <w:ind w:left="2600"/>
              <w:spacing w:after="0"/>
              <w:rPr>
                <w:sz w:val="20"/>
                <w:szCs w:val="20"/>
                <w:color w:val="auto"/>
              </w:rPr>
            </w:pPr>
            <w:r>
              <w:rPr>
                <w:rFonts w:ascii="Arial" w:cs="Arial" w:eastAsia="Arial" w:hAnsi="Arial"/>
                <w:sz w:val="18"/>
                <w:szCs w:val="18"/>
                <w:color w:val="auto"/>
                <w:w w:val="86"/>
              </w:rPr>
              <w:t>November 1, 2011</w:t>
            </w:r>
          </w:p>
        </w:tc>
      </w:tr>
      <w:tr>
        <w:trPr>
          <w:trHeight w:val="218"/>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7"/>
              </w:rPr>
              <w:t>Jack E. Polson</w:t>
            </w:r>
          </w:p>
        </w:tc>
        <w:tc>
          <w:tcPr>
            <w:tcW w:w="28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(Principal financial officer)</w:t>
            </w: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7"/>
        </w:trPr>
        <w:tc>
          <w:tcPr>
            <w:tcW w:w="2400" w:type="dxa"/>
            <w:vAlign w:val="bottom"/>
            <w:tcBorders>
              <w:bottom w:val="single" w:sz="8" w:color="auto"/>
            </w:tcBorders>
            <w:gridSpan w:val="2"/>
          </w:tcPr>
          <w:p>
            <w:pPr>
              <w:jc w:val="center"/>
              <w:ind w:left="175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Controller</w:t>
            </w:r>
          </w:p>
        </w:tc>
        <w:tc>
          <w:tcPr>
            <w:tcW w:w="3900" w:type="dxa"/>
            <w:vAlign w:val="bottom"/>
            <w:gridSpan w:val="3"/>
          </w:tcPr>
          <w:p>
            <w:pPr>
              <w:ind w:left="2600"/>
              <w:spacing w:after="0"/>
              <w:rPr>
                <w:sz w:val="20"/>
                <w:szCs w:val="20"/>
                <w:color w:val="auto"/>
              </w:rPr>
            </w:pPr>
            <w:r>
              <w:rPr>
                <w:rFonts w:ascii="Arial" w:cs="Arial" w:eastAsia="Arial" w:hAnsi="Arial"/>
                <w:sz w:val="18"/>
                <w:szCs w:val="18"/>
                <w:color w:val="auto"/>
                <w:w w:val="86"/>
              </w:rPr>
              <w:t>November 1, 2011</w:t>
            </w:r>
          </w:p>
        </w:tc>
      </w:tr>
      <w:tr>
        <w:trPr>
          <w:trHeight w:val="218"/>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David Duckworth</w:t>
            </w:r>
          </w:p>
        </w:tc>
        <w:tc>
          <w:tcPr>
            <w:tcW w:w="28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(Principal accounting officer)</w:t>
            </w: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Bruce A. Shear</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900" w:type="dxa"/>
            <w:vAlign w:val="bottom"/>
            <w:gridSpan w:val="3"/>
          </w:tcPr>
          <w:p>
            <w:pPr>
              <w:ind w:left="2600"/>
              <w:spacing w:after="0"/>
              <w:rPr>
                <w:sz w:val="20"/>
                <w:szCs w:val="20"/>
                <w:color w:val="auto"/>
              </w:rPr>
            </w:pPr>
            <w:r>
              <w:rPr>
                <w:rFonts w:ascii="Arial" w:cs="Arial" w:eastAsia="Arial" w:hAnsi="Arial"/>
                <w:sz w:val="18"/>
                <w:szCs w:val="18"/>
                <w:color w:val="auto"/>
                <w:w w:val="86"/>
              </w:rPr>
              <w:t>November 1, 2011</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8"/>
              </w:rPr>
              <w:t>Bruce A. Shear</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70"/>
        </w:trPr>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0" w:type="dxa"/>
            <w:vAlign w:val="bottom"/>
          </w:tcPr>
          <w:p>
            <w:pPr>
              <w:ind w:left="1320"/>
              <w:spacing w:after="0"/>
              <w:rPr>
                <w:sz w:val="20"/>
                <w:szCs w:val="20"/>
                <w:color w:val="auto"/>
              </w:rPr>
            </w:pPr>
            <w:r>
              <w:rPr>
                <w:rFonts w:ascii="Arial" w:cs="Arial" w:eastAsia="Arial" w:hAnsi="Arial"/>
                <w:sz w:val="18"/>
                <w:szCs w:val="18"/>
                <w:color w:val="auto"/>
              </w:rPr>
              <w:t>- 5 -</w:t>
            </w: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Reeve B. Waud</w:t>
            </w:r>
          </w:p>
        </w:tc>
        <w:tc>
          <w:tcPr>
            <w:tcW w:w="3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340"/>
              <w:spacing w:after="0"/>
              <w:rPr>
                <w:sz w:val="20"/>
                <w:szCs w:val="20"/>
                <w:color w:val="auto"/>
              </w:rPr>
            </w:pPr>
            <w:r>
              <w:rPr>
                <w:rFonts w:ascii="Arial" w:cs="Arial" w:eastAsia="Arial" w:hAnsi="Arial"/>
                <w:sz w:val="18"/>
                <w:szCs w:val="18"/>
                <w:color w:val="auto"/>
                <w:w w:val="86"/>
              </w:rPr>
              <w:t>November 1, 2011</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5"/>
              </w:rPr>
              <w:t>Reeve B. Waud</w:t>
            </w: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340"/>
              <w:spacing w:after="0"/>
              <w:rPr>
                <w:sz w:val="20"/>
                <w:szCs w:val="20"/>
                <w:color w:val="auto"/>
              </w:rPr>
            </w:pPr>
            <w:r>
              <w:rPr>
                <w:rFonts w:ascii="Arial" w:cs="Arial" w:eastAsia="Arial" w:hAnsi="Arial"/>
                <w:sz w:val="18"/>
                <w:szCs w:val="18"/>
                <w:color w:val="auto"/>
                <w:w w:val="86"/>
              </w:rPr>
              <w:t>November 1, 2011</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Charles E. Edwards</w:t>
            </w: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340"/>
              <w:spacing w:after="0"/>
              <w:rPr>
                <w:sz w:val="20"/>
                <w:szCs w:val="20"/>
                <w:color w:val="auto"/>
              </w:rPr>
            </w:pPr>
            <w:r>
              <w:rPr>
                <w:rFonts w:ascii="Arial" w:cs="Arial" w:eastAsia="Arial" w:hAnsi="Arial"/>
                <w:sz w:val="18"/>
                <w:szCs w:val="18"/>
                <w:color w:val="auto"/>
                <w:w w:val="86"/>
              </w:rPr>
              <w:t>November 1, 2011</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Matthew A. London</w:t>
            </w: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340"/>
              <w:spacing w:after="0"/>
              <w:rPr>
                <w:sz w:val="20"/>
                <w:szCs w:val="20"/>
                <w:color w:val="auto"/>
              </w:rPr>
            </w:pPr>
            <w:r>
              <w:rPr>
                <w:rFonts w:ascii="Arial" w:cs="Arial" w:eastAsia="Arial" w:hAnsi="Arial"/>
                <w:sz w:val="18"/>
                <w:szCs w:val="18"/>
                <w:color w:val="auto"/>
                <w:w w:val="86"/>
              </w:rPr>
              <w:t>November 1, 2011</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Gary A. Mecklenburg</w:t>
            </w: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William F. Grieco</w:t>
            </w:r>
          </w:p>
        </w:tc>
        <w:tc>
          <w:tcPr>
            <w:tcW w:w="3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340"/>
              <w:spacing w:after="0"/>
              <w:rPr>
                <w:sz w:val="20"/>
                <w:szCs w:val="20"/>
                <w:color w:val="auto"/>
              </w:rPr>
            </w:pPr>
            <w:r>
              <w:rPr>
                <w:rFonts w:ascii="Arial" w:cs="Arial" w:eastAsia="Arial" w:hAnsi="Arial"/>
                <w:sz w:val="18"/>
                <w:szCs w:val="18"/>
                <w:color w:val="auto"/>
                <w:w w:val="86"/>
              </w:rPr>
              <w:t>November 1, 2011</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William F. Grieco</w:t>
            </w: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pacing w:after="0" w:line="201" w:lineRule="exact"/>
        <w:rPr>
          <w:sz w:val="20"/>
          <w:szCs w:val="20"/>
          <w:color w:val="auto"/>
        </w:rPr>
      </w:pPr>
    </w:p>
    <w:p>
      <w:pPr>
        <w:ind w:left="220" w:hanging="212"/>
        <w:spacing w:after="0" w:line="332"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by signing his name hereto, signs and executes this Post-Effective Amendment No. 1 to S-4 on Form S-8 pursuant to the Powers of Attorney executed by the above-named signatories and previously filed with the Securities and Exchange Commission on July 13,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Christopher L. Howard, </w:t>
      </w:r>
      <w:r>
        <w:rPr>
          <w:rFonts w:ascii="Arial" w:cs="Arial" w:eastAsia="Arial" w:hAnsi="Arial"/>
          <w:sz w:val="18"/>
          <w:szCs w:val="18"/>
          <w:i w:val="1"/>
          <w:iCs w:val="1"/>
          <w:color w:val="auto"/>
        </w:rPr>
        <w:t>Attorney-in-fact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Reeve B.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Reeve B. Waud, </w:t>
      </w:r>
      <w:r>
        <w:rPr>
          <w:rFonts w:ascii="Arial" w:cs="Arial" w:eastAsia="Arial" w:hAnsi="Arial"/>
          <w:sz w:val="18"/>
          <w:szCs w:val="18"/>
          <w:i w:val="1"/>
          <w:iCs w:val="1"/>
          <w:color w:val="auto"/>
        </w:rPr>
        <w:t>Attorney-in-fact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496"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3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09"/>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Amended and Restated Certificate of Incorporation of the Registrant (incorporated by reference to Exhibit 3.1 to the Registrant’s Registration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Statement on Form S-4 (Reg. No. 333-175523))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89"/>
              </w:rPr>
              <w:t>Amended and Restated Bylaws of the Registrant (incorporated by reference to Exhibit 3.2 to the Registrant’s Registration Statement on Form S-4</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(Reg. No. 333-175523))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89"/>
              </w:rPr>
              <w:t>PHC, Inc.’s 2004 Non-Employee Director Stock Option Plan (incorporated by reference to Exhibit 10.19 to the Registrant’s Registration Statement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on Form S-4 (Reg. No. 333-175523))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PHC, Inc.’s 2003 Stock Purchase and Option Plan, as amended December 2007 (incorporated by reference to Exhibit 10.21 to the Registrant’s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Registration Statement on Form S-4 (Reg. No. 333-175523))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PHC, Inc.’s 1995 Employee Stock Purchase Plan, as amended December 2002 (incorporated by reference to Exhibit 10.18 to the Registrant’s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Registration Statement on Form S-4 (Reg. No. 333-175523))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PHC, Inc.’s 1993 Stock Purchase and Option Plan, as amended December 2002 (incorporated by reference to Exhibit 10.16 to the Registrant’s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Registration Statement on Form S-4 (Reg. No. 333-175523))</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Opinion of Kirkland &amp; Ellis LLP with respect to the legality of the shares of common stock being registered hereby.</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Consent of Ernst &amp; Young, LLP, an independent registered public accounting firm, with respect to the audited financials of Acadia Healthcare</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Company, LLC</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Consent of Ernst &amp; Young, LLP, an independent registered public accounting firm, with respect to the audited financials of Youth &amp; Family</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Centered Services, Inc.</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Consent of BDO USA, LLP, an independent registered public accounting firm, with respect to the audited financials of PHC, Inc.</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Consent of Ernst &amp; Young, LLP, an independent registered public accounting firm, with respect to the audited financials of MeadowWood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Behavioral Health System</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23.5</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Consent of Kirkland &amp; Ellis LLP (included in Exhibit 5.1).</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89"/>
              </w:rPr>
              <w:t>Power of Attorney of certain officers and directors of the Registrant to file future amendments (set forth on the signature page of this Registration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Statement).</w:t>
            </w:r>
          </w:p>
        </w:tc>
      </w:tr>
      <w:tr>
        <w:trPr>
          <w:trHeight w:val="365"/>
        </w:trPr>
        <w:tc>
          <w:tcPr>
            <w:tcW w:w="520" w:type="dxa"/>
            <w:vAlign w:val="bottom"/>
          </w:tcPr>
          <w:p>
            <w:pPr>
              <w:spacing w:after="0"/>
              <w:rPr>
                <w:sz w:val="24"/>
                <w:szCs w:val="24"/>
                <w:color w:val="auto"/>
              </w:rPr>
            </w:pPr>
          </w:p>
        </w:tc>
        <w:tc>
          <w:tcPr>
            <w:tcW w:w="5380" w:type="dxa"/>
            <w:vAlign w:val="bottom"/>
          </w:tcPr>
          <w:p>
            <w:pPr>
              <w:ind w:left="5040"/>
              <w:spacing w:after="0"/>
              <w:rPr>
                <w:sz w:val="20"/>
                <w:szCs w:val="20"/>
                <w:color w:val="auto"/>
              </w:rPr>
            </w:pPr>
            <w:r>
              <w:rPr>
                <w:rFonts w:ascii="Arial" w:cs="Arial" w:eastAsia="Arial" w:hAnsi="Arial"/>
                <w:sz w:val="18"/>
                <w:szCs w:val="18"/>
                <w:color w:val="auto"/>
                <w:w w:val="99"/>
              </w:rPr>
              <w:t>- 7 -</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132715</wp:posOffset>
            </wp:positionV>
            <wp:extent cx="204089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40890" cy="2832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0"/>
        <w:spacing w:after="0"/>
        <w:rPr>
          <w:sz w:val="20"/>
          <w:szCs w:val="20"/>
          <w:color w:val="auto"/>
        </w:rPr>
      </w:pPr>
      <w:r>
        <w:rPr>
          <w:rFonts w:ascii="Arial" w:cs="Arial" w:eastAsia="Arial" w:hAnsi="Arial"/>
          <w:sz w:val="14"/>
          <w:szCs w:val="14"/>
          <w:color w:val="auto"/>
        </w:rPr>
        <w:t>Telephone:</w:t>
      </w:r>
    </w:p>
    <w:p>
      <w:pPr>
        <w:jc w:val="center"/>
        <w:ind w:right="3000"/>
        <w:spacing w:after="0"/>
        <w:rPr>
          <w:sz w:val="20"/>
          <w:szCs w:val="20"/>
          <w:color w:val="auto"/>
        </w:rPr>
      </w:pPr>
      <w:r>
        <w:rPr>
          <w:rFonts w:ascii="Arial" w:cs="Arial" w:eastAsia="Arial" w:hAnsi="Arial"/>
          <w:sz w:val="12"/>
          <w:szCs w:val="12"/>
          <w:color w:val="auto"/>
        </w:rPr>
        <w:t>(312) 862-2000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420"/>
        <w:spacing w:after="0"/>
        <w:rPr>
          <w:sz w:val="20"/>
          <w:szCs w:val="20"/>
          <w:color w:val="auto"/>
        </w:rPr>
      </w:pPr>
      <w:r>
        <w:rPr>
          <w:rFonts w:ascii="Arial" w:cs="Arial" w:eastAsia="Arial" w:hAnsi="Arial"/>
          <w:sz w:val="14"/>
          <w:szCs w:val="14"/>
          <w:color w:val="auto"/>
        </w:rPr>
        <w:t>300 N. LaSalle</w:t>
      </w:r>
    </w:p>
    <w:p>
      <w:pPr>
        <w:jc w:val="center"/>
        <w:ind w:right="3420"/>
        <w:spacing w:after="0"/>
        <w:rPr>
          <w:sz w:val="20"/>
          <w:szCs w:val="20"/>
          <w:color w:val="auto"/>
        </w:rPr>
      </w:pPr>
      <w:r>
        <w:rPr>
          <w:rFonts w:ascii="Arial" w:cs="Arial" w:eastAsia="Arial" w:hAnsi="Arial"/>
          <w:sz w:val="12"/>
          <w:szCs w:val="12"/>
          <w:color w:val="auto"/>
        </w:rPr>
        <w:t>Chicago, Illinois 60654</w:t>
      </w:r>
    </w:p>
    <w:p>
      <w:pPr>
        <w:spacing w:after="0" w:line="10" w:lineRule="exact"/>
        <w:rPr>
          <w:sz w:val="20"/>
          <w:szCs w:val="20"/>
          <w:color w:val="auto"/>
        </w:rPr>
      </w:pPr>
    </w:p>
    <w:p>
      <w:pPr>
        <w:jc w:val="center"/>
        <w:ind w:right="3420"/>
        <w:spacing w:after="0"/>
        <w:rPr>
          <w:sz w:val="20"/>
          <w:szCs w:val="20"/>
          <w:color w:val="auto"/>
        </w:rPr>
      </w:pPr>
      <w:r>
        <w:rPr>
          <w:rFonts w:ascii="Arial" w:cs="Arial" w:eastAsia="Arial" w:hAnsi="Arial"/>
          <w:sz w:val="14"/>
          <w:szCs w:val="14"/>
          <w:color w:val="auto"/>
        </w:rPr>
        <w:t>www.kirkland.com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Facsimile:</w:t>
      </w:r>
    </w:p>
    <w:p>
      <w:pPr>
        <w:jc w:val="center"/>
        <w:ind w:right="40"/>
        <w:spacing w:after="0"/>
        <w:rPr>
          <w:sz w:val="20"/>
          <w:szCs w:val="20"/>
          <w:color w:val="auto"/>
        </w:rPr>
      </w:pPr>
      <w:r>
        <w:rPr>
          <w:rFonts w:ascii="Arial" w:cs="Arial" w:eastAsia="Arial" w:hAnsi="Arial"/>
          <w:sz w:val="12"/>
          <w:szCs w:val="12"/>
          <w:color w:val="auto"/>
        </w:rPr>
        <w:t>(212) 862-2200</w:t>
      </w:r>
    </w:p>
    <w:p>
      <w:pPr>
        <w:spacing w:after="0" w:line="370" w:lineRule="exact"/>
        <w:rPr>
          <w:sz w:val="20"/>
          <w:szCs w:val="20"/>
          <w:color w:val="auto"/>
        </w:rPr>
      </w:pPr>
    </w:p>
    <w:p>
      <w:pPr>
        <w:sectPr>
          <w:pgSz w:w="11900" w:h="16838" w:orient="portrait"/>
          <w:cols w:equalWidth="0" w:num="3">
            <w:col w:w="4400" w:space="720"/>
            <w:col w:w="4700" w:space="720"/>
            <w:col w:w="880"/>
          </w:cols>
          <w:pgMar w:left="240" w:top="125" w:right="239"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 2011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Acadia Healthcare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830 Crescent Centre Drive,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Tennessee 37067</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Post-Effective Amendment No. 1 to Form S-4 on Form S-8 Registration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We are providing this letter in our capacity as special counsel to Acadia Healthcare Company,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filing by the Company of a Post-Effective Amendment to Form S-4 on Form S-8 Registration Statement (the “</w:t>
      </w:r>
      <w:r>
        <w:rPr>
          <w:rFonts w:ascii="Arial" w:cs="Arial" w:eastAsia="Arial" w:hAnsi="Arial"/>
          <w:sz w:val="16"/>
          <w:szCs w:val="16"/>
          <w:u w:val="single" w:color="auto"/>
          <w:color w:val="auto"/>
        </w:rPr>
        <w:t>Amendment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covering up to 302,125 shares of common stock of the Company, par value $0.01 per share (the “</w:t>
      </w:r>
      <w:r>
        <w:rPr>
          <w:rFonts w:ascii="Arial" w:cs="Arial" w:eastAsia="Arial" w:hAnsi="Arial"/>
          <w:sz w:val="16"/>
          <w:szCs w:val="16"/>
          <w:u w:val="single" w:color="auto"/>
          <w:color w:val="auto"/>
        </w:rPr>
        <w:t>Assumed Option Shares</w:t>
      </w:r>
      <w:r>
        <w:rPr>
          <w:rFonts w:ascii="Arial" w:cs="Arial" w:eastAsia="Arial" w:hAnsi="Arial"/>
          <w:sz w:val="16"/>
          <w:szCs w:val="16"/>
          <w:color w:val="auto"/>
        </w:rPr>
        <w:t>”). The Assumed Option Shares give effect to the consummation of the transactions contemplated under the Agreement and Plan of Merger, dated as of May 23, 2011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PHC, Inc. (“</w:t>
      </w:r>
      <w:r>
        <w:rPr>
          <w:rFonts w:ascii="Arial" w:cs="Arial" w:eastAsia="Arial" w:hAnsi="Arial"/>
          <w:sz w:val="16"/>
          <w:szCs w:val="16"/>
          <w:u w:val="single" w:color="auto"/>
          <w:color w:val="auto"/>
        </w:rPr>
        <w:t>PHC</w:t>
      </w:r>
      <w:r>
        <w:rPr>
          <w:rFonts w:ascii="Arial" w:cs="Arial" w:eastAsia="Arial" w:hAnsi="Arial"/>
          <w:sz w:val="16"/>
          <w:szCs w:val="16"/>
          <w:color w:val="auto"/>
        </w:rPr>
        <w:t>”) and Acadia Merger Sub, LLC (“</w:t>
      </w:r>
      <w:r>
        <w:rPr>
          <w:rFonts w:ascii="Arial" w:cs="Arial" w:eastAsia="Arial" w:hAnsi="Arial"/>
          <w:sz w:val="16"/>
          <w:szCs w:val="16"/>
          <w:u w:val="single" w:color="auto"/>
          <w:color w:val="auto"/>
        </w:rPr>
        <w:t>Merger Sub</w:t>
      </w:r>
      <w:r>
        <w:rPr>
          <w:rFonts w:ascii="Arial" w:cs="Arial" w:eastAsia="Arial" w:hAnsi="Arial"/>
          <w:sz w:val="16"/>
          <w:szCs w:val="16"/>
          <w:color w:val="auto"/>
        </w:rPr>
        <w:t>”), including the merger of PHC with and into Merger Sub (the “</w:t>
      </w:r>
      <w:r>
        <w:rPr>
          <w:rFonts w:ascii="Arial" w:cs="Arial" w:eastAsia="Arial" w:hAnsi="Arial"/>
          <w:sz w:val="16"/>
          <w:szCs w:val="16"/>
          <w:u w:val="single" w:color="auto"/>
          <w:color w:val="auto"/>
        </w:rPr>
        <w:t>Merger</w:t>
      </w:r>
      <w:r>
        <w:rPr>
          <w:rFonts w:ascii="Arial" w:cs="Arial" w:eastAsia="Arial" w:hAnsi="Arial"/>
          <w:sz w:val="16"/>
          <w:szCs w:val="16"/>
          <w:color w:val="auto"/>
        </w:rPr>
        <w:t>”) and the Company’s assumption of 1,208,500 issued and outstanding stock options of PHC (the “</w:t>
      </w:r>
      <w:r>
        <w:rPr>
          <w:rFonts w:ascii="Arial" w:cs="Arial" w:eastAsia="Arial" w:hAnsi="Arial"/>
          <w:sz w:val="16"/>
          <w:szCs w:val="16"/>
          <w:u w:val="single" w:color="auto"/>
          <w:color w:val="auto"/>
        </w:rPr>
        <w:t>Assumed PHC Options</w:t>
      </w:r>
      <w:r>
        <w:rPr>
          <w:rFonts w:ascii="Arial" w:cs="Arial" w:eastAsia="Arial" w:hAnsi="Arial"/>
          <w:sz w:val="16"/>
          <w:szCs w:val="16"/>
          <w:color w:val="auto"/>
        </w:rPr>
        <w:t>”) and the conversion of the Assumed PHC Options into 302,125 issued and outstanding stock options in accordance with Section 2.05(b) of the Merger Agreement (the “</w:t>
      </w:r>
      <w:r>
        <w:rPr>
          <w:rFonts w:ascii="Arial" w:cs="Arial" w:eastAsia="Arial" w:hAnsi="Arial"/>
          <w:sz w:val="16"/>
          <w:szCs w:val="16"/>
          <w:u w:val="single" w:color="auto"/>
          <w:color w:val="auto"/>
        </w:rPr>
        <w:t>Assumed Options</w:t>
      </w:r>
      <w:r>
        <w:rPr>
          <w:rFonts w:ascii="Arial" w:cs="Arial" w:eastAsia="Arial" w:hAnsi="Arial"/>
          <w:sz w:val="16"/>
          <w:szCs w:val="16"/>
          <w:color w:val="auto"/>
        </w:rPr>
        <w:t>”). The Assumed Option Shares consist of</w:t>
      </w:r>
    </w:p>
    <w:p>
      <w:pPr>
        <w:spacing w:after="0" w:line="6" w:lineRule="exact"/>
        <w:rPr>
          <w:sz w:val="20"/>
          <w:szCs w:val="20"/>
          <w:color w:val="auto"/>
        </w:rPr>
      </w:pPr>
    </w:p>
    <w:p>
      <w:pPr>
        <w:ind w:right="20" w:firstLine="8"/>
        <w:spacing w:after="0" w:line="290" w:lineRule="auto"/>
        <w:tabs>
          <w:tab w:leader="none" w:pos="210" w:val="left"/>
        </w:tabs>
        <w:numPr>
          <w:ilvl w:val="0"/>
          <w:numId w:val="8"/>
        </w:numPr>
        <w:rPr>
          <w:rFonts w:ascii="Arial" w:cs="Arial" w:eastAsia="Arial" w:hAnsi="Arial"/>
          <w:sz w:val="16"/>
          <w:szCs w:val="16"/>
          <w:color w:val="auto"/>
        </w:rPr>
      </w:pPr>
      <w:r>
        <w:rPr>
          <w:rFonts w:ascii="Arial" w:cs="Arial" w:eastAsia="Arial" w:hAnsi="Arial"/>
          <w:sz w:val="16"/>
          <w:szCs w:val="16"/>
          <w:color w:val="auto"/>
        </w:rPr>
        <w:t>102,500 shares subject to outstanding stock option grants under the PHC, Inc. 2004 Non-Employee Director Stock Option Plan (as amended, the “</w:t>
      </w:r>
      <w:r>
        <w:rPr>
          <w:rFonts w:ascii="Arial" w:cs="Arial" w:eastAsia="Arial" w:hAnsi="Arial"/>
          <w:sz w:val="16"/>
          <w:szCs w:val="16"/>
          <w:u w:val="single" w:color="auto"/>
          <w:color w:val="auto"/>
        </w:rPr>
        <w:t>PHC 2004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(ii) 185,250 shares subject to outstanding stock option grants under the PHC, Inc. 2003 Stock Purchase and Option Plan (as amended, the “</w:t>
      </w:r>
      <w:r>
        <w:rPr>
          <w:rFonts w:ascii="Arial" w:cs="Arial" w:eastAsia="Arial" w:hAnsi="Arial"/>
          <w:sz w:val="16"/>
          <w:szCs w:val="16"/>
          <w:u w:val="single" w:color="auto"/>
          <w:color w:val="auto"/>
        </w:rPr>
        <w:t>PHC 2003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(iii) 7,500 shares subject to outstanding stock option grants under the PHC, Inc. 1995 Employee Stock Purchase Plan (as amended, the “</w:t>
      </w:r>
      <w:r>
        <w:rPr>
          <w:rFonts w:ascii="Arial" w:cs="Arial" w:eastAsia="Arial" w:hAnsi="Arial"/>
          <w:sz w:val="16"/>
          <w:szCs w:val="16"/>
          <w:u w:val="single" w:color="auto"/>
          <w:color w:val="auto"/>
        </w:rPr>
        <w:t>PHC 1995 Plan</w:t>
      </w:r>
      <w:r>
        <w:rPr>
          <w:rFonts w:ascii="Arial" w:cs="Arial" w:eastAsia="Arial" w:hAnsi="Arial"/>
          <w:sz w:val="16"/>
          <w:szCs w:val="16"/>
          <w:color w:val="auto"/>
        </w:rPr>
        <w:t>”); and (iv) 6,875 shares subject to outstanding stock option grants under the PHC, Inc. 1993 Stock Purchase and Option Plan (as amended, the “</w:t>
      </w:r>
      <w:r>
        <w:rPr>
          <w:rFonts w:ascii="Arial" w:cs="Arial" w:eastAsia="Arial" w:hAnsi="Arial"/>
          <w:sz w:val="16"/>
          <w:szCs w:val="16"/>
          <w:u w:val="single" w:color="auto"/>
          <w:color w:val="auto"/>
        </w:rPr>
        <w:t>PHC 1993 Plan</w:t>
      </w:r>
      <w:r>
        <w:rPr>
          <w:rFonts w:ascii="Arial" w:cs="Arial" w:eastAsia="Arial" w:hAnsi="Arial"/>
          <w:sz w:val="16"/>
          <w:szCs w:val="16"/>
          <w:color w:val="auto"/>
        </w:rPr>
        <w:t>” and collectively with the PHC 2004 Plan, the PHC 2003 Plan, and the PHC 1995 Plan, the “</w:t>
      </w:r>
      <w:r>
        <w:rPr>
          <w:rFonts w:ascii="Arial" w:cs="Arial" w:eastAsia="Arial" w:hAnsi="Arial"/>
          <w:sz w:val="16"/>
          <w:szCs w:val="16"/>
          <w:u w:val="single" w:color="auto"/>
          <w:color w:val="auto"/>
        </w:rPr>
        <w:t>Assumed Plans</w:t>
      </w:r>
      <w:r>
        <w:rPr>
          <w:rFonts w:ascii="Arial" w:cs="Arial" w:eastAsia="Arial" w:hAnsi="Arial"/>
          <w:sz w:val="16"/>
          <w:szCs w:val="16"/>
          <w:color w:val="auto"/>
        </w:rPr>
        <w:t>”). For purposes of this letter, we have examined such documents, records, certificates, resolutions and other instruments deemed necessary as a basis for this opinion.</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Based upon and subject to the assumptions and limitations stated in this letter, we advise you that the Assumed Option Shares are duly authorized and, when (i) the Amendment becomes</w:t>
      </w:r>
    </w:p>
    <w:p>
      <w:pPr>
        <w:spacing w:after="0" w:line="319" w:lineRule="exact"/>
        <w:rPr>
          <w:sz w:val="20"/>
          <w:szCs w:val="20"/>
          <w:color w:val="auto"/>
        </w:rPr>
      </w:pPr>
    </w:p>
    <w:p>
      <w:pPr>
        <w:spacing w:after="0"/>
        <w:tabs>
          <w:tab w:leader="none" w:pos="1700" w:val="left"/>
          <w:tab w:leader="none" w:pos="2980" w:val="left"/>
          <w:tab w:leader="none" w:pos="4220" w:val="left"/>
          <w:tab w:leader="none" w:pos="5460" w:val="left"/>
          <w:tab w:leader="none" w:pos="6700" w:val="left"/>
          <w:tab w:leader="none" w:pos="7940" w:val="left"/>
          <w:tab w:leader="none" w:pos="9180" w:val="left"/>
          <w:tab w:leader="none" w:pos="10420" w:val="left"/>
        </w:tabs>
        <w:rPr>
          <w:sz w:val="20"/>
          <w:szCs w:val="20"/>
          <w:color w:val="auto"/>
        </w:rPr>
      </w:pP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Hong Kong</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Munich</w:t>
      </w:r>
      <w:r>
        <w:rPr>
          <w:sz w:val="20"/>
          <w:szCs w:val="20"/>
          <w:color w:val="auto"/>
        </w:rPr>
        <w:tab/>
      </w:r>
      <w:r>
        <w:rPr>
          <w:rFonts w:ascii="Arial" w:cs="Arial" w:eastAsia="Arial" w:hAnsi="Arial"/>
          <w:sz w:val="14"/>
          <w:szCs w:val="14"/>
          <w:color w:val="auto"/>
        </w:rPr>
        <w:t>Palo Alto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4"/>
          <w:szCs w:val="14"/>
          <w:color w:val="auto"/>
        </w:rPr>
        <w:t>Shanghai</w:t>
      </w:r>
      <w:r>
        <w:rPr>
          <w:sz w:val="20"/>
          <w:szCs w:val="20"/>
          <w:color w:val="auto"/>
        </w:rPr>
        <w:tab/>
      </w:r>
      <w:r>
        <w:rPr>
          <w:rFonts w:ascii="Arial" w:cs="Arial" w:eastAsia="Arial" w:hAnsi="Arial"/>
          <w:sz w:val="12"/>
          <w:szCs w:val="12"/>
          <w:color w:val="auto"/>
        </w:rPr>
        <w:t>Washington, D.C.</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Acadia Healthcare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effective under the Act and (ii) the Assumed Option Shares have been duly issued in accordance with the terms of the applicable Assumed Plan and the Company’s Amended and Restated Certificate of Incorporation as certified by the Secretary of State of the State of Delaware on October 28, 2011 (the “</w:t>
      </w:r>
      <w:r>
        <w:rPr>
          <w:rFonts w:ascii="Arial" w:cs="Arial" w:eastAsia="Arial" w:hAnsi="Arial"/>
          <w:sz w:val="16"/>
          <w:szCs w:val="16"/>
          <w:u w:val="single" w:color="auto"/>
          <w:color w:val="auto"/>
        </w:rPr>
        <w:t>Amended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Charter</w:t>
      </w:r>
      <w:r>
        <w:rPr>
          <w:rFonts w:ascii="Arial" w:cs="Arial" w:eastAsia="Arial" w:hAnsi="Arial"/>
          <w:sz w:val="16"/>
          <w:szCs w:val="16"/>
          <w:color w:val="auto"/>
        </w:rPr>
        <w:t>”), and the Company’s Amended and Restated By-Laws, the Assumed Option Shares will be validly issued, fully paid and non-assessable.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opinion expressed above is subject to the qualification that we express no opinion as to the applicability of, compliance with, or effect of any laws except the General Corporation Law of the State of Delaware.</w:t>
      </w:r>
    </w:p>
    <w:p>
      <w:pPr>
        <w:spacing w:after="0" w:line="13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relied without independent investigation upon, among other things, an assurance from the Company that the number of shares which the Company is authorized to issue in the Amended Charter exceeds the number of shares outstanding and the number of shares which the Company is obligated to issue (or had otherwise reserved for issuance) for any purposes other than issuances in connection with the Assumed Plans by at least the number of Assumed Option Shares which may be issued upon the exercise of the Assumed Options, in accordance with the Assumed Plans, and we have assumed that such condition will remain true at all future times relevant to this opinion. We have assumed that the Company will cause certificates, if any, representing the Assumed Option Shares issued in the future to be properly executed and delivered and will take all other actions appropriate for the issuances of such Assumed Option Shares. Our opinion assumes that the Amendment will become effective under the Act before any Assumed Option Shares covered by the Amendment are issued.</w:t>
      </w:r>
    </w:p>
    <w:p>
      <w:pPr>
        <w:spacing w:after="0" w:line="10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hereby consent to the filing of this opinion with the Commission as Exhibit 5.1 to the Amendment. In giving this consent, we do not thereby admit that we are in the category of persons whose consent is required under Section 7 of the Act or the rules and regulations of the Commission.</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do not find it necessary for the purposes of this opinion, and accordingly we do not purport to cover herein, the application of the securities or “Blue Sky” laws of the various states to the issuance of the Assumed Option Shares.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We assume no obligation to revise or supplement this opinion should the present laws of the State of Delaware be changed by legislative action, judicial decision or otherwise.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opinion is furnished to you in connection with the filing of the Amendment and is not to be used, circulated, quoted or otherwise relied upon for any other purpose.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Kirkland &amp; Ellis LLP</w:t>
      </w:r>
    </w:p>
    <w:p>
      <w:pPr>
        <w:sectPr>
          <w:pgSz w:w="11900" w:h="16838" w:orient="portrait"/>
          <w:cols w:equalWidth="0" w:num="1">
            <w:col w:w="11420"/>
          </w:cols>
          <w:pgMar w:left="240" w:top="42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under the caption “Experts” and to the use of our report dated July 12, 2011, in the Registration Statement (Form S-4</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333-175523) and related Prospectus of Acadia Healthcare Company, Inc. for the registration of 5,297,022 shares of its common stock and to the incorporation by reference of our report dated July 12, 2011, with respect to the consolidated financial statements of Acadia Healthcare Company, LLC in Post-Effective Amendment No. 1 to Form S-4 on Form S-8 relating to the offer and sale of certain shares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7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March 31, 2011, with respect to the consolidated financial statements of Youth and Family Centered Services, Inc. and Subsidiaries included in the Registration Statement (Form S-4 No. 333-175523) and related Prospectus of Acadia Healthcare Company, Inc. for the registration of 5,297,022 shares of its common stock and to the incorporation by reference of our report dated March 31, 2011, with respect to the consolidated financial statements of Youth and Family Centered Services, Inc. and Subsidiaries in Post-Effective Amendment No. 1 to Form S-4 on Form S-8 relating to the offer and sale of certain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p>
      <w:pPr>
        <w:sectPr>
          <w:pgSz w:w="11900" w:h="16838" w:orient="portrait"/>
          <w:cols w:equalWidth="0" w:num="1">
            <w:col w:w="11420"/>
          </w:cols>
          <w:pgMar w:left="240" w:top="12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August 18, 2011, in the Registration Statement (Form S-4 No. 333-175523) and related Prospectus of Acadia Healthcare Company, Inc. for the registration of 5,297,022 shares of its common stock and to the incorporation by reference of our report dated August 18, 2011, with respect to the consolidated financial statements of Acadia Healthcare Company, LLC in the Post-Effective Amendment No. 1 to Form S-4 on Form S-8 relating to the offer and sale of certain shares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ectPr>
          <w:pgSz w:w="11900" w:h="16838" w:orient="portrait"/>
          <w:cols w:equalWidth="0" w:num="1">
            <w:col w:w="11420"/>
          </w:cols>
          <w:pgMar w:left="240" w:top="12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June 24, 2011, except for Note 8 as to which the date is August 18, 2011, with respect to the consolidated financial statements of HHC Delaware, Inc. and Subsidiary included in the Registration Statement (Form S-4 No. 333-175523) and related Prospectus of Acadia Healthcare Company, Inc. for the registration of 5,297,022 shares of its common stock and to the incorporation by reference of our report dated June 24, 2011, except for Note 8 as to which the date is August 18, 2011, with respect to the consolidated financial statements of HHC Delaware, Inc. and Subsidiary incorporated by reference in Post-Effective Amendment No. 1 to Form S-4 on Form S-8 relating to the offer and sale of certain shares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5">
    <w:nsid w:val="41B71EF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2019-12-11T10:02:45Z</dcterms:created>
  <dcterms:modified xsi:type="dcterms:W3CDTF">2019-12-11T10:02:45Z</dcterms:modified>
</cp:coreProperties>
</file>