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Acadia Healthcare Company,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Khrom Investments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5,194,625.00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5,194,625.00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5,194,625.00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Khrom Capital Management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5,194,625.00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5,194,625.00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5,194,625.00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Eric Khrom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5,194,625.00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5,194,625.00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5,201,533.00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Acadia Healthcare Company,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6100 TOWER CIRCLE, SUITE 1000, FRANKLIN, TN, US, 37067</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on behalf of each of the following persons (collectively, the "Reporting Persons"): (i) Khrom Investments Fund, LP ("Khrom Investments"); (ii) Khrom Capital Management LLC ("Khrom Capital"); and (iii) Mr. Eric Khrom.</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Khrom Capital Management LLC, 1691 Michigan Ave, Suite 240, Miami, FL 33139.</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Khrom Investments is a Delaware limited partnership. Khrom Capital is a New York limited liability company. Mr. Khrom is a resident of Florida.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March 31, 2026, the Reporting Persons may be deemed to beneficially own in the aggregate 5,201,533 Shares.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March 31, 2026, the Reporting Persons may be deemed to beneficially own in the aggregate 5,201,533 Shares, representing approximately 5.66% of the Issuer's outstanding Shares (based on 91,967,027 outstanding Shares as of April 28, 2026, as set forth in the Issuer's Annual Report on Form 10-Q filed with the SEC on April 30, 2026).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set forth on the cover pages hereto and Item 4(a) is hereby incorporated in its entirety herein. Khrom Investments is the direct beneficial owner of 5,194,625 Shares and Mr. Khrom is the direct beneficial owner of 6,928 Shares. The Shares reported as beneficially owned by Khrom Capital reflect the Shares that are directly beneficially owned by its affiliate, Khrom Investments, as Khrom Capital has the power to vote or direct the vote of (and the power to dispose or direct the disposition of) such Shares. Mr. Khrom is the sole member of Khrom Capital GP, LLC, which is the general partner of Khrom Investments. Mr. Khrom in his capacity as the managing member of Khrom Capital and as the sole member of Khrom Capital GP, LLC may be deemed to share the power to vote or direct the vote of (and the shared power to dispose or direct the disposition of) the Shares directly beneficially owned by Khrom Investments and, accordingly, Mr. Khrom may be deemed to be the beneficial owner of such Shares. Mr. Khrom disclaims beneficial ownership of the Shares directly held by Khrom Investments except to the extent of any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set forth on the cover pages hereto and Item 4(a) is hereby incorporated in its entirety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set forth on the cover pages hereto and Item 4(a) is hereby incorporated in its entirety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set forth on the cover pages hereto and Item 4(a) is hereby incorporated in its entirety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 other person is known to the Reporting Persons to have the right to receive or the power to direct the receipt of dividends from, or the proceeds from the sale of, the Shares covered by this Schedule 13G, except that dividends from, and proceeds from the sale of, the Shares held by the accounts managed by Khrom Capital, including the Shares that are directly beneficially owned by Khrom Investments, may be delivered to such accounts.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Khrom Investments Fund, LP</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Eduard Skutelsky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Eduard Skutelsky | Chief Operating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Khrom Capital Management LLC</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Eduard Skutelsky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Eduard Skutelsky | Chief Operating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2810" w:type="dxa"/>
        <w:jc w:val="left"/>
        <w:tblInd w:w="0" w:type="dxa"/>
        <w:tblLayout w:type="fixed"/>
        <w:tblCellMar>
          <w:top w:w="28" w:type="dxa"/>
          <w:left w:w="28" w:type="dxa"/>
          <w:bottom w:w="28" w:type="dxa"/>
          <w:right w:w="28" w:type="dxa"/>
        </w:tblCellMar>
      </w:tblPr>
      <w:tblGrid>
        <w:gridCol w:w="1405"/>
        <w:gridCol w:w="1405"/>
      </w:tblGrid>
      <w:tr>
        <w:trPr/>
        <w:tc>
          <w:tcPr>
            <w:tcW w:w="1405" w:type="dxa"/>
            <w:tcBorders/>
            <w:vAlign w:val="center"/>
          </w:tcPr>
          <w:p>
            <w:pPr>
              <w:pStyle w:val="TableContents"/>
              <w:bidi w:val="0"/>
              <w:spacing w:before="0" w:after="0"/>
              <w:jc w:val="left"/>
              <w:rPr/>
            </w:pPr>
            <w:r>
              <w:rPr/>
              <w:t> </w:t>
            </w:r>
          </w:p>
          <w:tbl>
            <w:tblPr>
              <w:tblW w:w="1291" w:type="dxa"/>
              <w:jc w:val="left"/>
              <w:tblInd w:w="0" w:type="dxa"/>
              <w:tblLayout w:type="fixed"/>
              <w:tblCellMar>
                <w:top w:w="28" w:type="dxa"/>
                <w:left w:w="28" w:type="dxa"/>
                <w:bottom w:w="28" w:type="dxa"/>
                <w:right w:w="28" w:type="dxa"/>
              </w:tblCellMar>
            </w:tblPr>
            <w:tblGrid>
              <w:gridCol w:w="1291"/>
            </w:tblGrid>
            <w:tr>
              <w:trPr/>
              <w:tc>
                <w:tcPr>
                  <w:tcW w:w="1291" w:type="dxa"/>
                  <w:tcBorders/>
                  <w:vAlign w:val="center"/>
                </w:tcPr>
                <w:p>
                  <w:pPr>
                    <w:pStyle w:val="TableContents"/>
                    <w:bidi w:val="0"/>
                    <w:spacing w:before="0" w:after="0"/>
                    <w:jc w:val="left"/>
                    <w:rPr/>
                  </w:pPr>
                  <w:r>
                    <w:rPr/>
                    <w:t>Eric Khrom</w:t>
                  </w:r>
                </w:p>
              </w:tc>
            </w:tr>
          </w:tbl>
          <w:p>
            <w:pPr>
              <w:pStyle w:val="TableContents"/>
              <w:bidi w:val="0"/>
              <w:spacing w:before="0" w:after="283"/>
              <w:jc w:val="left"/>
              <w:rPr/>
            </w:pPr>
            <w:r>
              <w:rPr/>
            </w:r>
          </w:p>
        </w:tc>
        <w:tc>
          <w:tcPr>
            <w:tcW w:w="14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Eric Khrom</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Eric Khrom</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4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1556</Words>
  <Characters>7923</Characters>
  <CharactersWithSpaces>9429</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